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Heading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, a question arose in RAN2 RRC discussions of whether the newly introduced NR-U PRACH root sequences (of length 571 and 1151) are applicable to 2-step random access. As indicated in the 2-step RA parameter list R1-1913674, the parameter </w:t>
      </w:r>
      <w:proofErr w:type="spellStart"/>
      <w:r>
        <w:t>msgA</w:t>
      </w:r>
      <w:proofErr w:type="spellEnd"/>
      <w:r>
        <w:t>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Heading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Hyperlink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, where the proposals and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PRACH for NR-U. </w:t>
            </w:r>
            <w:proofErr w:type="gramStart"/>
            <w:r>
              <w:rPr>
                <w:lang w:eastAsia="zh-CN"/>
              </w:rPr>
              <w:t>So</w:t>
            </w:r>
            <w:proofErr w:type="gramEnd"/>
            <w:r>
              <w:rPr>
                <w:lang w:eastAsia="zh-CN"/>
              </w:rPr>
              <w:t xml:space="preserve">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proofErr w:type="gramStart"/>
            <w:r>
              <w:t>similar to</w:t>
            </w:r>
            <w:proofErr w:type="gramEnd"/>
            <w:r>
              <w:t xml:space="preserve">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  <w:bookmarkStart w:id="3" w:name="_GoBack"/>
            <w:bookmarkEnd w:id="3"/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 xml:space="preserve">Just clarify our position, we don’t see the need to introduce the long root sequence for 2-step RACH in licensed band. If two sequences are introduced for NR-U only, we are ok with that, even the benefits </w:t>
            </w:r>
            <w:proofErr w:type="gramStart"/>
            <w:r>
              <w:t>is</w:t>
            </w:r>
            <w:proofErr w:type="gramEnd"/>
            <w:r>
              <w:t xml:space="preserve">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ListParagraph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lastRenderedPageBreak/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</w:t>
            </w:r>
            <w:r>
              <w:t>2. Regarding “for NR-U.” That is better treated in the UE capability discussions (see similar comment below).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SimSun"/>
          <w:b/>
          <w:bCs/>
          <w:color w:val="FF0000"/>
          <w:sz w:val="20"/>
          <w:szCs w:val="20"/>
          <w:lang w:val="en-GB"/>
        </w:rPr>
      </w:pPr>
      <w:r>
        <w:rPr>
          <w:rFonts w:eastAsia="SimSun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SimSun"/>
          <w:color w:val="FF0000"/>
          <w:sz w:val="20"/>
          <w:szCs w:val="20"/>
        </w:rPr>
      </w:pPr>
      <w:r>
        <w:rPr>
          <w:rFonts w:eastAsia="SimSun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SimSun" w:hAnsi="Arial"/>
          <w:lang w:val="en-GB"/>
        </w:rPr>
      </w:pPr>
      <w:bookmarkStart w:id="4" w:name="_Toc19796446"/>
      <w:bookmarkStart w:id="5" w:name="_Toc26459672"/>
      <w:bookmarkStart w:id="6" w:name="_Toc29230322"/>
      <w:bookmarkStart w:id="7" w:name="_Toc36026581"/>
      <w:r>
        <w:rPr>
          <w:rFonts w:ascii="Arial" w:eastAsia="SimSun" w:hAnsi="Arial"/>
          <w:lang w:val="en-GB"/>
        </w:rPr>
        <w:t>6.3.3.1</w:t>
      </w:r>
      <w:r>
        <w:rPr>
          <w:rFonts w:ascii="Arial" w:eastAsia="SimSun" w:hAnsi="Arial"/>
          <w:lang w:val="en-GB"/>
        </w:rPr>
        <w:tab/>
        <w:t>Sequence generation</w:t>
      </w:r>
      <w:bookmarkEnd w:id="4"/>
      <w:bookmarkEnd w:id="5"/>
      <w:bookmarkEnd w:id="6"/>
      <w:bookmarkEnd w:id="7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 xml:space="preserve">The set of random-access preambles </w:t>
      </w:r>
      <w:r>
        <w:rPr>
          <w:rFonts w:eastAsia="SimSun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.85pt;height:15.65pt;mso-width-percent:0;mso-height-percent:0;mso-width-percent:0;mso-height-percent:0" o:ole="">
            <v:imagedata r:id="rId10" o:title=""/>
          </v:shape>
          <o:OLEObject Type="Embed" ProgID="Equation.3" ShapeID="_x0000_i1025" DrawAspect="Content" ObjectID="_1649008539" r:id="rId11"/>
        </w:object>
      </w:r>
      <w:r>
        <w:rPr>
          <w:rFonts w:eastAsia="SimSun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</w:rPr>
      </w:pPr>
      <w:r>
        <w:rPr>
          <w:rFonts w:eastAsia="SimSun"/>
          <w:noProof/>
          <w:position w:val="-38"/>
        </w:rPr>
        <w:object w:dxaOrig="3002" w:dyaOrig="856" w14:anchorId="6F7C1C72">
          <v:shape id="_x0000_i1026" type="#_x0000_t75" alt="" style="width:149.95pt;height:42.9pt;mso-width-percent:0;mso-height-percent:0;mso-width-percent:0;mso-height-percent:0" o:ole="">
            <v:imagedata r:id="rId12" o:title=""/>
          </v:shape>
          <o:OLEObject Type="Embed" ProgID="Equation.3" ShapeID="_x0000_i1026" DrawAspect="Content" ObjectID="_1649008540" r:id="rId13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SimSun"/>
        </w:rPr>
      </w:pPr>
      <w:r>
        <w:rPr>
          <w:rFonts w:eastAsia="SimSun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SimSun"/>
          <w:position w:val="-36"/>
        </w:rPr>
      </w:pPr>
      <w:r>
        <w:rPr>
          <w:rFonts w:eastAsia="SimSun"/>
          <w:noProof/>
          <w:position w:val="-30"/>
        </w:rPr>
        <w:object w:dxaOrig="2581" w:dyaOrig="734" w14:anchorId="791D3E6A">
          <v:shape id="_x0000_i1027" type="#_x0000_t75" alt="" style="width:129.45pt;height:36.95pt;mso-width-percent:0;mso-height-percent:0;mso-width-percent:0;mso-height-percent:0" o:ole="">
            <v:imagedata r:id="rId14" o:title=""/>
          </v:shape>
          <o:OLEObject Type="Embed" ProgID="Equation.3" ShapeID="_x0000_i1027" DrawAspect="Content" ObjectID="_1649008541" r:id="rId15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SimSun"/>
          <w:b/>
          <w:bCs/>
          <w:color w:val="FF0000"/>
        </w:rPr>
      </w:pPr>
      <w:r>
        <w:rPr>
          <w:rFonts w:eastAsia="SimSun"/>
        </w:rPr>
        <w:t xml:space="preserve">where </w:t>
      </w:r>
      <w:r>
        <w:rPr>
          <w:rFonts w:eastAsia="SimSun"/>
          <w:noProof/>
          <w:position w:val="-10"/>
        </w:rPr>
        <w:object w:dxaOrig="924" w:dyaOrig="299" w14:anchorId="2FF3742C">
          <v:shape id="_x0000_i1028" type="#_x0000_t75" alt="" style="width:46.25pt;height:14.9pt;mso-width-percent:0;mso-height-percent:0;mso-width-percent:0;mso-height-percent:0" o:ole="">
            <v:imagedata r:id="rId16" o:title=""/>
          </v:shape>
          <o:OLEObject Type="Embed" ProgID="Equation.3" ShapeID="_x0000_i1028" DrawAspect="Content" ObjectID="_1649008542" r:id="rId17"/>
        </w:object>
      </w:r>
      <w:r>
        <w:rPr>
          <w:rFonts w:eastAsia="SimSun"/>
        </w:rPr>
        <w:t xml:space="preserve">, </w:t>
      </w:r>
      <w:bookmarkStart w:id="8" w:name="_Hlk37354507"/>
      <w:r>
        <w:rPr>
          <w:rFonts w:eastAsia="SimSun"/>
          <w:noProof/>
          <w:position w:val="-10"/>
        </w:rPr>
        <w:object w:dxaOrig="910" w:dyaOrig="299" w14:anchorId="405FAD42">
          <v:shape id="_x0000_i1029" type="#_x0000_t75" alt="" style="width:45.5pt;height:14.9pt;mso-width-percent:0;mso-height-percent:0;mso-width-percent:0;mso-height-percent:0" o:ole="">
            <v:imagedata r:id="rId18" o:title=""/>
          </v:shape>
          <o:OLEObject Type="Embed" ProgID="Equation.3" ShapeID="_x0000_i1029" DrawAspect="Content" ObjectID="_1649008543" r:id="rId19"/>
        </w:object>
      </w:r>
      <w:r>
        <w:rPr>
          <w:rFonts w:eastAsia="SimSun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=1151</m:t>
        </m:r>
      </m:oMath>
      <w:r>
        <w:rPr>
          <w:rFonts w:eastAsia="SimSun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i/>
              </w:rPr>
            </m:ctrlPr>
          </m:sSubPr>
          <m:e>
            <m:r>
              <w:rPr>
                <w:rFonts w:ascii="Cambria Math" w:eastAsia="SimSun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</w:rPr>
              <m:t>RA</m:t>
            </m:r>
          </m:sub>
        </m:sSub>
        <m:r>
          <w:rPr>
            <w:rFonts w:ascii="Cambria Math" w:eastAsia="SimSun" w:hAnsi="Cambria Math"/>
          </w:rPr>
          <m:t>=571</m:t>
        </m:r>
      </m:oMath>
      <w:r>
        <w:rPr>
          <w:rFonts w:eastAsia="SimSun"/>
        </w:rPr>
        <w:t xml:space="preserve"> </w:t>
      </w:r>
      <w:bookmarkEnd w:id="8"/>
      <w:r>
        <w:rPr>
          <w:rFonts w:eastAsia="SimSun"/>
        </w:rPr>
        <w:t xml:space="preserve">depending on the PRACH preamble format as given by Tables 6.3.3.1-1 and 6.3.3.1-2. </w:t>
      </w:r>
      <w:r>
        <w:rPr>
          <w:rFonts w:eastAsia="SimSun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 xml:space="preserve">=839 </m:t>
        </m:r>
      </m:oMath>
      <w:r>
        <w:rPr>
          <w:rFonts w:eastAsia="SimSun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/>
                <w:b/>
                <w:bCs/>
                <w:color w:val="FF0000"/>
              </w:rPr>
              <m:t>RA</m:t>
            </m:r>
            <m:ctrlPr>
              <w:rPr>
                <w:rFonts w:ascii="Cambria Math" w:eastAsia="SimSun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SimSun"/>
            <w:color w:val="FF0000"/>
          </w:rPr>
          <m:t>=139</m:t>
        </m:r>
      </m:oMath>
      <w:r>
        <w:rPr>
          <w:rFonts w:eastAsia="SimSun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=1151</m:t>
        </m:r>
      </m:oMath>
      <w:r>
        <w:rPr>
          <w:rFonts w:eastAsia="SimSun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SimSun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SimSun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SimSun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SimSun" w:hAnsi="Cambria Math"/>
            <w:color w:val="FF0000"/>
          </w:rPr>
          <m:t>=571</m:t>
        </m:r>
      </m:oMath>
      <w:r>
        <w:rPr>
          <w:rFonts w:eastAsia="SimSun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SimSun"/>
          <w:color w:val="FF0000"/>
          <w:sz w:val="20"/>
          <w:szCs w:val="20"/>
          <w:lang w:val="en-GB"/>
        </w:rPr>
      </w:pPr>
      <w:r>
        <w:rPr>
          <w:rFonts w:eastAsia="SimSun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SimSun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SimSun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77777777" w:rsidR="000F6C91" w:rsidRDefault="000F6C91" w:rsidP="000F6C91"/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77777777" w:rsidR="000F6C91" w:rsidRDefault="000F6C91" w:rsidP="000F6C91"/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Heading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Heading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lastRenderedPageBreak/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Heading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</w:t>
      </w:r>
      <w:proofErr w:type="spellStart"/>
      <w:r>
        <w:t>tdocs</w:t>
      </w:r>
      <w:proofErr w:type="spellEnd"/>
      <w:r>
        <w:t>.  We summarize the proposals and rationale below:</w:t>
      </w:r>
    </w:p>
    <w:p w14:paraId="077E0599" w14:textId="77777777" w:rsidR="0056589A" w:rsidRDefault="00E23F2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  <w:proofErr w:type="spellStart"/>
            <w:r>
              <w:rPr>
                <w:b/>
                <w:bCs/>
              </w:rPr>
              <w:t>Tdoc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</w:t>
            </w:r>
            <w:proofErr w:type="spellStart"/>
            <w:r>
              <w:t>supports</w:t>
            </w:r>
            <w:proofErr w:type="spellEnd"/>
            <w:r>
              <w:t xml:space="preserve">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 xml:space="preserve">Proposal 7: to send a reply LS to RAN2 indicating that these two new </w:t>
            </w:r>
            <w:r>
              <w:lastRenderedPageBreak/>
              <w:t>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7BCCD41"/>
  <w15:docId w15:val="{1CDED87E-B0B3-3F46-8817-A60298A6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index 1" w:unhideWhenUsed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uiPriority="39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unhideWhenUsed="1" w:qFormat="1"/>
    <w:lsdException w:name="List 3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clear" w:pos="432"/>
      </w:tabs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nhideWhenUsed/>
    <w:qFormat/>
    <w:pPr>
      <w:ind w:leftChars="400" w:left="100" w:hangingChars="200" w:hanging="200"/>
      <w:contextualSpacing/>
    </w:p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qFormat/>
    <w:pPr>
      <w:ind w:left="360" w:hanging="360"/>
    </w:pPr>
  </w:style>
  <w:style w:type="paragraph" w:styleId="DocumentMap">
    <w:name w:val="Document Map"/>
    <w:basedOn w:val="Normal"/>
    <w:link w:val="DocumentMapChar"/>
    <w:qFormat/>
    <w:rPr>
      <w:rFonts w:ascii="SimSun"/>
      <w:kern w:val="2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qFormat/>
    <w:pPr>
      <w:jc w:val="left"/>
    </w:pPr>
    <w:rPr>
      <w:kern w:val="2"/>
      <w:lang w:val="en-GB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List2">
    <w:name w:val="List 2"/>
    <w:basedOn w:val="Normal"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TOC1">
    <w:name w:val="toc 1"/>
    <w:basedOn w:val="Normal"/>
    <w:next w:val="Normal"/>
    <w:unhideWhenUsed/>
    <w:qFormat/>
    <w:pPr>
      <w:spacing w:after="100"/>
    </w:p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TOC6">
    <w:name w:val="toc 6"/>
    <w:basedOn w:val="Normal"/>
    <w:next w:val="Normal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SimSun" w:hAnsi="Arial"/>
      <w:b/>
      <w:kern w:val="2"/>
      <w:sz w:val="21"/>
      <w:szCs w:val="24"/>
      <w:lang w:eastAsia="zh-CN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qFormat/>
    <w:rPr>
      <w:sz w:val="24"/>
      <w:szCs w:val="24"/>
    </w:rPr>
  </w:style>
  <w:style w:type="paragraph" w:styleId="Index1">
    <w:name w:val="index 1"/>
    <w:basedOn w:val="Normal"/>
    <w:next w:val="Normal"/>
    <w:unhideWhenUsed/>
    <w:qFormat/>
  </w:style>
  <w:style w:type="paragraph" w:styleId="Index2">
    <w:name w:val="index 2"/>
    <w:basedOn w:val="Index1"/>
    <w:next w:val="Normal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FootnoteReference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link w:val="Caption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next w:val="Caption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link w:val="Header"/>
    <w:qFormat/>
    <w:rPr>
      <w:kern w:val="2"/>
      <w:sz w:val="22"/>
      <w:szCs w:val="22"/>
      <w:lang w:val="en-GB" w:eastAsia="zh-CN" w:bidi="ar-SA"/>
    </w:rPr>
  </w:style>
  <w:style w:type="character" w:customStyle="1" w:styleId="FooterChar">
    <w:name w:val="Footer Char"/>
    <w:link w:val="Footer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TitleChar">
    <w:name w:val="Title Char"/>
    <w:link w:val="Title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kern w:val="2"/>
      <w:sz w:val="22"/>
      <w:szCs w:val="22"/>
      <w:lang w:val="en-GB" w:eastAsia="en-US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val="en-US" w:eastAsia="en-US"/>
    </w:rPr>
  </w:style>
  <w:style w:type="character" w:customStyle="1" w:styleId="DocumentMapChar">
    <w:name w:val="Document Map Char"/>
    <w:link w:val="DocumentMap"/>
    <w:qFormat/>
    <w:rPr>
      <w:rFonts w:ascii="SimSun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  <w:style w:type="paragraph" w:customStyle="1" w:styleId="Agreement">
    <w:name w:val="Agreement"/>
    <w:basedOn w:val="Normal"/>
    <w:next w:val="Normal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Normal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Normal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Normal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Normal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">
    <w:name w:val="我的正文首行2缩进"/>
    <w:basedOn w:val="Normal"/>
    <w:qFormat/>
    <w:pPr>
      <w:widowControl w:val="0"/>
      <w:autoSpaceDE/>
      <w:autoSpaceDN/>
      <w:adjustRightInd/>
      <w:spacing w:after="0"/>
      <w:ind w:firstLine="420"/>
    </w:pPr>
    <w:rPr>
      <w:rFonts w:cs="SimSun"/>
      <w:sz w:val="21"/>
      <w:szCs w:val="20"/>
      <w:lang w:eastAsia="zh-CN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Normal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Normal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Normal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Normal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Normal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1">
    <w:name w:val="网格型1"/>
    <w:basedOn w:val="TableNormal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스타일1"/>
    <w:basedOn w:val="Normal"/>
    <w:link w:val="1Char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">
    <w:name w:val="스타일1 Char"/>
    <w:basedOn w:val="DefaultParagraphFont"/>
    <w:link w:val="12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DefaultParagraphFont"/>
    <w:qFormat/>
  </w:style>
  <w:style w:type="paragraph" w:customStyle="1" w:styleId="a">
    <w:name w:val="样式 ！正文"/>
    <w:basedOn w:val="Normal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SimSun"/>
      <w:kern w:val="2"/>
      <w:sz w:val="21"/>
      <w:szCs w:val="20"/>
      <w:lang w:eastAsia="zh-CN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List3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Normal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SimSun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SimSun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Normal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/>
    </w:r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Normal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SimSun"/>
      <w:sz w:val="24"/>
      <w:szCs w:val="24"/>
      <w:lang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Normal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DefaultParagraphFont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  <w:lang w:val="en-US"/>
    </w:rPr>
  </w:style>
  <w:style w:type="paragraph" w:customStyle="1" w:styleId="13">
    <w:name w:val="正文1"/>
    <w:qFormat/>
    <w:rPr>
      <w:sz w:val="24"/>
      <w:szCs w:val="24"/>
      <w:lang w:val="en-US"/>
    </w:rPr>
  </w:style>
  <w:style w:type="paragraph" w:customStyle="1" w:styleId="14">
    <w:name w:val="列表项目符号1"/>
    <w:basedOn w:val="Normal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5">
    <w:name w:val="正文文本1"/>
    <w:basedOn w:val="Normal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Normal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Normal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DefaultParagraphFont"/>
    <w:link w:val="0Maintext"/>
    <w:qFormat/>
    <w:rPr>
      <w:rFonts w:eastAsia="Malgun Gothic" w:cs="Batang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paragraph">
    <w:name w:val="paragraph"/>
    <w:basedOn w:val="Normal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Heading1Char">
    <w:name w:val="Heading 1 Char"/>
    <w:basedOn w:val="DefaultParagraphFont"/>
    <w:link w:val="Heading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Pr>
      <w:rFonts w:eastAsiaTheme="minorEastAsia"/>
      <w:b/>
      <w:bCs/>
      <w:sz w:val="24"/>
      <w:szCs w:val="28"/>
      <w:lang w:eastAsia="en-US"/>
    </w:rPr>
  </w:style>
  <w:style w:type="character" w:customStyle="1" w:styleId="Heading5Char">
    <w:name w:val="Heading 5 Char"/>
    <w:link w:val="Heading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Heading8Char">
    <w:name w:val="Heading 8 Char"/>
    <w:link w:val="Heading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Normal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SimSun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Normal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SimSun" w:hAnsi="Calibri" w:cs="Calibri"/>
      <w:lang w:eastAsia="zh-CN"/>
    </w:rPr>
  </w:style>
  <w:style w:type="paragraph" w:customStyle="1" w:styleId="text0">
    <w:name w:val="text"/>
    <w:basedOn w:val="Normal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DengXian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Normal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SimSun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0">
    <w:name w:val="正文文本2"/>
    <w:basedOn w:val="Normal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1">
    <w:name w:val="正文2"/>
    <w:qFormat/>
    <w:rPr>
      <w:sz w:val="24"/>
      <w:szCs w:val="24"/>
      <w:lang w:val="en-US"/>
    </w:rPr>
  </w:style>
  <w:style w:type="character" w:customStyle="1" w:styleId="150">
    <w:name w:val="15"/>
    <w:basedOn w:val="DefaultParagraphFont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uiPriority w:val="34"/>
    <w:qFormat/>
    <w:rsid w:val="0022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94BCE-7D43-4E90-B8E0-EC59A6E1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22fd4-0f91-444f-9a7b-7aedc165c51c"/>
    <ds:schemaRef ds:uri="72594467-3918-4223-8214-73ee36a3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FE8E5-7B0B-44D7-94C4-17DE7BB8829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2594467-3918-4223-8214-73ee36a32893"/>
    <ds:schemaRef ds:uri="http://schemas.microsoft.com/office/2006/documentManagement/types"/>
    <ds:schemaRef ds:uri="51622fd4-0f91-444f-9a7b-7aedc165c5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008C7B3-DCF4-4826-BF24-7D5D8A73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1713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Stephen Grant</cp:lastModifiedBy>
  <cp:revision>3</cp:revision>
  <dcterms:created xsi:type="dcterms:W3CDTF">2020-04-22T02:23:00Z</dcterms:created>
  <dcterms:modified xsi:type="dcterms:W3CDTF">2020-04-22T04:09:00Z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</Properties>
</file>