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Summary of [100b-e-NR-unlic-NRU-InitAccessProc-04] Email Discussion/Approval for Reply LS on NR-U </w:t>
      </w:r>
      <w:r>
        <w:rPr>
          <w:b/>
          <w:lang w:eastAsia="zh-CN"/>
        </w:rPr>
        <w:t>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 xml:space="preserve">[100b-e-NR-unlic-NRU-InitAccessProc-04] Email approval of the reply LS for R1-2001237 by 4/23 - </w:t>
      </w:r>
      <w:proofErr w:type="spellStart"/>
      <w:r>
        <w:rPr>
          <w:highlight w:val="cyan"/>
        </w:rPr>
        <w:t>Zhipeng</w:t>
      </w:r>
      <w:proofErr w:type="spellEnd"/>
      <w:r>
        <w:rPr>
          <w:highlight w:val="cyan"/>
        </w:rPr>
        <w:t xml:space="preserve">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</w:t>
      </w:r>
      <w:r>
        <w:t xml:space="preserve">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</w:t>
      </w:r>
      <w:r>
        <w:t>ntroduced the option of configuring a BWP with only 2-step RA, then if 2-step RA shall support the newly introduced NR-U PRACH root sequences as for the current 4-step RRC configuration, then it needs to be explicitly configurable for 2-step RA.  RAN2 then</w:t>
      </w:r>
      <w:r>
        <w:t xml:space="preserve"> ask RAN1 ask whether the new PRACH root sequences will be introduced for 2-step random access.</w:t>
      </w:r>
    </w:p>
    <w:p w14:paraId="7943A512" w14:textId="77777777" w:rsidR="0056589A" w:rsidRDefault="00E23F22">
      <w:r>
        <w:t>This email discussion addresses how to answer RAN2’s question of whether PRACH root sequences of length 571 and 1151 will be introduced for 2-step random access</w:t>
      </w:r>
      <w:r>
        <w:t xml:space="preserve">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</w:t>
      </w:r>
      <w:r>
        <w:t>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</w:instrText>
      </w:r>
      <w:r>
        <w:instrText xml:space="preserve">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>, where the proposals a</w:t>
      </w:r>
      <w:r>
        <w:t xml:space="preserve">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</w:t>
      </w:r>
      <w:r>
        <w:t xml:space="preserve">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 xml:space="preserve">There is no need in 2-step RACH to the fulfill occupied bandwidth requirements </w:t>
      </w:r>
      <w:r>
        <w:t>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</w:t>
      </w:r>
      <w:r>
        <w:t>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 xml:space="preserve">It </w:t>
      </w:r>
      <w:r>
        <w:t>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>Given that the majority of companies favor using the new PRACH sequences for 2</w:t>
      </w:r>
      <w:r>
        <w:t xml:space="preserve">-step RA with NR-U, we’d like to focus on the counter-arguments for support.  These are addressed by questions 1 &amp; 2.   In order to save time, if RAN1 does intend to support the new PRACH for 2-step, it may also be beneficial to discuss the wording of the </w:t>
      </w:r>
      <w:r>
        <w:t xml:space="preserve">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Q1: Is there a benefit in 2-step RACH to fulfill the occupied bandwidth </w:t>
      </w:r>
      <w:r>
        <w:rPr>
          <w:b/>
          <w:bCs/>
        </w:rPr>
        <w:t>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56589A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77777777" w:rsidR="0056589A" w:rsidRDefault="0056589A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77777777" w:rsidR="0056589A" w:rsidRDefault="0056589A"/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</w:t>
            </w:r>
            <w:r>
              <w:t>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 xml:space="preserve">Just clarify our position, we don’t see the need to introduce the long root sequence for 2-step RACH in licensed band. If two sequences are introduced for NR-U only, we are ok with that, even the benefits </w:t>
            </w:r>
            <w:proofErr w:type="gramStart"/>
            <w:r>
              <w:t>is</w:t>
            </w:r>
            <w:proofErr w:type="gramEnd"/>
            <w:r>
              <w:t xml:space="preserve"> not so attritive.</w:t>
            </w:r>
          </w:p>
        </w:tc>
      </w:tr>
      <w:tr w:rsidR="0056589A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77777777" w:rsidR="0056589A" w:rsidRDefault="0056589A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77777777" w:rsidR="0056589A" w:rsidRDefault="0056589A"/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</w:t>
      </w:r>
      <w:r>
        <w:rPr>
          <w:b/>
          <w:bCs/>
        </w:rPr>
        <w:t>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 xml:space="preserve">Support. Perhaps it is better to put </w:t>
            </w:r>
            <w:r>
              <w:t xml:space="preserve">‘for </w:t>
            </w:r>
            <w:r>
              <w:t>NR-U</w:t>
            </w:r>
            <w:r>
              <w:t>’</w:t>
            </w:r>
            <w:r>
              <w:t xml:space="preserve">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56589A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7777777" w:rsidR="0056589A" w:rsidRDefault="0056589A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77777777" w:rsidR="0056589A" w:rsidRDefault="0056589A"/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</w:t>
      </w:r>
      <w:r>
        <w:rPr>
          <w:b/>
          <w:bCs/>
        </w:rPr>
        <w:t>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lastRenderedPageBreak/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 xml:space="preserve">&gt;&gt;&gt;&gt;&gt;&gt;&gt;&gt;&gt;&gt;&gt;&gt;&gt;&gt;&gt;&gt;&gt;&gt;&gt;&gt;&gt;&gt;&gt;&gt;&gt;&gt;&gt;&gt;&gt;&gt; unchanged text omitted </w:t>
      </w:r>
      <w:r>
        <w:rPr>
          <w:rFonts w:eastAsia="SimSun"/>
          <w:color w:val="FF0000"/>
          <w:sz w:val="20"/>
          <w:szCs w:val="20"/>
        </w:rPr>
        <w:t>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9.95pt;height:15.6pt;mso-width-percent:0;mso-height-percent:0;mso-width-percent:0;mso-height-percent:0" o:ole="">
            <v:imagedata r:id="rId10" o:title=""/>
          </v:shape>
          <o:OLEObject Type="Embed" ProgID="Equation.3" ShapeID="_x0000_i1029" DrawAspect="Content" ObjectID="_1649056206" r:id="rId11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8" type="#_x0000_t75" alt="" style="width:150.05pt;height:42.95pt;mso-width-percent:0;mso-height-percent:0;mso-width-percent:0;mso-height-percent:0" o:ole="">
            <v:imagedata r:id="rId12" o:title=""/>
          </v:shape>
          <o:OLEObject Type="Embed" ProgID="Equation.3" ShapeID="_x0000_i1028" DrawAspect="Content" ObjectID="_1649056207" r:id="rId13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25pt;height:36.85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649056208" r:id="rId15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6" type="#_x0000_t75" alt="" style="width:46.4pt;height:14.75pt;mso-width-percent:0;mso-height-percent:0;mso-width-percent:0;mso-height-percent:0" o:ole="">
            <v:imagedata r:id="rId16" o:title=""/>
          </v:shape>
          <o:OLEObject Type="Embed" ProgID="Equation.3" ShapeID="_x0000_i1026" DrawAspect="Content" ObjectID="_1649056209" r:id="rId17"/>
        </w:object>
      </w:r>
      <w:r>
        <w:rPr>
          <w:rFonts w:eastAsia="SimSun"/>
        </w:rPr>
        <w:t xml:space="preserve">, </w:t>
      </w:r>
      <w:bookmarkStart w:id="7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5" type="#_x0000_t75" alt="" style="width:45.55pt;height:14.75pt;mso-width-percent:0;mso-height-percent:0;mso-width-percent:0;mso-height-percent:0" o:ole="">
            <v:imagedata r:id="rId18" o:title=""/>
          </v:shape>
          <o:OLEObject Type="Embed" ProgID="Equation.3" ShapeID="_x0000_i1025" DrawAspect="Content" ObjectID="_1649056210" r:id="rId19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7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</m:t>
        </m:r>
        <m:r>
          <m:rPr>
            <m:sty m:val="bi"/>
          </m:rPr>
          <w:rPr>
            <w:rFonts w:ascii="Cambria Math" w:eastAsia="SimSun"/>
            <w:color w:val="FF0000"/>
          </w:rPr>
          <m:t>839</m:t>
        </m:r>
        <m:r>
          <m:rPr>
            <m:sty m:val="bi"/>
          </m:rPr>
          <w:rPr>
            <w:rFonts w:ascii="Cambria Math" w:eastAsia="SimSun"/>
            <w:color w:val="FF0000"/>
          </w:rPr>
          <m:t xml:space="preserve">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</m:t>
        </m:r>
        <m:r>
          <m:rPr>
            <m:sty m:val="bi"/>
          </m:rPr>
          <w:rPr>
            <w:rFonts w:ascii="Cambria Math" w:eastAsia="SimSun"/>
            <w:color w:val="FF0000"/>
          </w:rPr>
          <m:t>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</w:t>
      </w:r>
      <w:r>
        <w:rPr>
          <w:rFonts w:eastAsia="SimSun"/>
          <w:b/>
          <w:bCs/>
          <w:color w:val="FF0000"/>
        </w:rPr>
        <w:t xml:space="preserve">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</m:t>
        </m:r>
        <m:r>
          <m:rPr>
            <m:sty m:val="bi"/>
          </m:rPr>
          <w:rPr>
            <w:rFonts w:ascii="Cambria Math" w:eastAsia="SimSun"/>
            <w:color w:val="FF0000"/>
          </w:rPr>
          <m:t>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</m:t>
        </m:r>
        <m:r>
          <m:rPr>
            <m:sty m:val="bi"/>
          </m:rPr>
          <w:rPr>
            <w:rFonts w:ascii="Cambria Math" w:eastAsia="SimSun" w:hAnsi="Cambria Math"/>
            <w:color w:val="FF0000"/>
          </w:rPr>
          <m:t>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</m:t>
        </m:r>
        <m:r>
          <m:rPr>
            <m:sty m:val="bi"/>
          </m:rPr>
          <w:rPr>
            <w:rFonts w:ascii="Cambria Math" w:eastAsia="SimSun" w:hAnsi="Cambria Math"/>
            <w:color w:val="FF0000"/>
          </w:rPr>
          <m:t>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56589A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77777777" w:rsidR="0056589A" w:rsidRDefault="0056589A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77777777" w:rsidR="0056589A" w:rsidRDefault="0056589A"/>
        </w:tc>
      </w:tr>
      <w:tr w:rsidR="0056589A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77777777" w:rsidR="0056589A" w:rsidRDefault="0056589A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77777777" w:rsidR="0056589A" w:rsidRDefault="0056589A"/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8" w:name="_Ref38273788"/>
      <w:bookmarkStart w:id="9" w:name="_Ref38270945"/>
      <w:r>
        <w:t xml:space="preserve">R1-2001237, “LS to RAN1 on NR-U </w:t>
      </w:r>
      <w:r>
        <w:t>PRACH root sequence for 2-step RA</w:t>
      </w:r>
      <w:bookmarkEnd w:id="8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0" w:name="_Ref38274126"/>
      <w:bookmarkStart w:id="11" w:name="_Ref38276912"/>
      <w:r>
        <w:t>R1-2002526, “Remaining Issues and Clarification on Channel Structure for Two-Step RACH</w:t>
      </w:r>
      <w:bookmarkEnd w:id="9"/>
      <w:bookmarkEnd w:id="10"/>
      <w:r>
        <w:t>”, Qualcomm, 3GPP TSG-RAN WG1 Meeting #100b-e, April 20-30, 2</w:t>
      </w:r>
      <w:r>
        <w:t>020</w:t>
      </w:r>
      <w:bookmarkEnd w:id="11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2" w:name="_Ref38271690"/>
      <w:r>
        <w:t>R1-2001712, “FL summary on the maintenance of 2-step RACH channel structure</w:t>
      </w:r>
      <w:bookmarkEnd w:id="12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5025"/>
      <w:r>
        <w:t>R1-2002736, “Outcome of RAN1#100b-e preparation phase on incoming LS</w:t>
      </w:r>
      <w:bookmarkEnd w:id="13"/>
      <w:r>
        <w:t xml:space="preserve">”, RAN1 Chairman, </w:t>
      </w:r>
      <w:r>
        <w:tab/>
        <w:t>3GPP TSG-RAN WG1 Meeting #100</w:t>
      </w:r>
      <w:r>
        <w:t>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4" w:name="_Appendix"/>
      <w:bookmarkEnd w:id="14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</w:t>
      </w:r>
      <w:r>
        <w:t>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</w:t>
            </w:r>
            <w:r>
              <w:rPr>
                <w:b/>
                <w:bCs/>
              </w:rPr>
              <w:t>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 xml:space="preserve">Proposal 1: The two new root </w:t>
            </w:r>
            <w:r>
              <w:t>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</w:t>
            </w:r>
            <w:r>
              <w:t xml:space="preserve">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</w:t>
            </w:r>
            <w:r>
              <w:t xml:space="preserve">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</w:t>
            </w:r>
            <w:r>
              <w:t>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 xml:space="preserve">It was agreed to support all the preamble formats specified </w:t>
            </w:r>
            <w:r>
              <w:t>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 xml:space="preserve">No need in 2-step RACH to fulfill occupied </w:t>
            </w:r>
            <w:r>
              <w:t>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</w:t>
            </w:r>
            <w:r>
              <w:t>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oNotDisplayPageBoundaries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CCD41"/>
  <w15:docId w15:val="{1CDED87E-B0B3-3F46-8817-A60298A6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unhideWhenUsed="1" w:qFormat="1"/>
    <w:lsdException w:name="List 3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  <w:lang w:val="en-US"/>
    </w:rPr>
  </w:style>
  <w:style w:type="paragraph" w:customStyle="1" w:styleId="13">
    <w:name w:val="正文1"/>
    <w:qFormat/>
    <w:rPr>
      <w:sz w:val="24"/>
      <w:szCs w:val="24"/>
      <w:lang w:val="en-US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  <w:lang w:val="en-US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29A818-586E-1C4A-B45F-35087C35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Chunhai Yao</cp:lastModifiedBy>
  <cp:revision>2</cp:revision>
  <dcterms:created xsi:type="dcterms:W3CDTF">2020-04-22T02:23:00Z</dcterms:created>
  <dcterms:modified xsi:type="dcterms:W3CDTF">2020-04-22T02:23:00Z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</Properties>
</file>