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r>
      <w:r>
        <w:rPr>
          <w:b/>
          <w:kern w:val="2"/>
          <w:lang w:eastAsia="zh-CN"/>
        </w:rPr>
        <w:t>R1-200xxxx</w:t>
      </w:r>
    </w:p>
    <w:p>
      <w:pPr>
        <w:rPr>
          <w:b/>
          <w:bCs/>
          <w:lang w:eastAsia="zh-CN"/>
        </w:rPr>
      </w:pPr>
      <w:r>
        <w:rPr>
          <w:b/>
          <w:bCs/>
          <w:lang w:eastAsia="zh-CN"/>
        </w:rPr>
        <w:t>eMeeting, April 20 - 30,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Moderator (Charter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Draft-100b-e-NR-unlic-NRU-InitAccessProc-03 [RRM/RLM]</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pPr>
        <w:spacing w:after="0"/>
        <w:rPr>
          <w:rFonts w:eastAsiaTheme="minorEastAsia"/>
          <w:lang w:eastAsia="zh-CN"/>
        </w:rPr>
      </w:pPr>
    </w:p>
    <w:p>
      <w:pPr>
        <w:rPr>
          <w:highlight w:val="cyan"/>
        </w:rPr>
      </w:pPr>
      <w:r>
        <w:rPr>
          <w:highlight w:val="cyan"/>
        </w:rPr>
        <w:t>[100b-e-NR-unlic-NRU-InitAccessProc-03] Email discussion/approval on following issues related to RRM/RLM by 4/23; if necessary, followed by endorsing the corresponding TPs by 4/28 – Amitav (Charter)</w:t>
      </w:r>
    </w:p>
    <w:p>
      <w:pPr>
        <w:numPr>
          <w:ilvl w:val="0"/>
          <w:numId w:val="4"/>
        </w:numPr>
        <w:autoSpaceDE/>
        <w:autoSpaceDN/>
        <w:adjustRightInd/>
        <w:snapToGrid/>
        <w:spacing w:after="0"/>
        <w:jc w:val="left"/>
        <w:rPr>
          <w:lang w:eastAsia="zh-CN"/>
        </w:rPr>
      </w:pPr>
      <w:r>
        <w:rPr>
          <w:lang w:eastAsia="zh-CN"/>
        </w:rPr>
        <w:t>TP to 38.215 for RSSI definition</w:t>
      </w:r>
    </w:p>
    <w:p>
      <w:pPr>
        <w:numPr>
          <w:ilvl w:val="0"/>
          <w:numId w:val="4"/>
        </w:numPr>
        <w:autoSpaceDE/>
        <w:autoSpaceDN/>
        <w:adjustRightInd/>
        <w:snapToGrid/>
        <w:spacing w:after="0"/>
        <w:jc w:val="left"/>
        <w:rPr>
          <w:lang w:eastAsia="zh-CN"/>
        </w:rPr>
      </w:pPr>
      <w:r>
        <w:rPr>
          <w:lang w:eastAsia="zh-CN"/>
        </w:rPr>
        <w:t>Finalize the number of OFDM symbols for RSSI measurement duration configuration</w:t>
      </w:r>
    </w:p>
    <w:p>
      <w:pPr>
        <w:spacing w:after="0"/>
      </w:pPr>
    </w:p>
    <w:p>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fldChar w:fldCharType="separate"/>
      </w:r>
      <w:r>
        <w:rPr>
          <w:lang w:eastAsia="zh-CN"/>
        </w:rPr>
        <w:t>[14]</w:t>
      </w:r>
      <w:r>
        <w:rPr>
          <w:lang w:eastAsia="zh-CN"/>
        </w:rPr>
        <w:fldChar w:fldCharType="end"/>
      </w:r>
      <w:r>
        <w:rPr>
          <w:lang w:eastAsia="zh-CN"/>
        </w:rPr>
        <w:t>.</w:t>
      </w:r>
    </w:p>
    <w:p>
      <w:pPr>
        <w:spacing w:after="0"/>
        <w:rPr>
          <w:rFonts w:eastAsiaTheme="minorEastAsia"/>
          <w:lang w:eastAsia="zh-CN"/>
        </w:rPr>
      </w:pPr>
    </w:p>
    <w:p>
      <w:pPr>
        <w:pStyle w:val="2"/>
        <w:rPr>
          <w:lang w:eastAsia="zh-CN"/>
        </w:rPr>
      </w:pPr>
      <w:r>
        <w:rPr>
          <w:lang w:eastAsia="zh-CN"/>
        </w:rPr>
        <w:t>Company views</w:t>
      </w:r>
    </w:p>
    <w:p>
      <w:pPr>
        <w:pStyle w:val="3"/>
        <w:rPr>
          <w:lang w:eastAsia="zh-CN"/>
        </w:rPr>
      </w:pPr>
      <w:r>
        <w:rPr>
          <w:lang w:eastAsia="zh-CN"/>
        </w:rPr>
        <w:t>TP to 38.215 for RSSI definition</w:t>
      </w:r>
    </w:p>
    <w:p>
      <w:pPr>
        <w:spacing w:after="0"/>
        <w:rPr>
          <w:rFonts w:eastAsiaTheme="minorEastAsia"/>
          <w:lang w:eastAsia="zh-CN"/>
        </w:rPr>
      </w:pPr>
      <w:r>
        <w:rPr>
          <w:rFonts w:eastAsiaTheme="minorEastAsia"/>
          <w:lang w:eastAsia="zh-CN"/>
        </w:rPr>
        <w:t>Choose between the following:</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TP1 </w:t>
      </w:r>
      <w:r>
        <w:rPr>
          <w:rFonts w:hint="eastAsia" w:eastAsiaTheme="minorEastAsia"/>
          <w:lang w:eastAsia="zh-CN"/>
        </w:rPr>
        <w:t>[7]</w:t>
      </w:r>
      <w:r>
        <w:rPr>
          <w:rFonts w:eastAsiaTheme="minorEastAsia"/>
          <w:lang w:eastAsia="zh-CN"/>
        </w:rPr>
        <w:t>:</w:t>
      </w:r>
    </w:p>
    <w:p>
      <w:pPr>
        <w:spacing w:after="0"/>
        <w:rPr>
          <w:rFonts w:eastAsiaTheme="minorEastAsia"/>
          <w:lang w:eastAsia="zh-CN"/>
        </w:rPr>
      </w:pPr>
    </w:p>
    <w:tbl>
      <w:tblPr>
        <w:tblStyle w:val="30"/>
        <w:tblW w:w="97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56"/>
              <w:rPr>
                <w:rFonts w:eastAsia="Times New Roman"/>
                <w:b/>
                <w:lang w:eastAsia="en-GB"/>
              </w:rPr>
            </w:pPr>
            <w:r>
              <w:rPr>
                <w:b/>
                <w:lang w:eastAsia="en-GB"/>
              </w:rPr>
              <w:t>Definition</w:t>
            </w:r>
          </w:p>
        </w:tc>
        <w:tc>
          <w:tcPr>
            <w:tcW w:w="7787"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pPr>
              <w:pStyle w:val="56"/>
              <w:rPr>
                <w:lang w:eastAsia="en-GB"/>
              </w:rPr>
            </w:pPr>
          </w:p>
          <w:p>
            <w:pPr>
              <w:pStyle w:val="56"/>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pPr>
              <w:pStyle w:val="63"/>
              <w:rPr>
                <w:rFonts w:cs="Times New Roman"/>
                <w:color w:val="auto"/>
                <w:sz w:val="18"/>
                <w:szCs w:val="20"/>
                <w:lang w:val="en-GB" w:eastAsia="en-GB"/>
              </w:rPr>
            </w:pPr>
          </w:p>
          <w:p>
            <w:pPr>
              <w:pStyle w:val="56"/>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1951" w:type="dxa"/>
            <w:tcBorders>
              <w:top w:val="single" w:color="auto" w:sz="4" w:space="0"/>
              <w:left w:val="single" w:color="auto" w:sz="4" w:space="0"/>
              <w:bottom w:val="single" w:color="auto" w:sz="4" w:space="0"/>
              <w:right w:val="single" w:color="auto" w:sz="4" w:space="0"/>
            </w:tcBorders>
          </w:tcPr>
          <w:p>
            <w:pPr>
              <w:pStyle w:val="56"/>
              <w:rPr>
                <w:b/>
                <w:lang w:eastAsia="en-GB"/>
              </w:rPr>
            </w:pPr>
            <w:r>
              <w:rPr>
                <w:b/>
                <w:lang w:eastAsia="en-GB"/>
              </w:rPr>
              <w:t>Applicable for</w:t>
            </w:r>
          </w:p>
        </w:tc>
        <w:tc>
          <w:tcPr>
            <w:tcW w:w="7787" w:type="dxa"/>
            <w:tcBorders>
              <w:top w:val="single" w:color="auto" w:sz="4" w:space="0"/>
              <w:left w:val="single" w:color="auto" w:sz="4" w:space="0"/>
              <w:bottom w:val="single" w:color="auto" w:sz="4" w:space="0"/>
              <w:right w:val="single" w:color="auto" w:sz="4" w:space="0"/>
            </w:tcBorders>
          </w:tcPr>
          <w:p>
            <w:pPr>
              <w:pStyle w:val="56"/>
              <w:rPr>
                <w:lang w:eastAsia="en-GB"/>
              </w:rPr>
            </w:pPr>
            <w:r>
              <w:rPr>
                <w:lang w:eastAsia="en-GB"/>
              </w:rPr>
              <w:t>RRC_CONNECTED intra-frequency,</w:t>
            </w:r>
          </w:p>
          <w:p>
            <w:pPr>
              <w:pStyle w:val="56"/>
              <w:rPr>
                <w:lang w:eastAsia="en-GB"/>
              </w:rPr>
            </w:pPr>
            <w:r>
              <w:rPr>
                <w:lang w:eastAsia="en-GB"/>
              </w:rPr>
              <w:t>RRC_CONNECTED inter-frequency</w:t>
            </w:r>
          </w:p>
        </w:tc>
      </w:tr>
    </w:tbl>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TP2 </w:t>
      </w:r>
      <w:r>
        <w:rPr>
          <w:rFonts w:hint="eastAsia" w:eastAsiaTheme="minorEastAsia"/>
          <w:lang w:eastAsia="zh-CN"/>
        </w:rPr>
        <w:t>[3][6]</w:t>
      </w:r>
      <w:r>
        <w:rPr>
          <w:rFonts w:eastAsiaTheme="minorEastAsia"/>
          <w:lang w:eastAsia="zh-CN"/>
        </w:rPr>
        <w:t>:</w:t>
      </w:r>
    </w:p>
    <w:p>
      <w:pPr>
        <w:spacing w:after="0"/>
        <w:rPr>
          <w:rFonts w:eastAsiaTheme="minorEastAsia"/>
          <w:lang w:eastAsia="zh-CN"/>
        </w:rPr>
      </w:pPr>
    </w:p>
    <w:tbl>
      <w:tblPr>
        <w:tblStyle w:val="30"/>
        <w:tblW w:w="9297" w:type="dxa"/>
        <w:jc w:val="center"/>
        <w:tblInd w:w="0" w:type="dxa"/>
        <w:tblLayout w:type="fixed"/>
        <w:tblCellMar>
          <w:top w:w="0" w:type="dxa"/>
          <w:left w:w="0" w:type="dxa"/>
          <w:bottom w:w="0" w:type="dxa"/>
          <w:right w:w="0" w:type="dxa"/>
        </w:tblCellMar>
      </w:tblPr>
      <w:tblGrid>
        <w:gridCol w:w="1890"/>
        <w:gridCol w:w="7407"/>
      </w:tblGrid>
      <w:tr>
        <w:tblPrEx>
          <w:tblLayout w:type="fixed"/>
          <w:tblCellMar>
            <w:top w:w="0" w:type="dxa"/>
            <w:left w:w="0" w:type="dxa"/>
            <w:bottom w:w="0" w:type="dxa"/>
            <w:right w:w="0" w:type="dxa"/>
          </w:tblCellMar>
        </w:tblPrEx>
        <w:trPr>
          <w:cantSplit/>
          <w:jc w:val="center"/>
        </w:trPr>
        <w:tc>
          <w:tcPr>
            <w:tcW w:w="189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pStyle w:val="56"/>
              <w:rPr>
                <w:b/>
                <w:bCs/>
              </w:rPr>
            </w:pPr>
            <w:r>
              <w:rPr>
                <w:b/>
                <w:bCs/>
              </w:rPr>
              <w:t>Definition</w:t>
            </w:r>
          </w:p>
        </w:tc>
        <w:tc>
          <w:tcPr>
            <w:tcW w:w="7407" w:type="dxa"/>
            <w:tcBorders>
              <w:top w:val="single" w:color="auto" w:sz="8" w:space="0"/>
              <w:left w:val="nil"/>
              <w:bottom w:val="single" w:color="auto" w:sz="8" w:space="0"/>
              <w:right w:val="single" w:color="auto" w:sz="8" w:space="0"/>
            </w:tcBorders>
            <w:tcMar>
              <w:top w:w="0" w:type="dxa"/>
              <w:left w:w="28" w:type="dxa"/>
              <w:bottom w:w="0" w:type="dxa"/>
              <w:right w:w="28" w:type="dxa"/>
            </w:tcMar>
          </w:tcPr>
          <w:p>
            <w:pPr>
              <w:pStyle w:val="56"/>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pPr>
              <w:pStyle w:val="56"/>
            </w:pPr>
          </w:p>
          <w:p>
            <w:pPr>
              <w:pStyle w:val="56"/>
            </w:pPr>
            <w:r>
              <w:t xml:space="preserve">Higher layers configure the </w:t>
            </w:r>
            <w:r>
              <w:rPr>
                <w:color w:val="FF0000"/>
              </w:rPr>
              <w:t>reference numerology</w:t>
            </w:r>
            <w:r>
              <w:t>, measurement bandwidth, measurement duration and which OFDM symbol(s) should be measured by the UE.</w:t>
            </w:r>
          </w:p>
          <w:p>
            <w:pPr>
              <w:pStyle w:val="63"/>
              <w:rPr>
                <w:color w:val="auto"/>
                <w:sz w:val="18"/>
                <w:szCs w:val="18"/>
                <w:lang w:val="en-GB" w:eastAsia="en-GB"/>
              </w:rPr>
            </w:pPr>
          </w:p>
          <w:p>
            <w:pPr>
              <w:pStyle w:val="56"/>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tblPrEx>
          <w:tblLayout w:type="fixed"/>
          <w:tblCellMar>
            <w:top w:w="0" w:type="dxa"/>
            <w:left w:w="0" w:type="dxa"/>
            <w:bottom w:w="0" w:type="dxa"/>
            <w:right w:w="0" w:type="dxa"/>
          </w:tblCellMar>
        </w:tblPrEx>
        <w:trPr>
          <w:cantSplit/>
          <w:jc w:val="center"/>
        </w:trPr>
        <w:tc>
          <w:tcPr>
            <w:tcW w:w="1890" w:type="dxa"/>
            <w:tcBorders>
              <w:top w:val="nil"/>
              <w:left w:val="single" w:color="auto" w:sz="8" w:space="0"/>
              <w:bottom w:val="single" w:color="auto" w:sz="8" w:space="0"/>
              <w:right w:val="single" w:color="auto" w:sz="8" w:space="0"/>
            </w:tcBorders>
            <w:tcMar>
              <w:top w:w="0" w:type="dxa"/>
              <w:left w:w="28" w:type="dxa"/>
              <w:bottom w:w="0" w:type="dxa"/>
              <w:right w:w="28" w:type="dxa"/>
            </w:tcMar>
          </w:tcPr>
          <w:p>
            <w:pPr>
              <w:pStyle w:val="56"/>
              <w:rPr>
                <w:b/>
                <w:bCs/>
                <w:sz w:val="20"/>
              </w:rPr>
            </w:pPr>
            <w:r>
              <w:rPr>
                <w:b/>
                <w:bCs/>
              </w:rPr>
              <w:t>Applicable for</w:t>
            </w:r>
          </w:p>
        </w:tc>
        <w:tc>
          <w:tcPr>
            <w:tcW w:w="7407" w:type="dxa"/>
            <w:tcBorders>
              <w:top w:val="nil"/>
              <w:left w:val="nil"/>
              <w:bottom w:val="single" w:color="auto" w:sz="8" w:space="0"/>
              <w:right w:val="single" w:color="auto" w:sz="8" w:space="0"/>
            </w:tcBorders>
            <w:tcMar>
              <w:top w:w="0" w:type="dxa"/>
              <w:left w:w="28" w:type="dxa"/>
              <w:bottom w:w="0" w:type="dxa"/>
              <w:right w:w="28" w:type="dxa"/>
            </w:tcMar>
          </w:tcPr>
          <w:p>
            <w:pPr>
              <w:pStyle w:val="56"/>
            </w:pPr>
            <w:r>
              <w:t>RRC_CONNECTED intra-frequency,</w:t>
            </w:r>
          </w:p>
          <w:p>
            <w:pPr>
              <w:pStyle w:val="56"/>
            </w:pPr>
            <w:r>
              <w:t>RRC_CONNECTED inter-frequency</w:t>
            </w:r>
          </w:p>
        </w:tc>
      </w:tr>
    </w:tbl>
    <w:p>
      <w:pPr>
        <w:spacing w:after="0"/>
        <w:rPr>
          <w:rFonts w:eastAsiaTheme="minorEastAsia"/>
          <w:lang w:eastAsia="zh-CN"/>
        </w:rPr>
      </w:pP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6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shd w:val="clear" w:color="auto" w:fill="C2D69B" w:themeFill="accent3" w:themeFillTint="99"/>
          </w:tcPr>
          <w:p>
            <w:pPr>
              <w:widowControl w:val="0"/>
              <w:jc w:val="center"/>
              <w:rPr>
                <w:b/>
                <w:lang w:eastAsia="zh-CN"/>
              </w:rPr>
            </w:pPr>
            <w:r>
              <w:rPr>
                <w:b/>
                <w:lang w:eastAsia="zh-CN"/>
              </w:rPr>
              <w:t>Company</w:t>
            </w:r>
          </w:p>
        </w:tc>
        <w:tc>
          <w:tcPr>
            <w:tcW w:w="670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r>
              <w:rPr>
                <w:lang w:eastAsia="zh-CN"/>
              </w:rPr>
              <w:t>Samsung</w:t>
            </w:r>
          </w:p>
        </w:tc>
        <w:tc>
          <w:tcPr>
            <w:tcW w:w="6702" w:type="dxa"/>
          </w:tcPr>
          <w:p>
            <w:pPr>
              <w:widowControl w:val="0"/>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rFonts w:hint="eastAsia" w:eastAsia="Malgun Gothic"/>
                <w:lang w:eastAsia="ko-KR"/>
              </w:rPr>
            </w:pPr>
            <w:r>
              <w:rPr>
                <w:rFonts w:hint="eastAsia" w:eastAsia="Malgun Gothic"/>
                <w:lang w:eastAsia="ko-KR"/>
              </w:rPr>
              <w:t>LG Electronics</w:t>
            </w:r>
          </w:p>
        </w:tc>
        <w:tc>
          <w:tcPr>
            <w:tcW w:w="6702" w:type="dxa"/>
          </w:tcPr>
          <w:p>
            <w:pPr>
              <w:widowControl w:val="0"/>
              <w:rPr>
                <w:lang w:eastAsia="zh-CN"/>
              </w:rPr>
            </w:pPr>
            <w:r>
              <w:rPr>
                <w:rFonts w:hint="eastAsia" w:eastAsia="Malgun Gothic"/>
                <w:lang w:eastAsia="ko-KR"/>
              </w:rPr>
              <w:t>Agree with Samsung</w:t>
            </w:r>
            <w:r>
              <w:rPr>
                <w:rFonts w:eastAsia="Malgun Gothic"/>
                <w:lang w:eastAsia="ko-KR"/>
              </w:rPr>
              <w:t>. To merge two TPs and minimize spec impact, the following TP can be considered.</w:t>
            </w:r>
          </w:p>
          <w:tbl>
            <w:tblPr>
              <w:tblStyle w:val="31"/>
              <w:tblW w:w="6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6" w:type="dxa"/>
                </w:tcPr>
                <w:p>
                  <w:pPr>
                    <w:pStyle w:val="56"/>
                    <w:widowControl w:val="0"/>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0"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1"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2" w:author="김선욱/책임연구원/미래기술센터 C&amp;M표준(연)5G무선통신표준Task(seonwook.kim@lge.com)" w:date="2020-04-21T16:24:00Z">
                    <w:r>
                      <w:rPr>
                        <w:lang w:eastAsia="en-GB"/>
                      </w:rPr>
                      <w:delText xml:space="preserve">configured </w:delText>
                    </w:r>
                  </w:del>
                  <w:r>
                    <w:t xml:space="preserve">measurement bandwidth </w:t>
                  </w:r>
                  <w:del w:id="3" w:author="김선욱/책임연구원/미래기술센터 C&amp;M표준(연)5G무선통신표준Task(seonwook.kim@lge.com)" w:date="2020-04-21T16:24:00Z">
                    <w:r>
                      <w:rPr/>
                      <w:delText xml:space="preserve">over </w:delText>
                    </w:r>
                  </w:del>
                  <w:del w:id="4" w:author="김선욱/책임연구원/미래기술센터 C&amp;M표준(연)5G무선통신표준Task(seonwook.kim@lge.com)" w:date="2020-04-21T16:24:00Z">
                    <w:r>
                      <w:rPr>
                        <w:i/>
                        <w:iCs/>
                        <w:lang w:eastAsia="en-GB"/>
                      </w:rPr>
                      <w:delText>N</w:delText>
                    </w:r>
                  </w:del>
                  <w:del w:id="5" w:author="김선욱/책임연구원/미래기술센터 C&amp;M표준(연)5G무선통신표준Task(seonwook.kim@lge.com)" w:date="2020-04-21T16:24:00Z">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the channel</w:t>
                    </w:r>
                  </w:ins>
                  <w:del w:id="7" w:author="김선욱/책임연구원/미래기술센터 C&amp;M표준(연)5G무선통신표준Task(seonwook.kim@lge.com)" w:date="2020-04-21T16:24:00Z">
                    <w:r>
                      <w:rPr>
                        <w:lang w:eastAsia="en-GB"/>
                      </w:rPr>
                      <w:delText xml:space="preserve">LBT </w:delText>
                    </w:r>
                  </w:del>
                  <w:r>
                    <w:rPr>
                      <w:lang w:eastAsia="en-GB"/>
                    </w:rPr>
                    <w:t xml:space="preserve">bandwidth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the cente</w:t>
                  </w:r>
                  <w:bookmarkStart w:id="15" w:name="_GoBack"/>
                  <w:bookmarkEnd w:id="15"/>
                  <w:r>
                    <w:rPr>
                      <w:lang w:eastAsia="en-GB"/>
                    </w:rPr>
                    <w:t xml:space="preserve">r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-valueNR</w:t>
                    </w:r>
                  </w:ins>
                  <w:r>
                    <w:rPr>
                      <w:lang w:eastAsia="en-GB"/>
                    </w:rPr>
                    <w:t>, by the UE from all sources, including co-channel serving and non-serving cells, adjacent channel interference, thermal noise etc.</w:t>
                  </w:r>
                </w:p>
                <w:p>
                  <w:pPr>
                    <w:pStyle w:val="56"/>
                    <w:widowControl w:val="0"/>
                    <w:rPr>
                      <w:lang w:eastAsia="en-GB"/>
                    </w:rPr>
                  </w:pPr>
                </w:p>
                <w:p>
                  <w:pPr>
                    <w:pStyle w:val="56"/>
                    <w:widowControl w:val="0"/>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ARFCN-valueNR</w:t>
                    </w:r>
                  </w:ins>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 xml:space="preserve">measurement duration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pPr>
              <w:widowControl w:val="0"/>
              <w:rPr>
                <w:rFonts w:hint="eastAsia"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vAlign w:val="top"/>
          </w:tcPr>
          <w:p>
            <w:pPr>
              <w:widowControl w:val="0"/>
              <w:rPr>
                <w:lang w:eastAsia="zh-CN"/>
              </w:rPr>
            </w:pPr>
            <w:r>
              <w:rPr>
                <w:rFonts w:hint="eastAsia"/>
                <w:lang w:val="en-US" w:eastAsia="zh-CN"/>
              </w:rPr>
              <w:t>ZTE</w:t>
            </w:r>
          </w:p>
        </w:tc>
        <w:tc>
          <w:tcPr>
            <w:tcW w:w="6702" w:type="dxa"/>
            <w:vAlign w:val="top"/>
          </w:tcPr>
          <w:p>
            <w:pPr>
              <w:widowControl w:val="0"/>
              <w:rPr>
                <w:rFonts w:hint="default"/>
                <w:lang w:val="en-US" w:eastAsia="zh-CN"/>
              </w:rPr>
            </w:pPr>
            <w:r>
              <w:rPr>
                <w:rFonts w:hint="eastAsia"/>
                <w:lang w:val="en-US" w:eastAsia="zh-CN"/>
              </w:rPr>
              <w:t>We basiclly agree with LG</w:t>
            </w:r>
            <w:r>
              <w:rPr>
                <w:rFonts w:hint="default"/>
                <w:lang w:val="en-US" w:eastAsia="zh-CN"/>
              </w:rPr>
              <w:t>’</w:t>
            </w:r>
            <w:r>
              <w:rPr>
                <w:rFonts w:hint="eastAsia"/>
                <w:lang w:val="en-US" w:eastAsia="zh-CN"/>
              </w:rPr>
              <w:t>s TP.</w:t>
            </w:r>
          </w:p>
          <w:p>
            <w:pPr>
              <w:widowControl w:val="0"/>
              <w:rPr>
                <w:rFonts w:hint="eastAsia"/>
                <w:lang w:val="en-US" w:eastAsia="zh-CN"/>
              </w:rPr>
            </w:pPr>
            <w:r>
              <w:rPr>
                <w:rFonts w:hint="eastAsia"/>
                <w:lang w:val="en-US" w:eastAsia="zh-CN"/>
              </w:rPr>
              <w:t xml:space="preserve">Our understanding is that, the only difference of RSSI measurement between Rel-16 NRU and Rel-13 LAA is the newly introduced reference numerology and </w:t>
            </w:r>
            <w:r>
              <w:t>LBT bandwidth with the center frequency</w:t>
            </w:r>
            <w:r>
              <w:rPr>
                <w:rFonts w:hint="eastAsia"/>
                <w:lang w:val="en-US" w:eastAsia="zh-CN"/>
              </w:rPr>
              <w:t>.</w:t>
            </w:r>
          </w:p>
          <w:p>
            <w:pPr>
              <w:widowControl w:val="0"/>
              <w:rPr>
                <w:rFonts w:hint="default"/>
                <w:lang w:val="en-US" w:eastAsia="zh-CN"/>
              </w:rPr>
            </w:pPr>
            <w:r>
              <w:rPr>
                <w:rFonts w:hint="eastAsia"/>
                <w:lang w:val="en-US" w:eastAsia="zh-CN"/>
              </w:rPr>
              <w:t xml:space="preserve">We agree to replace </w:t>
            </w:r>
            <w:r>
              <w:rPr>
                <w:rFonts w:hint="default"/>
                <w:lang w:val="en-US" w:eastAsia="zh-CN"/>
              </w:rPr>
              <w:t>‘</w:t>
            </w:r>
            <w:r>
              <w:rPr>
                <w:rFonts w:hint="eastAsia"/>
                <w:lang w:val="en-US" w:eastAsia="zh-CN"/>
              </w:rPr>
              <w:t>LBT bandwidth</w:t>
            </w:r>
            <w:r>
              <w:rPr>
                <w:rFonts w:hint="default"/>
                <w:lang w:val="en-US" w:eastAsia="zh-CN"/>
              </w:rPr>
              <w:t>’</w:t>
            </w:r>
            <w:r>
              <w:rPr>
                <w:rFonts w:hint="eastAsia"/>
                <w:lang w:val="en-US" w:eastAsia="zh-CN"/>
              </w:rPr>
              <w:t xml:space="preserve"> with </w:t>
            </w:r>
            <w:r>
              <w:rPr>
                <w:rFonts w:hint="default"/>
                <w:lang w:val="en-US" w:eastAsia="zh-CN"/>
              </w:rPr>
              <w:t>‘</w:t>
            </w:r>
            <w:r>
              <w:rPr>
                <w:rFonts w:hint="eastAsia"/>
                <w:lang w:val="en-US" w:eastAsia="zh-CN"/>
              </w:rPr>
              <w:t>channel bandwidth</w:t>
            </w:r>
            <w:r>
              <w:rPr>
                <w:rFonts w:hint="default"/>
                <w:lang w:val="en-US" w:eastAsia="zh-CN"/>
              </w:rPr>
              <w:t>’</w:t>
            </w:r>
            <w:r>
              <w:rPr>
                <w:rFonts w:hint="eastAsia"/>
                <w:lang w:val="en-US" w:eastAsia="zh-CN"/>
              </w:rPr>
              <w:t xml:space="preserve"> in TP1. As for the statement of  </w:t>
            </w:r>
            <w:r>
              <w:rPr>
                <w:rFonts w:hint="default"/>
                <w:lang w:val="en-US" w:eastAsia="zh-CN"/>
              </w:rPr>
              <w:t>‘</w:t>
            </w:r>
            <w:r>
              <w:rPr>
                <w:rFonts w:hint="eastAsia"/>
                <w:lang w:val="en-US" w:eastAsia="zh-CN"/>
              </w:rPr>
              <w:t>the configured OFDM symbol</w:t>
            </w:r>
            <w:r>
              <w:rPr>
                <w:rFonts w:hint="default"/>
                <w:lang w:val="en-US" w:eastAsia="zh-CN"/>
              </w:rPr>
              <w:t>’</w:t>
            </w:r>
            <w:r>
              <w:rPr>
                <w:rFonts w:hint="eastAsia"/>
                <w:lang w:val="en-US" w:eastAsia="zh-CN"/>
              </w:rPr>
              <w:t>, it absolutely follows the definition in Rel-13 which doesn</w:t>
            </w:r>
            <w:r>
              <w:rPr>
                <w:rFonts w:hint="default"/>
                <w:lang w:val="en-US" w:eastAsia="zh-CN"/>
              </w:rPr>
              <w:t>’</w:t>
            </w:r>
            <w:r>
              <w:rPr>
                <w:rFonts w:hint="eastAsia"/>
                <w:lang w:val="en-US" w:eastAsia="zh-CN"/>
              </w:rPr>
              <w:t xml:space="preserve">t need to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5" w:type="dxa"/>
          </w:tcPr>
          <w:p>
            <w:pPr>
              <w:widowControl w:val="0"/>
              <w:rPr>
                <w:lang w:eastAsia="zh-CN"/>
              </w:rPr>
            </w:pPr>
          </w:p>
        </w:tc>
        <w:tc>
          <w:tcPr>
            <w:tcW w:w="6702" w:type="dxa"/>
          </w:tcPr>
          <w:p>
            <w:pPr>
              <w:widowControl w:val="0"/>
              <w:rPr>
                <w:lang w:eastAsia="zh-CN"/>
              </w:rPr>
            </w:pPr>
          </w:p>
        </w:tc>
      </w:tr>
    </w:tbl>
    <w:p>
      <w:pPr>
        <w:rPr>
          <w:lang w:eastAsia="zh-CN"/>
        </w:rPr>
      </w:pPr>
    </w:p>
    <w:p>
      <w:pPr>
        <w:rPr>
          <w:lang w:eastAsia="zh-CN"/>
        </w:rPr>
      </w:pPr>
    </w:p>
    <w:p>
      <w:pPr>
        <w:pStyle w:val="3"/>
        <w:rPr>
          <w:lang w:eastAsia="zh-CN"/>
        </w:rPr>
      </w:pPr>
      <w:r>
        <w:rPr>
          <w:lang w:eastAsia="zh-CN"/>
        </w:rPr>
        <w:t>Finalize the number of OFDM symbols for RSSI measurement duration configuration</w:t>
      </w:r>
    </w:p>
    <w:p>
      <w:pPr>
        <w:rPr>
          <w:lang w:eastAsia="zh-CN"/>
        </w:rPr>
      </w:pPr>
    </w:p>
    <w:p>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fldChar w:fldCharType="separate"/>
      </w:r>
      <w:r>
        <w:rPr>
          <w:lang w:eastAsia="zh-CN"/>
        </w:rPr>
        <w:t>[8]</w:t>
      </w:r>
      <w:r>
        <w:rPr>
          <w:lang w:eastAsia="zh-CN"/>
        </w:rPr>
        <w:fldChar w:fldCharType="end"/>
      </w:r>
      <w:r>
        <w:rPr>
          <w:lang w:eastAsia="zh-CN"/>
        </w:rPr>
        <w:t>.</w:t>
      </w:r>
    </w:p>
    <w:p>
      <w:pPr>
        <w:kinsoku w:val="0"/>
        <w:overflowPunct w:val="0"/>
        <w:spacing w:after="60"/>
        <w:textAlignment w:val="baseline"/>
      </w:pPr>
      <w:r>
        <w:t>Alt. 1: The number of OFDM symbols for RSSI measurement duration should be scale with configured reference SCS. i.e.</w:t>
      </w:r>
    </w:p>
    <w:p>
      <w:pPr>
        <w:kinsoku w:val="0"/>
        <w:overflowPunct w:val="0"/>
        <w:spacing w:after="60"/>
        <w:textAlignment w:val="baseline"/>
      </w:pPr>
      <w:r>
        <w:t>·</w:t>
      </w:r>
      <w:r>
        <w:tab/>
      </w:r>
      <w:r>
        <w:t>For 15 kHz: {sym1, sym14, sym28, sym42, sym70}</w:t>
      </w:r>
    </w:p>
    <w:p>
      <w:pPr>
        <w:kinsoku w:val="0"/>
        <w:overflowPunct w:val="0"/>
        <w:spacing w:after="60"/>
        <w:textAlignment w:val="baseline"/>
      </w:pPr>
      <w:r>
        <w:t>·</w:t>
      </w:r>
      <w:r>
        <w:tab/>
      </w:r>
      <w:r>
        <w:t>For 30 kHz: {sym2, sym28, sym54, sym84, sym140}</w:t>
      </w:r>
    </w:p>
    <w:p>
      <w:pPr>
        <w:kinsoku w:val="0"/>
        <w:overflowPunct w:val="0"/>
        <w:spacing w:after="60"/>
        <w:textAlignment w:val="baseline"/>
      </w:pPr>
      <w:r>
        <w:t>·</w:t>
      </w:r>
      <w:r>
        <w:tab/>
      </w:r>
      <w:r>
        <w:t>For 60 kHz+NCP: {sym4, sym56, sym108, sym168, sym280}</w:t>
      </w:r>
    </w:p>
    <w:p>
      <w:pPr>
        <w:kinsoku w:val="0"/>
        <w:overflowPunct w:val="0"/>
        <w:spacing w:after="60"/>
        <w:textAlignment w:val="baseline"/>
      </w:pPr>
      <w:r>
        <w:t>·</w:t>
      </w:r>
      <w:r>
        <w:tab/>
      </w:r>
      <w:r>
        <w:t>For 60 kHz+ECP: {sym4, sym48, sym96, sym144, sym240}</w:t>
      </w:r>
    </w:p>
    <w:p>
      <w:r>
        <w:t>Alt. 2: Add extra symbols or modify supported symbols of baseline set {sym1, sym14, sym28, sym42, sym70} to account for ECP.</w:t>
      </w:r>
    </w:p>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shd w:val="clear" w:color="auto" w:fill="C2D69B" w:themeFill="accent3" w:themeFillTint="99"/>
          </w:tcPr>
          <w:p>
            <w:pPr>
              <w:widowControl w:val="0"/>
              <w:jc w:val="center"/>
              <w:rPr>
                <w:b/>
                <w:lang w:eastAsia="zh-CN"/>
              </w:rPr>
            </w:pPr>
            <w:r>
              <w:rPr>
                <w:b/>
                <w:lang w:eastAsia="zh-CN"/>
              </w:rPr>
              <w:t>Company</w:t>
            </w:r>
          </w:p>
        </w:tc>
        <w:tc>
          <w:tcPr>
            <w:tcW w:w="661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r>
              <w:rPr>
                <w:lang w:eastAsia="zh-CN"/>
              </w:rPr>
              <w:t>Samsung</w:t>
            </w:r>
          </w:p>
        </w:tc>
        <w:tc>
          <w:tcPr>
            <w:tcW w:w="6612" w:type="dxa"/>
          </w:tcPr>
          <w:p>
            <w:pPr>
              <w:widowControl w:val="0"/>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One further comment on Alt 1 is, the number of symbols may not exactly follow the scaling of SCS, for example, 1 symbol RSSI measurement should be always useful to keep.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rFonts w:hint="eastAsia" w:eastAsia="Malgun Gothic"/>
                <w:lang w:eastAsia="ko-KR"/>
              </w:rPr>
            </w:pPr>
            <w:r>
              <w:rPr>
                <w:rFonts w:hint="eastAsia" w:eastAsia="Malgun Gothic"/>
                <w:lang w:eastAsia="ko-KR"/>
              </w:rPr>
              <w:t>LG Electronics</w:t>
            </w:r>
          </w:p>
        </w:tc>
        <w:tc>
          <w:tcPr>
            <w:tcW w:w="6612" w:type="dxa"/>
          </w:tcPr>
          <w:p>
            <w:pPr>
              <w:widowControl w:val="0"/>
              <w:rPr>
                <w:rFonts w:hint="eastAsia" w:eastAsia="Malgun Gothic"/>
                <w:lang w:eastAsia="ko-KR"/>
              </w:rPr>
            </w:pPr>
            <w:r>
              <w:rPr>
                <w:rFonts w:hint="eastAsia" w:eastAsia="Malgun Gothic"/>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vAlign w:val="top"/>
          </w:tcPr>
          <w:p>
            <w:pPr>
              <w:widowControl w:val="0"/>
              <w:rPr>
                <w:lang w:eastAsia="zh-CN"/>
              </w:rPr>
            </w:pPr>
            <w:r>
              <w:rPr>
                <w:rFonts w:hint="eastAsia"/>
                <w:lang w:val="en-US" w:eastAsia="zh-CN"/>
              </w:rPr>
              <w:t>ZTE</w:t>
            </w:r>
          </w:p>
        </w:tc>
        <w:tc>
          <w:tcPr>
            <w:tcW w:w="6612" w:type="dxa"/>
            <w:vAlign w:val="top"/>
          </w:tcPr>
          <w:p>
            <w:pPr>
              <w:widowControl w:val="0"/>
              <w:rPr>
                <w:lang w:eastAsia="zh-CN"/>
              </w:rPr>
            </w:pPr>
            <w:r>
              <w:rPr>
                <w:rFonts w:hint="eastAsia"/>
                <w:lang w:val="en-US" w:eastAsia="zh-CN"/>
              </w:rPr>
              <w:t>We prefer Alt. 2.  For Alt. 1, We don</w:t>
            </w:r>
            <w:r>
              <w:rPr>
                <w:rFonts w:hint="default"/>
                <w:lang w:val="en-US" w:eastAsia="zh-CN"/>
              </w:rPr>
              <w:t>’</w:t>
            </w:r>
            <w:r>
              <w:rPr>
                <w:rFonts w:hint="eastAsia"/>
                <w:lang w:val="en-US" w:eastAsia="zh-CN"/>
              </w:rPr>
              <w:t>t think we should limit the RSSI measurement duration to a certain time for each SCS. It</w:t>
            </w:r>
            <w:r>
              <w:rPr>
                <w:rFonts w:hint="default"/>
                <w:lang w:val="en-US" w:eastAsia="zh-CN"/>
              </w:rPr>
              <w:t>’</w:t>
            </w:r>
            <w:r>
              <w:rPr>
                <w:rFonts w:hint="eastAsia"/>
                <w:lang w:val="en-US" w:eastAsia="zh-CN"/>
              </w:rPr>
              <w:t>s better to keep the current symbol set and change the configurable reference SCS to achieve different time duration for different SCS. Besides, it</w:t>
            </w:r>
            <w:r>
              <w:rPr>
                <w:rFonts w:hint="default"/>
                <w:lang w:val="en-US" w:eastAsia="zh-CN"/>
              </w:rPr>
              <w:t>’</w:t>
            </w:r>
            <w:r>
              <w:rPr>
                <w:rFonts w:hint="eastAsia"/>
                <w:lang w:val="en-US" w:eastAsia="zh-CN"/>
              </w:rPr>
              <w:t>s reasonable to add some values for ECP.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5" w:type="dxa"/>
          </w:tcPr>
          <w:p>
            <w:pPr>
              <w:widowControl w:val="0"/>
              <w:rPr>
                <w:lang w:eastAsia="zh-CN"/>
              </w:rPr>
            </w:pPr>
          </w:p>
        </w:tc>
        <w:tc>
          <w:tcPr>
            <w:tcW w:w="6612" w:type="dxa"/>
          </w:tcPr>
          <w:p>
            <w:pPr>
              <w:widowControl w:val="0"/>
              <w:rPr>
                <w:lang w:eastAsia="zh-CN"/>
              </w:rPr>
            </w:pPr>
          </w:p>
        </w:tc>
      </w:tr>
    </w:tbl>
    <w:p>
      <w:pPr>
        <w:rPr>
          <w:lang w:eastAsia="zh-CN"/>
        </w:rPr>
      </w:pPr>
    </w:p>
    <w:p>
      <w:pPr>
        <w:spacing w:after="0"/>
        <w:rPr>
          <w:rFonts w:eastAsiaTheme="minorEastAsia"/>
          <w:lang w:eastAsia="zh-CN"/>
        </w:rPr>
      </w:pPr>
      <w:bookmarkStart w:id="2" w:name="_Ref124671424"/>
      <w:bookmarkStart w:id="3" w:name="_Ref71620620"/>
      <w:bookmarkStart w:id="4" w:name="_Ref124589665"/>
      <w:bookmarkStart w:id="5" w:name="_Ref129681832"/>
    </w:p>
    <w:p>
      <w:pPr>
        <w:spacing w:after="0"/>
        <w:rPr>
          <w:rFonts w:eastAsiaTheme="minorEastAsia"/>
          <w:lang w:eastAsia="zh-CN"/>
        </w:rPr>
      </w:pPr>
    </w:p>
    <w:p>
      <w:pPr>
        <w:spacing w:after="0"/>
        <w:rPr>
          <w:lang w:eastAsia="zh-CN"/>
        </w:rPr>
      </w:pPr>
      <w:r>
        <w:rPr>
          <w:lang w:eastAsia="zh-CN"/>
        </w:rPr>
        <w:t xml:space="preserve"> </w:t>
      </w:r>
    </w:p>
    <w:p>
      <w:pPr>
        <w:spacing w:after="0"/>
        <w:rPr>
          <w:lang w:val="en-GB" w:eastAsia="zh-CN"/>
        </w:rPr>
      </w:pPr>
    </w:p>
    <w:p>
      <w:pPr>
        <w:pStyle w:val="2"/>
        <w:numPr>
          <w:ilvl w:val="0"/>
          <w:numId w:val="0"/>
        </w:numPr>
        <w:spacing w:before="0" w:after="0"/>
        <w:ind w:left="432" w:hanging="432"/>
      </w:pPr>
      <w:r>
        <w:t>References</w:t>
      </w:r>
    </w:p>
    <w:bookmarkEnd w:id="2"/>
    <w:bookmarkEnd w:id="3"/>
    <w:bookmarkEnd w:id="4"/>
    <w:bookmarkEnd w:id="5"/>
    <w:p>
      <w:pPr>
        <w:pStyle w:val="34"/>
        <w:spacing w:line="259" w:lineRule="auto"/>
        <w:rPr>
          <w:sz w:val="22"/>
          <w:lang w:eastAsia="zh-CN"/>
        </w:rPr>
      </w:pPr>
      <w:bookmarkStart w:id="6" w:name="_Ref37423364"/>
      <w:r>
        <w:rPr>
          <w:sz w:val="22"/>
          <w:lang w:eastAsia="zh-CN"/>
        </w:rPr>
        <w:t>R1-2001535</w:t>
      </w:r>
      <w:r>
        <w:rPr>
          <w:sz w:val="22"/>
          <w:lang w:eastAsia="zh-CN"/>
        </w:rPr>
        <w:tab/>
      </w:r>
      <w:r>
        <w:rPr>
          <w:sz w:val="22"/>
          <w:lang w:eastAsia="zh-CN"/>
        </w:rPr>
        <w:t>Maintainance on the initial access procedures</w:t>
      </w:r>
      <w:r>
        <w:rPr>
          <w:sz w:val="22"/>
          <w:lang w:eastAsia="zh-CN"/>
        </w:rPr>
        <w:tab/>
      </w:r>
      <w:r>
        <w:rPr>
          <w:sz w:val="22"/>
          <w:lang w:eastAsia="zh-CN"/>
        </w:rPr>
        <w:t>Huawei, HiSilicon</w:t>
      </w:r>
      <w:bookmarkEnd w:id="6"/>
    </w:p>
    <w:p>
      <w:pPr>
        <w:pStyle w:val="34"/>
        <w:spacing w:line="259" w:lineRule="auto"/>
        <w:rPr>
          <w:sz w:val="22"/>
          <w:lang w:eastAsia="zh-CN"/>
        </w:rPr>
      </w:pPr>
      <w:r>
        <w:rPr>
          <w:sz w:val="22"/>
          <w:lang w:eastAsia="zh-CN"/>
        </w:rPr>
        <w:t>R1-2001653</w:t>
      </w:r>
      <w:r>
        <w:rPr>
          <w:sz w:val="22"/>
          <w:lang w:eastAsia="zh-CN"/>
        </w:rPr>
        <w:tab/>
      </w:r>
      <w:r>
        <w:rPr>
          <w:sz w:val="22"/>
          <w:lang w:eastAsia="zh-CN"/>
        </w:rPr>
        <w:t>Remaining issues on initial access procedure for NR-U</w:t>
      </w:r>
      <w:r>
        <w:rPr>
          <w:sz w:val="22"/>
          <w:lang w:eastAsia="zh-CN"/>
        </w:rPr>
        <w:tab/>
      </w:r>
      <w:r>
        <w:rPr>
          <w:sz w:val="22"/>
          <w:lang w:eastAsia="zh-CN"/>
        </w:rPr>
        <w:t>vivo</w:t>
      </w:r>
    </w:p>
    <w:p>
      <w:pPr>
        <w:pStyle w:val="34"/>
        <w:spacing w:line="259" w:lineRule="auto"/>
        <w:rPr>
          <w:sz w:val="22"/>
          <w:lang w:eastAsia="zh-CN"/>
        </w:rPr>
      </w:pPr>
      <w:bookmarkStart w:id="7" w:name="_Ref37750119"/>
      <w:r>
        <w:rPr>
          <w:sz w:val="22"/>
          <w:lang w:eastAsia="zh-CN"/>
        </w:rPr>
        <w:t>R1-2001706</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bookmarkEnd w:id="7"/>
    </w:p>
    <w:p>
      <w:pPr>
        <w:pStyle w:val="34"/>
        <w:spacing w:line="259" w:lineRule="auto"/>
        <w:rPr>
          <w:sz w:val="22"/>
          <w:lang w:eastAsia="zh-CN"/>
        </w:rPr>
      </w:pPr>
      <w:r>
        <w:rPr>
          <w:sz w:val="22"/>
          <w:lang w:eastAsia="zh-CN"/>
        </w:rPr>
        <w:t>R1-2001760</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spacing w:line="259" w:lineRule="auto"/>
        <w:rPr>
          <w:sz w:val="22"/>
          <w:lang w:eastAsia="zh-CN"/>
        </w:rPr>
      </w:pPr>
      <w:r>
        <w:rPr>
          <w:sz w:val="22"/>
          <w:lang w:eastAsia="zh-CN"/>
        </w:rPr>
        <w:t>R1-2001936</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p>
    <w:p>
      <w:pPr>
        <w:pStyle w:val="34"/>
        <w:spacing w:line="259" w:lineRule="auto"/>
        <w:rPr>
          <w:sz w:val="22"/>
          <w:lang w:eastAsia="zh-CN"/>
        </w:rPr>
      </w:pPr>
      <w:bookmarkStart w:id="8" w:name="_Ref37759581"/>
      <w:r>
        <w:rPr>
          <w:sz w:val="22"/>
          <w:lang w:eastAsia="zh-CN"/>
        </w:rPr>
        <w:t>R1-2001988</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bookmarkEnd w:id="8"/>
    </w:p>
    <w:p>
      <w:pPr>
        <w:pStyle w:val="34"/>
        <w:spacing w:line="259" w:lineRule="auto"/>
        <w:rPr>
          <w:sz w:val="22"/>
          <w:lang w:eastAsia="zh-CN"/>
        </w:rPr>
      </w:pPr>
      <w:bookmarkStart w:id="9" w:name="_Ref37759557"/>
      <w:r>
        <w:rPr>
          <w:sz w:val="22"/>
          <w:lang w:eastAsia="zh-CN"/>
        </w:rPr>
        <w:t>R1-2002032</w:t>
      </w:r>
      <w:r>
        <w:rPr>
          <w:sz w:val="22"/>
          <w:lang w:eastAsia="zh-CN"/>
        </w:rPr>
        <w:tab/>
      </w:r>
      <w:r>
        <w:rPr>
          <w:sz w:val="22"/>
          <w:lang w:eastAsia="zh-CN"/>
        </w:rPr>
        <w:t>Enhancements to initial access procedures</w:t>
      </w:r>
      <w:r>
        <w:rPr>
          <w:sz w:val="22"/>
          <w:lang w:eastAsia="zh-CN"/>
        </w:rPr>
        <w:tab/>
      </w:r>
      <w:r>
        <w:rPr>
          <w:sz w:val="22"/>
          <w:lang w:eastAsia="zh-CN"/>
        </w:rPr>
        <w:t>Ericsson</w:t>
      </w:r>
      <w:bookmarkEnd w:id="9"/>
    </w:p>
    <w:p>
      <w:pPr>
        <w:pStyle w:val="34"/>
        <w:spacing w:line="259" w:lineRule="auto"/>
        <w:rPr>
          <w:sz w:val="22"/>
          <w:lang w:eastAsia="zh-CN"/>
        </w:rPr>
      </w:pPr>
      <w:bookmarkStart w:id="10" w:name="_Ref38272784"/>
      <w:r>
        <w:rPr>
          <w:sz w:val="22"/>
          <w:lang w:eastAsia="zh-CN"/>
        </w:rPr>
        <w:t>R1-2002118</w:t>
      </w:r>
      <w:r>
        <w:rPr>
          <w:sz w:val="22"/>
          <w:lang w:eastAsia="zh-CN"/>
        </w:rPr>
        <w:tab/>
      </w:r>
      <w:r>
        <w:rPr>
          <w:sz w:val="22"/>
          <w:lang w:eastAsia="zh-CN"/>
        </w:rPr>
        <w:t>Initial access procedures for NR-U</w:t>
      </w:r>
      <w:r>
        <w:rPr>
          <w:sz w:val="22"/>
          <w:lang w:eastAsia="zh-CN"/>
        </w:rPr>
        <w:tab/>
      </w:r>
      <w:r>
        <w:rPr>
          <w:sz w:val="22"/>
          <w:lang w:eastAsia="zh-CN"/>
        </w:rPr>
        <w:t>Samsung</w:t>
      </w:r>
      <w:bookmarkEnd w:id="10"/>
    </w:p>
    <w:p>
      <w:pPr>
        <w:pStyle w:val="34"/>
        <w:spacing w:line="259" w:lineRule="auto"/>
        <w:rPr>
          <w:sz w:val="22"/>
          <w:lang w:eastAsia="zh-CN"/>
        </w:rPr>
      </w:pPr>
      <w:r>
        <w:rPr>
          <w:sz w:val="22"/>
          <w:lang w:eastAsia="zh-CN"/>
        </w:rPr>
        <w:t>R1-2002248</w:t>
      </w:r>
      <w:r>
        <w:rPr>
          <w:sz w:val="22"/>
          <w:lang w:eastAsia="zh-CN"/>
        </w:rPr>
        <w:tab/>
      </w:r>
      <w:r>
        <w:rPr>
          <w:sz w:val="22"/>
          <w:lang w:eastAsia="zh-CN"/>
        </w:rPr>
        <w:t>Remaining issues on initial access procedure for NR-U</w:t>
      </w:r>
      <w:r>
        <w:rPr>
          <w:sz w:val="22"/>
          <w:lang w:eastAsia="zh-CN"/>
        </w:rPr>
        <w:tab/>
      </w:r>
      <w:r>
        <w:rPr>
          <w:sz w:val="22"/>
          <w:lang w:eastAsia="zh-CN"/>
        </w:rPr>
        <w:t>ETRI</w:t>
      </w:r>
    </w:p>
    <w:p>
      <w:pPr>
        <w:pStyle w:val="34"/>
        <w:spacing w:line="259" w:lineRule="auto"/>
        <w:rPr>
          <w:sz w:val="22"/>
          <w:lang w:eastAsia="zh-CN"/>
        </w:rPr>
      </w:pPr>
      <w:r>
        <w:rPr>
          <w:sz w:val="22"/>
          <w:lang w:eastAsia="zh-CN"/>
        </w:rPr>
        <w:t>R1-2002263</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p>
    <w:p>
      <w:pPr>
        <w:pStyle w:val="34"/>
        <w:spacing w:line="259" w:lineRule="auto"/>
        <w:rPr>
          <w:sz w:val="22"/>
          <w:lang w:eastAsia="zh-CN"/>
        </w:rPr>
      </w:pPr>
      <w:bookmarkStart w:id="11" w:name="_Ref37691236"/>
      <w:r>
        <w:rPr>
          <w:sz w:val="22"/>
          <w:lang w:eastAsia="zh-CN"/>
        </w:rPr>
        <w:t>R1-2002278</w:t>
      </w:r>
      <w:r>
        <w:rPr>
          <w:sz w:val="22"/>
          <w:lang w:eastAsia="zh-CN"/>
        </w:rPr>
        <w:tab/>
      </w:r>
      <w:r>
        <w:rPr>
          <w:sz w:val="22"/>
          <w:lang w:eastAsia="zh-CN"/>
        </w:rPr>
        <w:t>On Enhancements to Initial Access Procedures for NR-U</w:t>
      </w:r>
      <w:r>
        <w:rPr>
          <w:sz w:val="22"/>
          <w:lang w:eastAsia="zh-CN"/>
        </w:rPr>
        <w:tab/>
      </w:r>
      <w:r>
        <w:rPr>
          <w:sz w:val="22"/>
          <w:lang w:eastAsia="zh-CN"/>
        </w:rPr>
        <w:t>Nokia, Nokia Shanghai Bell</w:t>
      </w:r>
      <w:bookmarkEnd w:id="11"/>
    </w:p>
    <w:p>
      <w:pPr>
        <w:pStyle w:val="34"/>
        <w:spacing w:line="259" w:lineRule="auto"/>
        <w:rPr>
          <w:sz w:val="22"/>
          <w:lang w:eastAsia="zh-CN"/>
        </w:rPr>
      </w:pPr>
      <w:bookmarkStart w:id="12" w:name="_Ref38271714"/>
      <w:r>
        <w:rPr>
          <w:sz w:val="22"/>
          <w:lang w:eastAsia="zh-CN"/>
        </w:rPr>
        <w:t>R1-2002407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bookmarkEnd w:id="12"/>
    </w:p>
    <w:p>
      <w:pPr>
        <w:pStyle w:val="34"/>
        <w:spacing w:line="259" w:lineRule="auto"/>
        <w:rPr>
          <w:sz w:val="22"/>
          <w:lang w:eastAsia="zh-CN"/>
        </w:rPr>
      </w:pPr>
      <w:bookmarkStart w:id="13" w:name="_Ref37423369"/>
      <w:r>
        <w:rPr>
          <w:sz w:val="22"/>
          <w:lang w:eastAsia="zh-CN"/>
        </w:rPr>
        <w:t>R1-2002531</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bookmarkEnd w:id="13"/>
    </w:p>
    <w:p>
      <w:pPr>
        <w:pStyle w:val="34"/>
        <w:spacing w:after="0"/>
        <w:rPr>
          <w:sz w:val="22"/>
          <w:lang w:eastAsia="zh-CN"/>
        </w:rPr>
      </w:pPr>
      <w:bookmarkStart w:id="14" w:name="_Ref38271291"/>
      <w:r>
        <w:rPr>
          <w:sz w:val="22"/>
          <w:lang w:eastAsia="zh-CN"/>
        </w:rPr>
        <w:t xml:space="preserve">R1-2001701   FL summary 72222 NRU </w:t>
      </w:r>
      <w:r>
        <w:rPr>
          <w:sz w:val="22"/>
          <w:lang w:eastAsia="zh-CN"/>
        </w:rPr>
        <w:tab/>
      </w:r>
      <w:r>
        <w:rPr>
          <w:sz w:val="22"/>
          <w:lang w:eastAsia="zh-CN"/>
        </w:rPr>
        <w:t>Charter Communications</w:t>
      </w:r>
      <w:bookmarkEnd w:id="14"/>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540"/>
        </w:tabs>
        <w:ind w:left="540" w:hanging="360"/>
      </w:pPr>
    </w:lvl>
  </w:abstractNum>
  <w:abstractNum w:abstractNumId="3">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qFormat/>
    <w:uiPriority w:val="0"/>
    <w:rPr>
      <w:b/>
      <w:bCs/>
    </w:rPr>
  </w:style>
  <w:style w:type="paragraph" w:styleId="13">
    <w:name w:val="annotation text"/>
    <w:basedOn w:val="1"/>
    <w:link w:val="53"/>
    <w:unhideWhenUsed/>
    <w:qFormat/>
    <w:uiPriority w:val="99"/>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unhideWhenUsed/>
    <w:qFormat/>
    <w:uiPriority w:val="0"/>
    <w:rPr>
      <w:sz w:val="21"/>
      <w:szCs w:val="21"/>
    </w:rPr>
  </w:style>
  <w:style w:type="character" w:styleId="29">
    <w:name w:val="footnote reference"/>
    <w:basedOn w:val="25"/>
    <w:semiHidden/>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본문 Char"/>
    <w:basedOn w:val="25"/>
    <w:link w:val="17"/>
    <w:uiPriority w:val="0"/>
  </w:style>
  <w:style w:type="character" w:customStyle="1" w:styleId="33">
    <w:name w:val="캡션 Char"/>
    <w:basedOn w:val="25"/>
    <w:link w:val="14"/>
    <w:qFormat/>
    <w:uiPriority w:val="0"/>
    <w:rPr>
      <w:b/>
      <w:bCs/>
    </w:rPr>
  </w:style>
  <w:style w:type="paragraph" w:customStyle="1" w:styleId="34">
    <w:name w:val="References"/>
    <w:basedOn w:val="1"/>
    <w:qFormat/>
    <w:uiPriority w:val="0"/>
    <w:pPr>
      <w:numPr>
        <w:ilvl w:val="0"/>
        <w:numId w:val="2"/>
      </w:numPr>
      <w:tabs>
        <w:tab w:val="left" w:pos="360"/>
        <w:tab w:val="clear" w:pos="540"/>
      </w:tabs>
      <w:adjustRightInd/>
      <w:spacing w:after="60"/>
      <w:ind w:left="360"/>
    </w:pPr>
    <w:rPr>
      <w:sz w:val="20"/>
      <w:szCs w:val="16"/>
    </w:rPr>
  </w:style>
  <w:style w:type="paragraph" w:customStyle="1" w:styleId="35">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머리글 Char"/>
    <w:basedOn w:val="25"/>
    <w:link w:val="21"/>
    <w:qFormat/>
    <w:uiPriority w:val="0"/>
    <w:rPr>
      <w:sz w:val="22"/>
      <w:szCs w:val="22"/>
    </w:rPr>
  </w:style>
  <w:style w:type="character" w:customStyle="1" w:styleId="40">
    <w:name w:val="바닥글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목록 단락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제목 2 Char"/>
    <w:basedOn w:val="25"/>
    <w:link w:val="3"/>
    <w:qFormat/>
    <w:uiPriority w:val="9"/>
    <w:rPr>
      <w:b/>
      <w:bCs/>
      <w:sz w:val="24"/>
      <w:szCs w:val="22"/>
    </w:rPr>
  </w:style>
  <w:style w:type="character" w:customStyle="1" w:styleId="53">
    <w:name w:val="메모 텍스트 Char"/>
    <w:basedOn w:val="25"/>
    <w:link w:val="13"/>
    <w:qFormat/>
    <w:uiPriority w:val="99"/>
    <w:rPr>
      <w:sz w:val="22"/>
      <w:szCs w:val="22"/>
    </w:rPr>
  </w:style>
  <w:style w:type="character" w:customStyle="1" w:styleId="54">
    <w:name w:val="메모 주제 Char"/>
    <w:basedOn w:val="53"/>
    <w:link w:val="12"/>
    <w:semiHidden/>
    <w:qFormat/>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
    <w:hidden/>
    <w:semiHidden/>
    <w:qFormat/>
    <w:uiPriority w:val="99"/>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Default"/>
    <w:qFormat/>
    <w:uiPriority w:val="0"/>
    <w:pPr>
      <w:autoSpaceDE w:val="0"/>
      <w:autoSpaceDN w:val="0"/>
      <w:adjustRightInd w:val="0"/>
      <w:spacing w:after="120"/>
    </w:pPr>
    <w:rPr>
      <w:rFonts w:ascii="Arial" w:hAnsi="Arial" w:eastAsia="宋体" w:cs="Arial"/>
      <w:color w:val="000000"/>
      <w:sz w:val="24"/>
      <w:szCs w:val="24"/>
      <w:lang w:val="en-US" w:eastAsia="en-US" w:bidi="ar-SA"/>
    </w:rPr>
  </w:style>
  <w:style w:type="paragraph" w:customStyle="1" w:styleId="64">
    <w:name w:val="TAH"/>
    <w:basedOn w:val="65"/>
    <w:link w:val="70"/>
    <w:qFormat/>
    <w:uiPriority w:val="0"/>
    <w:rPr>
      <w:b/>
    </w:rPr>
  </w:style>
  <w:style w:type="paragraph" w:customStyle="1" w:styleId="65">
    <w:name w:val="TAC"/>
    <w:basedOn w:val="56"/>
    <w:link w:val="69"/>
    <w:qFormat/>
    <w:uiPriority w:val="0"/>
    <w:pPr>
      <w:overflowPunct w:val="0"/>
      <w:autoSpaceDE w:val="0"/>
      <w:autoSpaceDN w:val="0"/>
      <w:adjustRightInd w:val="0"/>
      <w:jc w:val="center"/>
      <w:textAlignment w:val="baseline"/>
    </w:pPr>
    <w:rPr>
      <w:rFonts w:eastAsia="宋体"/>
    </w:rPr>
  </w:style>
  <w:style w:type="paragraph" w:customStyle="1" w:styleId="66">
    <w:name w:val="TH"/>
    <w:basedOn w:val="1"/>
    <w:link w:val="68"/>
    <w:qFormat/>
    <w:uiPriority w:val="0"/>
    <w:pPr>
      <w:keepNext/>
      <w:keepLines/>
      <w:overflowPunct w:val="0"/>
      <w:snapToGrid/>
      <w:spacing w:before="60" w:after="180"/>
      <w:jc w:val="center"/>
      <w:textAlignment w:val="baseline"/>
    </w:pPr>
    <w:rPr>
      <w:rFonts w:ascii="Arial" w:hAnsi="Arial"/>
      <w:b/>
      <w:sz w:val="20"/>
      <w:szCs w:val="20"/>
      <w:lang w:val="en-GB"/>
    </w:rPr>
  </w:style>
  <w:style w:type="character" w:customStyle="1" w:styleId="67">
    <w:name w:val="B1 Char"/>
    <w:qFormat/>
    <w:locked/>
    <w:uiPriority w:val="0"/>
    <w:rPr>
      <w:rFonts w:ascii="Times New Roman" w:hAnsi="Times New Roman"/>
      <w:lang w:val="en-GB"/>
    </w:rPr>
  </w:style>
  <w:style w:type="character" w:customStyle="1" w:styleId="68">
    <w:name w:val="TH Char"/>
    <w:link w:val="66"/>
    <w:qFormat/>
    <w:uiPriority w:val="0"/>
    <w:rPr>
      <w:rFonts w:ascii="Arial" w:hAnsi="Arial"/>
      <w:b/>
      <w:lang w:val="en-GB"/>
    </w:rPr>
  </w:style>
  <w:style w:type="character" w:customStyle="1" w:styleId="69">
    <w:name w:val="TAC Char"/>
    <w:link w:val="65"/>
    <w:qFormat/>
    <w:locked/>
    <w:uiPriority w:val="0"/>
    <w:rPr>
      <w:rFonts w:ascii="Arial" w:hAnsi="Arial"/>
      <w:sz w:val="18"/>
      <w:lang w:val="en-GB"/>
    </w:rPr>
  </w:style>
  <w:style w:type="character" w:customStyle="1" w:styleId="70">
    <w:name w:val="TAH Car"/>
    <w:link w:val="64"/>
    <w:qFormat/>
    <w:uiPriority w:val="0"/>
    <w:rPr>
      <w:rFonts w:ascii="Arial" w:hAnsi="Arial"/>
      <w:b/>
      <w:sz w:val="18"/>
      <w:lang w:val="en-GB"/>
    </w:rPr>
  </w:style>
  <w:style w:type="character" w:customStyle="1" w:styleId="71">
    <w:name w:val="TAL Char"/>
    <w:qFormat/>
    <w:uiPriority w:val="0"/>
    <w:rPr>
      <w:rFonts w:ascii="Arial" w:hAnsi="Arial" w:eastAsia="Times New Roman"/>
      <w:sz w:val="18"/>
      <w:lang w:val="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2F9C1-3704-4C82-AC4A-CF42084ADA0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4</Pages>
  <Words>974</Words>
  <Characters>5554</Characters>
  <Lines>46</Lines>
  <Paragraphs>13</Paragraphs>
  <TotalTime>18</TotalTime>
  <ScaleCrop>false</ScaleCrop>
  <LinksUpToDate>false</LinksUpToDate>
  <CharactersWithSpaces>6515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2020-04-21T07:36:00Z</dcterms:created>
  <dc:creator>min zhang</dc:creator>
  <cp:lastModifiedBy>Ziyang ZTE</cp:lastModifiedBy>
  <cp:lastPrinted>2007-06-18T22:08:00Z</cp:lastPrinted>
  <dcterms:modified xsi:type="dcterms:W3CDTF">2020-04-21T08:12:27Z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