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kern w:val="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#100b-e                    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R1-200xxxx</w:t>
      </w:r>
    </w:p>
    <w:p>
      <w:pPr>
        <w:rPr>
          <w:b/>
          <w:bCs/>
          <w:lang w:eastAsia="zh-CN"/>
        </w:rPr>
      </w:pPr>
      <w:r>
        <w:rPr>
          <w:b/>
          <w:bCs/>
          <w:lang w:eastAsia="zh-CN"/>
        </w:rPr>
        <w:t>eMeeting, April 20 - 30, 2020</w:t>
      </w:r>
    </w:p>
    <w:p>
      <w:pPr>
        <w:pBdr>
          <w:top w:val="single" w:color="auto" w:sz="4" w:space="1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7.2.2.2.2</w:t>
      </w:r>
    </w:p>
    <w:p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(Charter Communications)</w:t>
      </w:r>
    </w:p>
    <w:p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Draft [100b-e-NR-unlic-NRU-InitAccessProc-01]</w:t>
      </w:r>
    </w:p>
    <w:p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 xml:space="preserve">Discussion and Decision </w:t>
      </w:r>
    </w:p>
    <w:p>
      <w:pPr>
        <w:pBdr>
          <w:bottom w:val="single" w:color="auto" w:sz="4" w:space="1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>
      <w:pPr>
        <w:pStyle w:val="2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Three email discussions have been sanctioned in RAN1#100b-e on initial access procedures for NR-U. This first discussion that aims to converge by 4/24 has the following scope:</w:t>
      </w:r>
    </w:p>
    <w:p>
      <w:pPr>
        <w:spacing w:after="0"/>
        <w:rPr>
          <w:rFonts w:eastAsiaTheme="minorEastAsia"/>
          <w:lang w:eastAsia="zh-CN"/>
        </w:rPr>
      </w:pPr>
    </w:p>
    <w:p>
      <w:pPr>
        <w:rPr>
          <w:highlight w:val="cyan"/>
        </w:rPr>
      </w:pPr>
      <w:r>
        <w:rPr>
          <w:highlight w:val="cyan"/>
        </w:rPr>
        <w:t>[100b-e-NR-unlic-NRU-InitAccessProc-01] Email discussion/approval on following issues related to SS/PBCH blocks by 4/24; if necessary, followed by endorsing the corresponding TPs by 4/29 – Amitav (Charter)</w:t>
      </w:r>
    </w:p>
    <w:p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>Finalize remaining details of parameter Q signalling and interpretation</w:t>
      </w:r>
    </w:p>
    <w:p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Correct the citation of TS 38.104 in TS 38.213 Subclause 4.1 in relation to the definition of L_max </w:t>
      </w:r>
    </w:p>
    <w:p>
      <w:pPr>
        <w:autoSpaceDE/>
        <w:autoSpaceDN/>
        <w:adjustRightInd/>
        <w:snapToGrid/>
        <w:spacing w:after="0"/>
        <w:jc w:val="left"/>
        <w:rPr>
          <w:lang w:eastAsia="zh-CN"/>
        </w:rPr>
      </w:pPr>
    </w:p>
    <w:p>
      <w:p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These issues have been selected based on the preparatory discussion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_Ref38271291 \r \h </w:instrText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>.</w:t>
      </w:r>
    </w:p>
    <w:p>
      <w:pPr>
        <w:spacing w:after="0"/>
        <w:rPr>
          <w:rFonts w:eastAsiaTheme="minorEastAsia"/>
          <w:lang w:eastAsia="zh-CN"/>
        </w:rPr>
      </w:pPr>
    </w:p>
    <w:p>
      <w:pPr>
        <w:pStyle w:val="2"/>
        <w:rPr>
          <w:lang w:eastAsia="zh-CN"/>
        </w:rPr>
      </w:pPr>
      <w:r>
        <w:rPr>
          <w:lang w:eastAsia="zh-CN"/>
        </w:rPr>
        <w:t>Company views</w:t>
      </w:r>
    </w:p>
    <w:p>
      <w:pPr>
        <w:pStyle w:val="3"/>
        <w:rPr>
          <w:lang w:eastAsia="zh-CN"/>
        </w:rPr>
      </w:pPr>
      <w:r>
        <w:rPr>
          <w:lang w:eastAsia="zh-CN"/>
        </w:rPr>
        <w:t xml:space="preserve">Signaling of Q in MIB based on RAN2 LS response </w:t>
      </w:r>
    </w:p>
    <w:p>
      <w:pPr>
        <w:rPr>
          <w:lang w:eastAsia="zh-CN"/>
        </w:rPr>
      </w:pPr>
      <w:r>
        <w:rPr>
          <w:lang w:eastAsia="zh-CN"/>
        </w:rPr>
        <w:t xml:space="preserve">The issue is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_Ref32859656 \r \h  \* MERGEFORMAT </w:instrText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 xml:space="preserve"> with the following proposal:</w:t>
      </w:r>
    </w:p>
    <w:p>
      <w:pPr>
        <w:rPr>
          <w:lang w:eastAsia="zh-CN"/>
        </w:rPr>
      </w:pPr>
      <w:r>
        <w:rPr>
          <w:b/>
          <w:bCs/>
        </w:rPr>
        <w:t xml:space="preserve">Proposal. </w:t>
      </w:r>
      <w:r>
        <w:rPr>
          <w:rFonts w:eastAsiaTheme="minorEastAsia"/>
          <w:lang w:eastAsia="zh-CN"/>
        </w:rPr>
        <w:t xml:space="preserve">Based on LS response from RAN2, the UE interprets </w:t>
      </w:r>
      <w:r>
        <w:rPr>
          <w:rFonts w:eastAsiaTheme="minorEastAsia"/>
          <w:strike/>
          <w:lang w:eastAsia="zh-CN"/>
        </w:rPr>
        <w:t>ssb</w:t>
      </w:r>
      <w:r>
        <w:rPr>
          <w:rFonts w:eastAsiaTheme="minorEastAsia"/>
          <w:lang w:eastAsia="zh-CN"/>
        </w:rPr>
        <w:t xml:space="preserve">SubcarrierSpacingCommon (1 bit) and LSB of ssb-SubcarrierOffset (1 bit) of the Rel-15 MIB for providing the value of ssbPositionQCL-Relationship-r16. </w:t>
      </w:r>
      <w:r>
        <w:rPr>
          <w:lang w:eastAsia="zh-CN"/>
        </w:rPr>
        <w:t>These changes are reflected in TS 38.213 Clause 4.1.</w:t>
      </w:r>
    </w:p>
    <w:p>
      <w:pPr>
        <w:rPr>
          <w:lang w:eastAsia="zh-CN"/>
        </w:rPr>
      </w:pPr>
    </w:p>
    <w:p>
      <w:r>
        <w:rPr>
          <w:lang w:eastAsia="zh-CN"/>
        </w:rPr>
        <w:t xml:space="preserve">For example, </w:t>
      </w:r>
      <w:r>
        <w:t>TP for section 4.1 in 38.213:</w:t>
      </w:r>
    </w:p>
    <w:tbl>
      <w:tblPr>
        <w:tblStyle w:val="31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7" w:type="dxa"/>
          </w:tcPr>
          <w:p>
            <w:pPr>
              <w:pStyle w:val="64"/>
              <w:widowControl w:val="0"/>
            </w:pPr>
            <w:r>
              <w:t xml:space="preserve">Table 4-1: Mapping between the combination of </w:t>
            </w:r>
            <w:r>
              <w:rPr>
                <w:iCs/>
              </w:rPr>
              <w:t xml:space="preserve">subCarrierSpacingCommon </w:t>
            </w:r>
            <w:r>
              <w:t>and</w:t>
            </w:r>
            <w:r>
              <w:rPr>
                <w:iCs/>
              </w:rPr>
              <w:t xml:space="preserve"> </w:t>
            </w:r>
            <w:del w:id="0" w:author="Mondal, Bishwarup" w:date="2020-04-10T17:46:00Z">
              <w:r>
                <w:rPr/>
                <w:delText>[</w:delText>
              </w:r>
            </w:del>
            <w:del w:id="1" w:author="Mondal, Bishwarup" w:date="2020-04-10T17:46:00Z">
              <w:r>
                <w:rPr>
                  <w:iCs/>
                </w:rPr>
                <w:delText xml:space="preserve">spare </w:delText>
              </w:r>
            </w:del>
            <w:del w:id="2" w:author="Mondal, Bishwarup" w:date="2020-04-10T17:46:00Z">
              <w:r>
                <w:rPr/>
                <w:delText>or</w:delText>
              </w:r>
            </w:del>
            <w:del w:id="3" w:author="Mondal, Bishwarup" w:date="2020-04-10T17:46:00Z">
              <w:r>
                <w:rPr>
                  <w:iCs/>
                </w:rPr>
                <w:delText xml:space="preserve"> </w:delText>
              </w:r>
            </w:del>
            <w:r>
              <w:t>LSB of</w:t>
            </w:r>
            <w:r>
              <w:rPr>
                <w:iCs/>
              </w:rPr>
              <w:t xml:space="preserve"> ssb-SubcarrierOffset</w:t>
            </w:r>
            <w:del w:id="4" w:author="Mondal, Bishwarup" w:date="2020-04-10T17:47:00Z">
              <w:r>
                <w:rPr/>
                <w:delText>]</w:delText>
              </w:r>
            </w:del>
            <w:r>
              <w:t xml:space="preserve"> to</w:t>
            </w:r>
            <w:r>
              <w:rPr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SSB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QCL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</w:p>
          <w:tbl>
            <w:tblPr>
              <w:tblStyle w:val="30"/>
              <w:tblW w:w="7707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7"/>
              <w:gridCol w:w="3544"/>
              <w:gridCol w:w="15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2607" w:type="dxa"/>
                  <w:tcBorders>
                    <w:bottom w:val="double" w:color="auto" w:sz="4" w:space="0"/>
                    <w:right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pStyle w:val="63"/>
                    <w:rPr>
                      <w:rFonts w:cs="Arial"/>
                      <w:bCs/>
                      <w:lang w:val="en-US"/>
                    </w:rPr>
                  </w:pPr>
                  <w:r>
                    <w:rPr>
                      <w:rFonts w:cs="Arial"/>
                      <w:i/>
                      <w:iCs/>
                    </w:rPr>
                    <w:t>subCarrierSpacingCommon</w:t>
                  </w:r>
                </w:p>
              </w:tc>
              <w:tc>
                <w:tcPr>
                  <w:tcW w:w="3544" w:type="dxa"/>
                  <w:tcBorders>
                    <w:left w:val="double" w:color="auto" w:sz="4" w:space="0"/>
                    <w:bottom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pStyle w:val="63"/>
                    <w:rPr>
                      <w:rFonts w:cs="Arial"/>
                      <w:bCs/>
                      <w:lang w:val="en-US"/>
                    </w:rPr>
                  </w:pPr>
                  <w:del w:id="5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 xml:space="preserve">[spare </w:delText>
                    </w:r>
                  </w:del>
                  <w:del w:id="6" w:author="Mondal, Bishwarup" w:date="2020-04-10T17:47:00Z">
                    <w:r>
                      <w:rPr>
                        <w:rFonts w:cs="Arial"/>
                      </w:rPr>
                      <w:delText>or</w:delText>
                    </w:r>
                  </w:del>
                  <w:del w:id="7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 xml:space="preserve"> </w:delText>
                    </w:r>
                  </w:del>
                  <w:r>
                    <w:rPr>
                      <w:rFonts w:cs="Arial"/>
                    </w:rPr>
                    <w:t>LSB of</w:t>
                  </w:r>
                  <w:r>
                    <w:rPr>
                      <w:rFonts w:cs="Arial"/>
                      <w:i/>
                      <w:iCs/>
                    </w:rPr>
                    <w:t xml:space="preserve"> ssb-SubcarrierOffset</w:t>
                  </w:r>
                  <w:del w:id="8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>]</w:delText>
                    </w:r>
                  </w:del>
                </w:p>
              </w:tc>
              <w:tc>
                <w:tcPr>
                  <w:tcW w:w="1556" w:type="dxa"/>
                  <w:tcBorders>
                    <w:bottom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pStyle w:val="63"/>
                    <w:rPr>
                      <w:rFonts w:cs="Arial"/>
                      <w:bCs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SSB</m:t>
                          </m: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QCL</m:t>
                          </m: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up>
                      </m:sSubSup>
                    </m:oMath>
                  </m:oMathPara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2607" w:type="dxa"/>
                  <w:tcBorders>
                    <w:top w:val="double" w:color="auto" w:sz="4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67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top w:val="double" w:color="auto" w:sz="4" w:space="0"/>
                    <w:left w:val="double" w:color="auto" w:sz="4" w:space="0"/>
                  </w:tcBorders>
                  <w:vAlign w:val="center"/>
                </w:tcPr>
                <w:p>
                  <w:pPr>
                    <w:pStyle w:val="6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56" w:type="dxa"/>
                  <w:tcBorders>
                    <w:top w:val="double" w:color="auto" w:sz="4" w:space="0"/>
                  </w:tcBorders>
                  <w:vAlign w:val="center"/>
                </w:tcPr>
                <w:p>
                  <w:pPr>
                    <w:pStyle w:val="6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67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pStyle w:val="6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pStyle w:val="6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67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pStyle w:val="67"/>
                  </w:pPr>
                  <w:r>
                    <w:t>0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pStyle w:val="67"/>
                  </w:pPr>
                  <w: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67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pStyle w:val="67"/>
                  </w:pPr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pStyle w:val="67"/>
                  </w:pPr>
                  <w:r>
                    <w:t>8</w:t>
                  </w:r>
                </w:p>
              </w:tc>
            </w:tr>
          </w:tbl>
          <w:p>
            <w:pPr>
              <w:widowControl w:val="0"/>
            </w:pP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tbl>
      <w:tblPr>
        <w:tblStyle w:val="31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6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Support the TP.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rFonts w:hint="eastAsia"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 Electronics</w:t>
            </w:r>
          </w:p>
        </w:tc>
        <w:tc>
          <w:tcPr>
            <w:tcW w:w="6432" w:type="dxa"/>
          </w:tcPr>
          <w:p>
            <w:pPr>
              <w:widowControl w:val="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S</w:t>
            </w:r>
            <w:r>
              <w:rPr>
                <w:rFonts w:eastAsia="Malgun Gothic"/>
                <w:lang w:eastAsia="ko-KR"/>
              </w:rPr>
              <w:t>upport the proposal and corresponding TP. In addition to TP, it would be better to modify the following typo in the paragraph related to this table.</w:t>
            </w:r>
          </w:p>
          <w:tbl>
            <w:tblPr>
              <w:tblStyle w:val="31"/>
              <w:tblW w:w="62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06" w:type="dxa"/>
                </w:tcPr>
                <w:p>
                  <w:pPr>
                    <w:widowControl w:val="0"/>
                    <w:autoSpaceDE/>
                    <w:autoSpaceDN/>
                    <w:adjustRightInd/>
                    <w:snapToGrid/>
                    <w:spacing w:after="160" w:line="259" w:lineRule="auto"/>
                    <w:jc w:val="left"/>
                    <w:rPr>
                      <w:rFonts w:eastAsia="Malgun Gothic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>For operation with shared spectrum channel access, a UE assumes that SS/PBCH blocks in a serving cell that are within a same discovery burst transmission window or across discovery burst transmission windows are quasi co-located with respect to average gain, QCL-TypeA, and QCL-TypeD properties, when applicable</w:t>
                  </w:r>
                  <w:r>
                    <w:rPr>
                      <w:kern w:val="2"/>
                      <w:sz w:val="20"/>
                      <w:szCs w:val="20"/>
                      <w:lang w:val="en-GB" w:eastAsia="zh-CN"/>
                    </w:rPr>
                    <w:t xml:space="preserve"> [6, TS 38.214], if a value of </w:t>
                  </w:r>
                  <m:oMath>
                    <m:d>
                      <m:dP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DM-RS</m:t>
                            </m: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same among the SS/PBCH blocks.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DM-RS</m:t>
                        </m: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PBCH</m:t>
                        </m: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an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 xml:space="preserve">index of a DM-RS sequence transmitted in a PBCH of a corresponding SS/PBCH block, and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either provided by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or, if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not provided,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obtained from a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MIB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>provided by a SS/PBCH block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according to Table 4-1. </w:t>
                  </w:r>
                  <w:r>
                    <w:rPr>
                      <w:rFonts w:eastAsia="Malgun Gothic"/>
                      <w:i/>
                      <w:iCs/>
                      <w:strike/>
                      <w:color w:val="FF0000"/>
                      <w:sz w:val="20"/>
                      <w:szCs w:val="20"/>
                      <w:lang w:val="en-GB"/>
                    </w:rPr>
                    <w:t>ssbS</w:t>
                  </w:r>
                  <w:r>
                    <w:rPr>
                      <w:rFonts w:eastAsia="Malgun Gothic"/>
                      <w:i/>
                      <w:iCs/>
                      <w:color w:val="FF0000"/>
                      <w:sz w:val="20"/>
                      <w:szCs w:val="20"/>
                      <w:lang w:val="en-GB"/>
                    </w:rPr>
                    <w:t>subcarrierSpacingCommon</w:t>
                  </w:r>
                  <w:r>
                    <w:rPr>
                      <w:rFonts w:eastAsia="Malgun Gothic"/>
                      <w:color w:val="FF0000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indicates SCS of RMSI only for the case of "operation without shared spectrum".The UE assumes that within a discovery burst transmission window, a number of transmitted SS/PBCH blocks on a serving cell is not larger than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. The UE can determine an SS/PBCH block index according to </w:t>
                  </w:r>
                  <m:oMath>
                    <m:d>
                      <m:dP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DM-RS</m:t>
                            </m: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, or according to </w:t>
                  </w:r>
                  <m:oMath>
                    <m:d>
                      <m:dP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e>
                        </m:acc>
                        <m:r>
                          <w:rPr>
                            <w:rFonts w:ascii="Cambria Math" w:hAnsi="Cambria Math" w:eastAsia="Malgun Gothic"/>
                            <w:sz w:val="20"/>
                            <w:szCs w:val="20"/>
                            <w:lang w:val="en-GB"/>
                          </w:rPr>
                          <m:t xml:space="preserve"> </m:t>
                        </m:r>
                        <m:func>
                          <m:funcP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  <m:ctrlPr>
                                  <w:rPr>
                                    <w:rFonts w:ascii="Cambria Math" w:hAnsi="Cambria Math" w:eastAsia="Malgun Gothic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hAnsi="Cambria Math" w:eastAsia="Malgun Gothic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where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eastAsia="Malgun Gothic"/>
                            <w:sz w:val="20"/>
                            <w:szCs w:val="20"/>
                            <w:lang w:val="en-GB"/>
                          </w:rPr>
                          <m:t>i</m:t>
                        </m:r>
                        <m:ctrlPr>
                          <w:rPr>
                            <w:rFonts w:ascii="Cambria Math" w:hAnsi="Cambria Math" w:eastAsia="Malgun Gothic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e>
                    </m:acc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the candidate SS/PBCH block index.</w:t>
                  </w:r>
                </w:p>
              </w:tc>
            </w:tr>
          </w:tbl>
          <w:p>
            <w:pPr>
              <w:widowControl w:val="0"/>
              <w:rPr>
                <w:rFonts w:eastAsia="Malgun Gothic"/>
                <w:lang w:eastAsia="ko-KR"/>
              </w:rPr>
            </w:pPr>
          </w:p>
          <w:p>
            <w:pPr>
              <w:widowControl w:val="0"/>
              <w:rPr>
                <w:rFonts w:hint="eastAsia"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By the way, isn</w:t>
            </w:r>
            <w:r>
              <w:rPr>
                <w:rFonts w:eastAsia="Malgun Gothic"/>
                <w:lang w:eastAsia="ko-KR"/>
              </w:rPr>
              <w:t>’t it necessary to send an LS to RAN2 to inform this proposal (if agreed)?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vAlign w:val="top"/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6432" w:type="dxa"/>
            <w:vAlign w:val="top"/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Support the TP</w:t>
            </w:r>
            <w:bookmarkStart w:id="15" w:name="_GoBack"/>
            <w:bookmarkEnd w:id="15"/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>Whether configuration of Q for RRM measurements and SCell/SCG (re)config is mandatory, or a default value of Q=8 can be assumed by UE.</w:t>
      </w:r>
    </w:p>
    <w:p>
      <w:pPr>
        <w:rPr>
          <w:lang w:eastAsia="zh-CN"/>
        </w:rPr>
      </w:pPr>
    </w:p>
    <w:p>
      <w:pPr>
        <w:pStyle w:val="14"/>
        <w:jc w:val="left"/>
        <w:rPr>
          <w:b w:val="0"/>
          <w:sz w:val="22"/>
        </w:rPr>
      </w:pPr>
      <w:r>
        <w:rPr>
          <w:lang w:eastAsia="zh-CN"/>
        </w:rPr>
        <w:t xml:space="preserve">Summary: </w:t>
      </w:r>
      <w:r>
        <w:rPr>
          <w:b w:val="0"/>
          <w:sz w:val="22"/>
        </w:rPr>
        <w:t xml:space="preserve">For RRM measurement configuration from </w:t>
      </w:r>
      <w:r>
        <w:rPr>
          <w:b w:val="0"/>
          <w:i/>
          <w:iCs/>
          <w:sz w:val="22"/>
        </w:rPr>
        <w:t>MeasObjectNR</w:t>
      </w:r>
      <w:r>
        <w:rPr>
          <w:b w:val="0"/>
          <w:sz w:val="22"/>
        </w:rPr>
        <w:t xml:space="preserve"> and </w:t>
      </w:r>
      <w:r>
        <w:rPr>
          <w:b w:val="0"/>
          <w:i/>
          <w:sz w:val="22"/>
        </w:rPr>
        <w:t>SIB2/SIB4</w:t>
      </w:r>
      <w:r>
        <w:rPr>
          <w:b w:val="0"/>
          <w:sz w:val="22"/>
        </w:rPr>
        <w:t>, down-select one of the following:</w:t>
      </w:r>
    </w:p>
    <w:p>
      <w:pPr>
        <w:pStyle w:val="14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>Option 1: Network always provides a common Q value (</w:t>
      </w:r>
      <w:r>
        <w:rPr>
          <w:b w:val="0"/>
          <w:i/>
          <w:sz w:val="22"/>
        </w:rPr>
        <w:t>ssb-PositionQCL-Common-r16</w:t>
      </w:r>
      <w:r>
        <w:rPr>
          <w:b w:val="0"/>
          <w:sz w:val="22"/>
        </w:rPr>
        <w:t xml:space="preserve">) per frequency to UE. </w:t>
      </w:r>
    </w:p>
    <w:p>
      <w:pPr>
        <w:pStyle w:val="14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2: If no Q value is provided, UE assumes Q=8. </w:t>
      </w:r>
    </w:p>
    <w:p>
      <w:pPr>
        <w:pStyle w:val="14"/>
        <w:jc w:val="both"/>
        <w:rPr>
          <w:b w:val="0"/>
          <w:sz w:val="22"/>
        </w:rPr>
      </w:pPr>
      <w:bookmarkStart w:id="2" w:name="_Ref37488429"/>
      <w:r>
        <w:rPr>
          <w:b w:val="0"/>
          <w:sz w:val="22"/>
        </w:rPr>
        <w:t>For SCell addition, SCG addition, and reconfiguration with sync, down-select one of the following:</w:t>
      </w:r>
      <w:bookmarkEnd w:id="2"/>
    </w:p>
    <w:p>
      <w:pPr>
        <w:pStyle w:val="14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1: The Q value of the cell to be added is always provided to UE via dedicated RRC signaling, i.e. ssb-PositionQCL-r16 in </w:t>
      </w:r>
      <w:r>
        <w:rPr>
          <w:b w:val="0"/>
          <w:i/>
          <w:sz w:val="22"/>
        </w:rPr>
        <w:t>ServingCellConfigCommon</w:t>
      </w:r>
      <w:r>
        <w:rPr>
          <w:b w:val="0"/>
          <w:sz w:val="22"/>
        </w:rPr>
        <w:t xml:space="preserve">. </w:t>
      </w:r>
    </w:p>
    <w:p>
      <w:pPr>
        <w:pStyle w:val="14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>Option 2: If no Q value is provided, UE assumes Q=8.</w: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>
      <w:pPr>
        <w:rPr>
          <w:lang w:eastAsia="zh-CN"/>
        </w:rPr>
      </w:pPr>
    </w:p>
    <w:tbl>
      <w:tblPr>
        <w:tblStyle w:val="31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6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For both questions, prefer Option 1. No matter which option is agreed, an LS to RAN2 is needed. </w:t>
            </w:r>
          </w:p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If we remember correctly, this issue was discussed offline before, and several companies mentioned Option 1 such that RAN1/RAN2 don’t need to discuss the default RRC parameter value.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rFonts w:hint="eastAsia"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LG Electronics</w:t>
            </w:r>
          </w:p>
        </w:tc>
        <w:tc>
          <w:tcPr>
            <w:tcW w:w="6432" w:type="dxa"/>
          </w:tcPr>
          <w:p>
            <w:pPr>
              <w:widowControl w:val="0"/>
              <w:rPr>
                <w:rFonts w:hint="eastAsia"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Prefer </w:t>
            </w:r>
            <w:r>
              <w:rPr>
                <w:rFonts w:hint="eastAsia" w:eastAsia="Malgun Gothic"/>
                <w:lang w:eastAsia="ko-KR"/>
              </w:rPr>
              <w:t xml:space="preserve">Option 2 for </w:t>
            </w:r>
            <w:r>
              <w:rPr>
                <w:rFonts w:eastAsia="Malgun Gothic"/>
                <w:lang w:eastAsia="ko-KR"/>
              </w:rPr>
              <w:t>neighbor cell RRM measurement and Option 1 for SCG/SCell addition.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vAlign w:val="top"/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6432" w:type="dxa"/>
            <w:vAlign w:val="top"/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We prefer Option 2 for both conditions. We have an agreement before to define a default Q=8 for SSB detection during initial cell search, similarly, we think that 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more natural to define a default value of Q for the above 2 conditions.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>Whether the number of candidate SS/PBCH blocks from the first transmitted SS/PBCH block to the last transmitted SS/PBCH block should not be greater than Q.</w:t>
      </w:r>
    </w:p>
    <w:p>
      <w:r>
        <w:t xml:space="preserve">Detailed discussion is given in Sec. 4 of </w:t>
      </w:r>
      <w:r>
        <w:fldChar w:fldCharType="begin"/>
      </w:r>
      <w:r>
        <w:instrText xml:space="preserve"> REF _Ref38271714 \r \h </w:instrText>
      </w:r>
      <w:r>
        <w:fldChar w:fldCharType="separate"/>
      </w:r>
      <w:r>
        <w:t>[12]</w:t>
      </w:r>
      <w:r>
        <w:fldChar w:fldCharType="end"/>
      </w:r>
      <w:r>
        <w:t>.</w:t>
      </w:r>
    </w:p>
    <w:p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>
      <w:pPr>
        <w:rPr>
          <w:lang w:eastAsia="zh-CN"/>
        </w:rPr>
      </w:pPr>
    </w:p>
    <w:tbl>
      <w:tblPr>
        <w:tblStyle w:val="31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6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We are OK with the proposal as a clarification.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rFonts w:hint="eastAsia"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LG Electronics</w:t>
            </w:r>
          </w:p>
        </w:tc>
        <w:tc>
          <w:tcPr>
            <w:tcW w:w="6432" w:type="dxa"/>
          </w:tcPr>
          <w:p>
            <w:pPr>
              <w:widowControl w:val="0"/>
              <w:rPr>
                <w:rFonts w:hint="eastAsia"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OK with the proposal in principle.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vAlign w:val="top"/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6432" w:type="dxa"/>
            <w:vAlign w:val="top"/>
          </w:tcPr>
          <w:p>
            <w:pPr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don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t think this proposal is just a clarification issue, 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also related to  LBT failure in some cases. </w:t>
            </w:r>
          </w:p>
          <w:p>
            <w:pPr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example, assume Q=8 and SSB position is 10000001, if there is a LBT failure on candidate index position 8, the next QCLed candidate index will be 16 and the number of candidate SSBs will be larger than Q.</w:t>
            </w:r>
          </w:p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Besides, even for consecutive SSB transmission, if channel access type is Type 2A with 1ms maximum duration, there could be a LBT failure risk to make the number of candidate SSB larger than Q.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 xml:space="preserve">Correct the citation of TS 38.104 in TS 38.213 Subclause 4.1 in relation to the definition of L_max </w:t>
      </w:r>
    </w:p>
    <w:p>
      <w:pPr>
        <w:rPr>
          <w:lang w:eastAsia="zh-CN"/>
        </w:rPr>
      </w:pPr>
    </w:p>
    <w:p>
      <w:pPr>
        <w:rPr>
          <w:lang w:eastAsia="ja-JP"/>
        </w:rPr>
      </w:pPr>
      <w:r>
        <w:rPr>
          <w:b/>
          <w:lang w:eastAsia="zh-CN"/>
        </w:rPr>
        <w:t>Summary</w:t>
      </w:r>
      <w:r>
        <w:rPr>
          <w:lang w:eastAsia="zh-CN"/>
        </w:rPr>
        <w:t xml:space="preserve">: </w:t>
      </w:r>
      <w:r>
        <w:rPr>
          <w:bCs/>
          <w:iCs/>
          <w:lang w:val="en-GB"/>
        </w:rPr>
        <w:t xml:space="preserve">Correct the citation of TS 38.104 in TS 38.213 Subclause 4.1 in relation to </w:t>
      </w:r>
      <w:r>
        <w:rPr>
          <w:lang w:eastAsia="ja-JP"/>
        </w:rPr>
        <w:t xml:space="preserve">the definition of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L</m:t>
            </m:r>
            <m:ctrlPr>
              <w:rPr>
                <w:rFonts w:ascii="Cambria Math" w:hAnsi="Cambria Math"/>
                <w:i/>
                <w:lang w:eastAsia="ja-JP"/>
              </w:rPr>
            </m:ctrlPr>
          </m:e>
          <m:sub>
            <m:r>
              <w:rPr>
                <w:rFonts w:ascii="Cambria Math" w:hAnsi="Cambria Math"/>
                <w:lang w:eastAsia="ja-JP"/>
              </w:rPr>
              <m:t>max</m:t>
            </m:r>
            <m:ctrlPr>
              <w:rPr>
                <w:rFonts w:ascii="Cambria Math" w:hAnsi="Cambria Math"/>
                <w:i/>
                <w:lang w:eastAsia="ja-JP"/>
              </w:rPr>
            </m:ctrlPr>
          </m:sub>
        </m:sSub>
      </m:oMath>
      <w:r>
        <w:rPr>
          <w:lang w:eastAsia="ja-JP"/>
        </w:rPr>
        <w:t xml:space="preserve"> (applies to both licensed and shared spectrum operation)</w:t>
      </w:r>
    </w:p>
    <w:p>
      <w:pPr>
        <w:rPr>
          <w:lang w:eastAsia="ja-JP"/>
        </w:rPr>
      </w:pPr>
      <w:r>
        <w:rPr>
          <w:lang w:eastAsia="ja-JP"/>
        </w:rPr>
        <w:t>Alt. 1: Remove citation</w:t>
      </w:r>
    </w:p>
    <w:p>
      <w:pPr>
        <w:rPr>
          <w:lang w:eastAsia="ja-JP"/>
        </w:rPr>
      </w:pPr>
      <w:r>
        <w:rPr>
          <w:lang w:eastAsia="ja-JP"/>
        </w:rPr>
        <w:t xml:space="preserve">Alt. 2: Point to TS 38.133 instead and notify RAN4 that the word “candidate” should be removed in the paragraph above Table 8.1.1-2 in 38.133 to be consistent with Rel-16 notation. </w:t>
      </w:r>
    </w:p>
    <w:p>
      <w:pPr>
        <w:rPr>
          <w:lang w:eastAsia="zh-CN"/>
        </w:rPr>
      </w:pPr>
    </w:p>
    <w:tbl>
      <w:tblPr>
        <w:tblStyle w:val="31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6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Alt 1. </w:t>
            </w:r>
          </w:p>
          <w:p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TS 38.133 has no intention to define L_max in our understanding. It even refers back to TS 38.213 for the value of L_max, so we don’t think Alt 2 could work. However, in deed the word “candidate” should be removed in TS 38.133.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rFonts w:hint="eastAsia"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LG Electronics</w:t>
            </w:r>
          </w:p>
        </w:tc>
        <w:tc>
          <w:tcPr>
            <w:tcW w:w="6432" w:type="dxa"/>
          </w:tcPr>
          <w:p>
            <w:pPr>
              <w:widowControl w:val="0"/>
              <w:rPr>
                <w:rFonts w:hint="eastAsia" w:eastAsia="Malgun Gothic"/>
                <w:lang w:eastAsia="ko-KR"/>
              </w:rPr>
            </w:pPr>
            <w:r>
              <w:rPr>
                <w:rFonts w:hint="eastAsia" w:eastAsia="Malgun Gothic"/>
                <w:lang w:eastAsia="ko-KR"/>
              </w:rPr>
              <w:t>Agree with Samsung.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vAlign w:val="top"/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6432" w:type="dxa"/>
            <w:vAlign w:val="top"/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We prefer Alt 1 and </w:t>
            </w:r>
            <w:r>
              <w:rPr>
                <w:lang w:eastAsia="ja-JP"/>
              </w:rPr>
              <w:t>the word “candidate” should be removed in the paragraph above Table 8.1.1-2 in 38.133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6432" w:type="dxa"/>
          </w:tcPr>
          <w:p>
            <w:pPr>
              <w:widowControl w:val="0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spacing w:after="0"/>
        <w:rPr>
          <w:lang w:val="en-GB" w:eastAsia="zh-CN"/>
        </w:rPr>
      </w:pPr>
      <w:bookmarkStart w:id="3" w:name="_Ref124671424"/>
      <w:bookmarkStart w:id="4" w:name="_Ref124589665"/>
      <w:bookmarkStart w:id="5" w:name="_Ref129681832"/>
      <w:bookmarkStart w:id="6" w:name="_Ref71620620"/>
    </w:p>
    <w:p>
      <w:pPr>
        <w:pStyle w:val="2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bookmarkEnd w:id="3"/>
    <w:bookmarkEnd w:id="4"/>
    <w:bookmarkEnd w:id="5"/>
    <w:bookmarkEnd w:id="6"/>
    <w:p>
      <w:pPr>
        <w:pStyle w:val="34"/>
        <w:spacing w:line="259" w:lineRule="auto"/>
        <w:rPr>
          <w:sz w:val="22"/>
          <w:lang w:eastAsia="zh-CN"/>
        </w:rPr>
      </w:pPr>
      <w:bookmarkStart w:id="7" w:name="_Ref37423364"/>
      <w:r>
        <w:rPr>
          <w:sz w:val="22"/>
          <w:lang w:eastAsia="zh-CN"/>
        </w:rPr>
        <w:t>R1-2001535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Maintainance on the initial access procedures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Huawei, HiSilicon</w:t>
      </w:r>
      <w:bookmarkEnd w:id="7"/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R1-2001653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on initial access procedure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vivo</w:t>
      </w:r>
    </w:p>
    <w:p>
      <w:pPr>
        <w:pStyle w:val="34"/>
        <w:spacing w:line="259" w:lineRule="auto"/>
        <w:rPr>
          <w:sz w:val="22"/>
          <w:lang w:eastAsia="zh-CN"/>
        </w:rPr>
      </w:pPr>
      <w:bookmarkStart w:id="8" w:name="_Ref37750119"/>
      <w:r>
        <w:rPr>
          <w:sz w:val="22"/>
          <w:lang w:eastAsia="zh-CN"/>
        </w:rPr>
        <w:t>R1-2001706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on the initial access procedure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ZTE, Sanechips</w:t>
      </w:r>
      <w:bookmarkEnd w:id="8"/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R1-2001760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Discussion on the remaining issues of enhancements to initial access procedure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OPPO</w:t>
      </w:r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R1-2001936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of initial access and mobility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LG Electronics</w:t>
      </w:r>
    </w:p>
    <w:p>
      <w:pPr>
        <w:pStyle w:val="34"/>
        <w:spacing w:line="259" w:lineRule="auto"/>
        <w:rPr>
          <w:sz w:val="22"/>
          <w:lang w:eastAsia="zh-CN"/>
        </w:rPr>
      </w:pPr>
      <w:bookmarkStart w:id="9" w:name="_Ref37759581"/>
      <w:r>
        <w:rPr>
          <w:sz w:val="22"/>
          <w:lang w:eastAsia="zh-CN"/>
        </w:rPr>
        <w:t>R1-2001988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Enhancements to initial access and mobility for NR-unlicensed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Intel Corporation</w:t>
      </w:r>
      <w:bookmarkEnd w:id="9"/>
    </w:p>
    <w:p>
      <w:pPr>
        <w:pStyle w:val="34"/>
        <w:spacing w:line="259" w:lineRule="auto"/>
        <w:rPr>
          <w:sz w:val="22"/>
          <w:lang w:eastAsia="zh-CN"/>
        </w:rPr>
      </w:pPr>
      <w:bookmarkStart w:id="10" w:name="_Ref37759557"/>
      <w:r>
        <w:rPr>
          <w:sz w:val="22"/>
          <w:lang w:eastAsia="zh-CN"/>
        </w:rPr>
        <w:t>R1-2002032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Enhancements to initial access procedures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Ericsson</w:t>
      </w:r>
      <w:bookmarkEnd w:id="10"/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R1-2002118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Initial access procedures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Samsung</w:t>
      </w:r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R1-2002248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on initial access procedure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ETRI</w:t>
      </w:r>
    </w:p>
    <w:p>
      <w:pPr>
        <w:pStyle w:val="34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R1-2002263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on initial access procedure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Spreadtrum Communications</w:t>
      </w:r>
    </w:p>
    <w:p>
      <w:pPr>
        <w:pStyle w:val="34"/>
        <w:spacing w:line="259" w:lineRule="auto"/>
        <w:rPr>
          <w:sz w:val="22"/>
          <w:lang w:eastAsia="zh-CN"/>
        </w:rPr>
      </w:pPr>
      <w:bookmarkStart w:id="11" w:name="_Ref37691236"/>
      <w:r>
        <w:rPr>
          <w:sz w:val="22"/>
          <w:lang w:eastAsia="zh-CN"/>
        </w:rPr>
        <w:t>R1-2002278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On Enhancements to Initial Access Procedures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Nokia, Nokia Shanghai Bell</w:t>
      </w:r>
      <w:bookmarkEnd w:id="11"/>
    </w:p>
    <w:p>
      <w:pPr>
        <w:pStyle w:val="34"/>
        <w:spacing w:line="259" w:lineRule="auto"/>
        <w:rPr>
          <w:sz w:val="22"/>
          <w:lang w:eastAsia="zh-CN"/>
        </w:rPr>
      </w:pPr>
      <w:bookmarkStart w:id="12" w:name="_Ref38271714"/>
      <w:r>
        <w:rPr>
          <w:sz w:val="22"/>
          <w:lang w:eastAsia="zh-CN"/>
        </w:rPr>
        <w:t>R1-2002407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Remaining issues on initial access procedure for NR-U operation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MediaTek Inc.</w:t>
      </w:r>
      <w:bookmarkEnd w:id="12"/>
    </w:p>
    <w:p>
      <w:pPr>
        <w:pStyle w:val="34"/>
        <w:spacing w:line="259" w:lineRule="auto"/>
        <w:rPr>
          <w:sz w:val="22"/>
          <w:lang w:eastAsia="zh-CN"/>
        </w:rPr>
      </w:pPr>
      <w:bookmarkStart w:id="13" w:name="_Ref37423369"/>
      <w:r>
        <w:rPr>
          <w:sz w:val="22"/>
          <w:lang w:eastAsia="zh-CN"/>
        </w:rPr>
        <w:t>R1-2002531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TP for Initial access and mobility procedures for NR-U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Qualcomm Incorporated</w:t>
      </w:r>
      <w:bookmarkEnd w:id="13"/>
    </w:p>
    <w:p>
      <w:pPr>
        <w:pStyle w:val="34"/>
        <w:rPr>
          <w:sz w:val="22"/>
          <w:lang w:eastAsia="zh-CN"/>
        </w:rPr>
      </w:pPr>
      <w:bookmarkStart w:id="14" w:name="_Ref38271291"/>
      <w:r>
        <w:rPr>
          <w:sz w:val="22"/>
          <w:lang w:eastAsia="zh-CN"/>
        </w:rPr>
        <w:t xml:space="preserve">R1-2001701   FL summary 72222 NRU </w: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>Charter Communications</w:t>
      </w:r>
      <w:bookmarkEnd w:id="14"/>
    </w:p>
    <w:sectPr>
      <w:pgSz w:w="11909" w:h="16834"/>
      <w:pgMar w:top="1440" w:right="1152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78B"/>
    <w:multiLevelType w:val="multilevel"/>
    <w:tmpl w:val="0AC0078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E0804E8"/>
    <w:multiLevelType w:val="multilevel"/>
    <w:tmpl w:val="0E0804E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1F37198"/>
    <w:multiLevelType w:val="multilevel"/>
    <w:tmpl w:val="31F3719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3B557C1"/>
    <w:multiLevelType w:val="multilevel"/>
    <w:tmpl w:val="33B557C1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>
    <w:nsid w:val="3A877D64"/>
    <w:multiLevelType w:val="singleLevel"/>
    <w:tmpl w:val="3A877D64"/>
    <w:lvl w:ilvl="0" w:tentative="0">
      <w:start w:val="1"/>
      <w:numFmt w:val="decimal"/>
      <w:pStyle w:val="34"/>
      <w:lvlText w:val="[%1]"/>
      <w:lvlJc w:val="left"/>
      <w:pPr>
        <w:tabs>
          <w:tab w:val="left" w:pos="540"/>
        </w:tabs>
        <w:ind w:left="540" w:hanging="360"/>
      </w:pPr>
    </w:lvl>
  </w:abstractNum>
  <w:abstractNum w:abstractNumId="5">
    <w:nsid w:val="4B1F283C"/>
    <w:multiLevelType w:val="singleLevel"/>
    <w:tmpl w:val="4B1F283C"/>
    <w:lvl w:ilvl="0" w:tentative="0">
      <w:start w:val="1"/>
      <w:numFmt w:val="bullet"/>
      <w:pStyle w:val="47"/>
      <w:lvlText w:val=""/>
      <w:lvlJc w:val="left"/>
      <w:pPr>
        <w:tabs>
          <w:tab w:val="left" w:pos="1843"/>
        </w:tabs>
        <w:ind w:left="1843" w:hanging="425"/>
      </w:pPr>
      <w:rPr>
        <w:rFonts w:hint="default" w:ascii="Symbol" w:hAnsi="Symbol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ndal, Bishwarup">
    <w15:presenceInfo w15:providerId="None" w15:userId="Mondal, Bishwaru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4D7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AE0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3FF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59EC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8AF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198C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  <w:rsid w:val="27E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0" w:name="List 2"/>
    <w:lsdException w:qFormat="1"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3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52"/>
    <w:qFormat/>
    <w:uiPriority w:val="9"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5">
    <w:name w:val="heading 4"/>
    <w:basedOn w:val="1"/>
    <w:next w:val="1"/>
    <w:qFormat/>
    <w:uiPriority w:val="9"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6">
    <w:name w:val="heading 5"/>
    <w:basedOn w:val="1"/>
    <w:next w:val="1"/>
    <w:qFormat/>
    <w:uiPriority w:val="9"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7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25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semiHidden/>
    <w:unhideWhenUsed/>
    <w:qFormat/>
    <w:uiPriority w:val="0"/>
    <w:pPr>
      <w:ind w:left="100" w:leftChars="400" w:hanging="200" w:hangingChars="200"/>
      <w:contextualSpacing/>
    </w:pPr>
  </w:style>
  <w:style w:type="paragraph" w:styleId="12">
    <w:name w:val="annotation subject"/>
    <w:basedOn w:val="13"/>
    <w:next w:val="13"/>
    <w:link w:val="54"/>
    <w:semiHidden/>
    <w:unhideWhenUsed/>
    <w:qFormat/>
    <w:uiPriority w:val="0"/>
    <w:rPr>
      <w:b/>
      <w:bCs/>
    </w:rPr>
  </w:style>
  <w:style w:type="paragraph" w:styleId="13">
    <w:name w:val="annotation text"/>
    <w:basedOn w:val="1"/>
    <w:link w:val="53"/>
    <w:unhideWhenUsed/>
    <w:qFormat/>
    <w:uiPriority w:val="0"/>
    <w:pPr>
      <w:jc w:val="left"/>
    </w:pPr>
  </w:style>
  <w:style w:type="paragraph" w:styleId="14">
    <w:name w:val="caption"/>
    <w:basedOn w:val="1"/>
    <w:next w:val="1"/>
    <w:link w:val="33"/>
    <w:qFormat/>
    <w:uiPriority w:val="0"/>
    <w:pPr>
      <w:jc w:val="center"/>
    </w:pPr>
    <w:rPr>
      <w:b/>
      <w:bCs/>
      <w:sz w:val="20"/>
      <w:szCs w:val="20"/>
    </w:rPr>
  </w:style>
  <w:style w:type="paragraph" w:styleId="15">
    <w:name w:val="List Bullet"/>
    <w:basedOn w:val="16"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16">
    <w:name w:val="List"/>
    <w:basedOn w:val="1"/>
    <w:uiPriority w:val="0"/>
    <w:pPr>
      <w:ind w:left="360" w:hanging="360"/>
    </w:pPr>
  </w:style>
  <w:style w:type="paragraph" w:styleId="17">
    <w:name w:val="Body Text"/>
    <w:basedOn w:val="1"/>
    <w:link w:val="32"/>
    <w:uiPriority w:val="0"/>
    <w:rPr>
      <w:sz w:val="20"/>
      <w:szCs w:val="20"/>
    </w:rPr>
  </w:style>
  <w:style w:type="paragraph" w:styleId="18">
    <w:name w:val="List 2"/>
    <w:basedOn w:val="1"/>
    <w:semiHidden/>
    <w:unhideWhenUsed/>
    <w:qFormat/>
    <w:uiPriority w:val="0"/>
    <w:pPr>
      <w:ind w:left="100" w:leftChars="200" w:hanging="200" w:hangingChars="200"/>
      <w:contextualSpacing/>
    </w:pPr>
  </w:style>
  <w:style w:type="paragraph" w:styleId="1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20">
    <w:name w:val="footer"/>
    <w:basedOn w:val="1"/>
    <w:link w:val="40"/>
    <w:uiPriority w:val="0"/>
    <w:pPr>
      <w:tabs>
        <w:tab w:val="center" w:pos="4680"/>
        <w:tab w:val="right" w:pos="9360"/>
      </w:tabs>
    </w:pPr>
  </w:style>
  <w:style w:type="paragraph" w:styleId="21">
    <w:name w:val="header"/>
    <w:basedOn w:val="1"/>
    <w:link w:val="39"/>
    <w:uiPriority w:val="0"/>
    <w:pPr>
      <w:tabs>
        <w:tab w:val="center" w:pos="4680"/>
        <w:tab w:val="right" w:pos="9360"/>
      </w:tabs>
    </w:pPr>
  </w:style>
  <w:style w:type="paragraph" w:styleId="22">
    <w:name w:val="footnote text"/>
    <w:basedOn w:val="1"/>
    <w:semiHidden/>
    <w:uiPriority w:val="0"/>
    <w:rPr>
      <w:sz w:val="20"/>
      <w:szCs w:val="20"/>
    </w:rPr>
  </w:style>
  <w:style w:type="paragraph" w:styleId="23">
    <w:name w:val="Body Text 2"/>
    <w:basedOn w:val="1"/>
    <w:uiPriority w:val="0"/>
    <w:pPr>
      <w:spacing w:after="0"/>
      <w:jc w:val="left"/>
    </w:pPr>
    <w:rPr>
      <w:szCs w:val="20"/>
    </w:rPr>
  </w:style>
  <w:style w:type="paragraph" w:styleId="24">
    <w:name w:val="Normal (Web)"/>
    <w:basedOn w:val="1"/>
    <w:semiHidden/>
    <w:unhideWhenUsed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styleId="26">
    <w:name w:val="FollowedHyperlink"/>
    <w:basedOn w:val="25"/>
    <w:uiPriority w:val="0"/>
    <w:rPr>
      <w:color w:val="800080"/>
      <w:u w:val="single"/>
    </w:rPr>
  </w:style>
  <w:style w:type="character" w:styleId="27">
    <w:name w:val="Hyperlink"/>
    <w:basedOn w:val="25"/>
    <w:uiPriority w:val="0"/>
    <w:rPr>
      <w:color w:val="0000FF"/>
      <w:u w:val="single"/>
    </w:rPr>
  </w:style>
  <w:style w:type="character" w:styleId="28">
    <w:name w:val="annotation reference"/>
    <w:basedOn w:val="25"/>
    <w:unhideWhenUsed/>
    <w:qFormat/>
    <w:uiPriority w:val="0"/>
    <w:rPr>
      <w:sz w:val="21"/>
      <w:szCs w:val="21"/>
    </w:rPr>
  </w:style>
  <w:style w:type="character" w:styleId="29">
    <w:name w:val="footnote reference"/>
    <w:basedOn w:val="25"/>
    <w:semiHidden/>
    <w:uiPriority w:val="0"/>
    <w:rPr>
      <w:vertAlign w:val="superscript"/>
    </w:rPr>
  </w:style>
  <w:style w:type="table" w:styleId="31">
    <w:name w:val="Table Grid"/>
    <w:basedOn w:val="30"/>
    <w:uiPriority w:val="3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2">
    <w:name w:val="본문 Char"/>
    <w:basedOn w:val="25"/>
    <w:link w:val="17"/>
    <w:uiPriority w:val="0"/>
  </w:style>
  <w:style w:type="character" w:customStyle="1" w:styleId="33">
    <w:name w:val="캡션 Char"/>
    <w:basedOn w:val="25"/>
    <w:link w:val="14"/>
    <w:qFormat/>
    <w:uiPriority w:val="0"/>
    <w:rPr>
      <w:b/>
      <w:bCs/>
    </w:rPr>
  </w:style>
  <w:style w:type="paragraph" w:customStyle="1" w:styleId="34">
    <w:name w:val="References"/>
    <w:basedOn w:val="1"/>
    <w:qFormat/>
    <w:uiPriority w:val="0"/>
    <w:pPr>
      <w:numPr>
        <w:ilvl w:val="0"/>
        <w:numId w:val="2"/>
      </w:numPr>
      <w:tabs>
        <w:tab w:val="left" w:pos="360"/>
        <w:tab w:val="clear" w:pos="540"/>
      </w:tabs>
      <w:adjustRightInd/>
      <w:spacing w:after="60"/>
      <w:ind w:left="360"/>
    </w:pPr>
    <w:rPr>
      <w:sz w:val="20"/>
      <w:szCs w:val="16"/>
    </w:rPr>
  </w:style>
  <w:style w:type="paragraph" w:customStyle="1" w:styleId="35">
    <w:name w:val="_Style 26"/>
    <w:next w:val="1"/>
    <w:semiHidden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36">
    <w:name w:val="Figure"/>
    <w:basedOn w:val="1"/>
    <w:qFormat/>
    <w:uiPriority w:val="0"/>
    <w:pPr>
      <w:keepNext/>
      <w:jc w:val="center"/>
    </w:pPr>
  </w:style>
  <w:style w:type="paragraph" w:customStyle="1" w:styleId="37">
    <w:name w:val="Eqn"/>
    <w:basedOn w:val="1"/>
    <w:qFormat/>
    <w:uiPriority w:val="0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8">
    <w:name w:val="tablecell"/>
    <w:basedOn w:val="1"/>
    <w:qFormat/>
    <w:uiPriority w:val="0"/>
    <w:pPr>
      <w:spacing w:before="20" w:after="20"/>
      <w:jc w:val="left"/>
    </w:pPr>
  </w:style>
  <w:style w:type="character" w:customStyle="1" w:styleId="39">
    <w:name w:val="머리글 Char"/>
    <w:basedOn w:val="25"/>
    <w:link w:val="21"/>
    <w:uiPriority w:val="0"/>
    <w:rPr>
      <w:sz w:val="22"/>
      <w:szCs w:val="22"/>
    </w:rPr>
  </w:style>
  <w:style w:type="character" w:customStyle="1" w:styleId="40">
    <w:name w:val="바닥글 Char"/>
    <w:basedOn w:val="25"/>
    <w:link w:val="20"/>
    <w:uiPriority w:val="0"/>
    <w:rPr>
      <w:sz w:val="22"/>
      <w:szCs w:val="22"/>
    </w:rPr>
  </w:style>
  <w:style w:type="paragraph" w:customStyle="1" w:styleId="41">
    <w:name w:val="tablecol"/>
    <w:basedOn w:val="38"/>
    <w:qFormat/>
    <w:uiPriority w:val="0"/>
    <w:pPr>
      <w:jc w:val="center"/>
    </w:pPr>
    <w:rPr>
      <w:b/>
    </w:rPr>
  </w:style>
  <w:style w:type="paragraph" w:customStyle="1" w:styleId="42">
    <w:name w:val="B1"/>
    <w:basedOn w:val="16"/>
    <w:link w:val="48"/>
    <w:qFormat/>
    <w:uiPriority w:val="0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43">
    <w:name w:val="B2"/>
    <w:basedOn w:val="18"/>
    <w:link w:val="49"/>
    <w:qFormat/>
    <w:uiPriority w:val="0"/>
    <w:pPr>
      <w:overflowPunct w:val="0"/>
      <w:snapToGrid/>
      <w:spacing w:after="180"/>
      <w:ind w:left="851" w:leftChars="0" w:hanging="284" w:firstLineChars="0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44">
    <w:name w:val="B3"/>
    <w:basedOn w:val="11"/>
    <w:link w:val="50"/>
    <w:qFormat/>
    <w:uiPriority w:val="0"/>
    <w:pPr>
      <w:overflowPunct w:val="0"/>
      <w:snapToGrid/>
      <w:spacing w:after="180"/>
      <w:ind w:left="1135" w:leftChars="0" w:hanging="284" w:firstLineChars="0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45">
    <w:name w:val="List Paragraph"/>
    <w:basedOn w:val="1"/>
    <w:link w:val="46"/>
    <w:qFormat/>
    <w:uiPriority w:val="34"/>
    <w:pPr>
      <w:autoSpaceDE/>
      <w:autoSpaceDN/>
      <w:adjustRightInd/>
      <w:snapToGrid/>
      <w:spacing w:after="0"/>
      <w:ind w:firstLine="420"/>
      <w:jc w:val="left"/>
    </w:pPr>
    <w:rPr>
      <w:rFonts w:ascii="宋体" w:hAnsi="宋体"/>
      <w:sz w:val="24"/>
      <w:szCs w:val="24"/>
    </w:rPr>
  </w:style>
  <w:style w:type="character" w:customStyle="1" w:styleId="46">
    <w:name w:val="목록 단락 Char"/>
    <w:link w:val="45"/>
    <w:qFormat/>
    <w:uiPriority w:val="34"/>
    <w:rPr>
      <w:rFonts w:ascii="宋体" w:hAnsi="宋体"/>
      <w:sz w:val="24"/>
      <w:szCs w:val="24"/>
    </w:rPr>
  </w:style>
  <w:style w:type="paragraph" w:customStyle="1" w:styleId="47">
    <w:name w:val="text intend 3"/>
    <w:basedOn w:val="1"/>
    <w:qFormat/>
    <w:uiPriority w:val="0"/>
    <w:pPr>
      <w:numPr>
        <w:ilvl w:val="0"/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48">
    <w:name w:val="B1 Zchn"/>
    <w:link w:val="42"/>
    <w:qFormat/>
    <w:uiPriority w:val="0"/>
    <w:rPr>
      <w:rFonts w:eastAsia="MS Mincho"/>
      <w:lang w:val="en-GB"/>
    </w:rPr>
  </w:style>
  <w:style w:type="character" w:customStyle="1" w:styleId="49">
    <w:name w:val="B2 Char"/>
    <w:link w:val="43"/>
    <w:qFormat/>
    <w:uiPriority w:val="0"/>
    <w:rPr>
      <w:rFonts w:eastAsia="MS Mincho"/>
      <w:lang w:val="en-GB"/>
    </w:rPr>
  </w:style>
  <w:style w:type="character" w:customStyle="1" w:styleId="50">
    <w:name w:val="B3 Char"/>
    <w:link w:val="44"/>
    <w:qFormat/>
    <w:uiPriority w:val="0"/>
    <w:rPr>
      <w:rFonts w:eastAsia="MS Mincho"/>
      <w:lang w:val="en-GB"/>
    </w:rPr>
  </w:style>
  <w:style w:type="character" w:styleId="51">
    <w:name w:val="Placeholder Text"/>
    <w:basedOn w:val="25"/>
    <w:semiHidden/>
    <w:qFormat/>
    <w:uiPriority w:val="99"/>
    <w:rPr>
      <w:color w:val="808080"/>
    </w:rPr>
  </w:style>
  <w:style w:type="character" w:customStyle="1" w:styleId="52">
    <w:name w:val="제목 2 Char"/>
    <w:basedOn w:val="25"/>
    <w:link w:val="3"/>
    <w:qFormat/>
    <w:uiPriority w:val="9"/>
    <w:rPr>
      <w:b/>
      <w:bCs/>
      <w:sz w:val="24"/>
      <w:szCs w:val="22"/>
    </w:rPr>
  </w:style>
  <w:style w:type="character" w:customStyle="1" w:styleId="53">
    <w:name w:val="메모 텍스트 Char"/>
    <w:basedOn w:val="25"/>
    <w:link w:val="13"/>
    <w:qFormat/>
    <w:uiPriority w:val="0"/>
    <w:rPr>
      <w:sz w:val="22"/>
      <w:szCs w:val="22"/>
    </w:rPr>
  </w:style>
  <w:style w:type="character" w:customStyle="1" w:styleId="54">
    <w:name w:val="메모 주제 Char"/>
    <w:basedOn w:val="53"/>
    <w:link w:val="12"/>
    <w:semiHidden/>
    <w:uiPriority w:val="0"/>
    <w:rPr>
      <w:b/>
      <w:bCs/>
      <w:sz w:val="22"/>
      <w:szCs w:val="22"/>
    </w:rPr>
  </w:style>
  <w:style w:type="character" w:customStyle="1" w:styleId="55">
    <w:name w:val="apple-converted-space"/>
    <w:basedOn w:val="25"/>
    <w:qFormat/>
    <w:uiPriority w:val="0"/>
  </w:style>
  <w:style w:type="paragraph" w:customStyle="1" w:styleId="56">
    <w:name w:val="TAL"/>
    <w:basedOn w:val="1"/>
    <w:link w:val="57"/>
    <w:qFormat/>
    <w:uiPriority w:val="0"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 w:eastAsiaTheme="minorEastAsia"/>
      <w:sz w:val="18"/>
      <w:szCs w:val="20"/>
      <w:lang w:val="en-GB"/>
    </w:rPr>
  </w:style>
  <w:style w:type="character" w:customStyle="1" w:styleId="57">
    <w:name w:val="TAL Car"/>
    <w:basedOn w:val="25"/>
    <w:link w:val="56"/>
    <w:qFormat/>
    <w:locked/>
    <w:uiPriority w:val="0"/>
    <w:rPr>
      <w:rFonts w:ascii="Arial" w:hAnsi="Arial" w:eastAsiaTheme="minorEastAsia"/>
      <w:sz w:val="18"/>
      <w:lang w:val="en-GB"/>
    </w:rPr>
  </w:style>
  <w:style w:type="paragraph" w:customStyle="1" w:styleId="58">
    <w:name w:val="TAN"/>
    <w:basedOn w:val="56"/>
    <w:qFormat/>
    <w:uiPriority w:val="0"/>
    <w:pPr>
      <w:ind w:left="851" w:hanging="851"/>
    </w:pPr>
  </w:style>
  <w:style w:type="paragraph" w:customStyle="1" w:styleId="59">
    <w:name w:val="Revision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60">
    <w:name w:val="B4"/>
    <w:basedOn w:val="1"/>
    <w:link w:val="62"/>
    <w:uiPriority w:val="0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61">
    <w:name w:val="B5"/>
    <w:basedOn w:val="1"/>
    <w:uiPriority w:val="0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62">
    <w:name w:val="B4 Char"/>
    <w:link w:val="60"/>
    <w:uiPriority w:val="0"/>
    <w:rPr>
      <w:rFonts w:eastAsiaTheme="minorEastAsia"/>
      <w:lang w:val="en-GB"/>
    </w:rPr>
  </w:style>
  <w:style w:type="paragraph" w:customStyle="1" w:styleId="63">
    <w:name w:val="TAH"/>
    <w:basedOn w:val="1"/>
    <w:link w:val="66"/>
    <w:qFormat/>
    <w:uiPriority w:val="0"/>
    <w:pPr>
      <w:keepNext/>
      <w:keepLines/>
      <w:overflowPunct w:val="0"/>
      <w:snapToGrid/>
      <w:jc w:val="center"/>
      <w:textAlignment w:val="baseline"/>
    </w:pPr>
    <w:rPr>
      <w:rFonts w:ascii="Arial" w:hAnsi="Arial" w:eastAsia="Times New Roman"/>
      <w:b/>
      <w:sz w:val="18"/>
      <w:szCs w:val="20"/>
      <w:lang w:val="en-GB" w:eastAsia="en-GB"/>
    </w:rPr>
  </w:style>
  <w:style w:type="paragraph" w:customStyle="1" w:styleId="64">
    <w:name w:val="TH"/>
    <w:basedOn w:val="1"/>
    <w:link w:val="65"/>
    <w:qFormat/>
    <w:uiPriority w:val="0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hAnsi="Arial" w:eastAsia="Times New Roman"/>
      <w:b/>
      <w:sz w:val="20"/>
      <w:szCs w:val="20"/>
      <w:lang w:val="en-GB" w:eastAsia="en-GB"/>
    </w:rPr>
  </w:style>
  <w:style w:type="character" w:customStyle="1" w:styleId="65">
    <w:name w:val="TH Char"/>
    <w:link w:val="64"/>
    <w:qFormat/>
    <w:uiPriority w:val="0"/>
    <w:rPr>
      <w:rFonts w:ascii="Arial" w:hAnsi="Arial" w:eastAsia="Times New Roman"/>
      <w:b/>
      <w:lang w:val="en-GB" w:eastAsia="en-GB"/>
    </w:rPr>
  </w:style>
  <w:style w:type="character" w:customStyle="1" w:styleId="66">
    <w:name w:val="TAH Car"/>
    <w:link w:val="63"/>
    <w:qFormat/>
    <w:locked/>
    <w:uiPriority w:val="0"/>
    <w:rPr>
      <w:rFonts w:ascii="Arial" w:hAnsi="Arial" w:eastAsia="Times New Roman"/>
      <w:b/>
      <w:sz w:val="18"/>
      <w:lang w:val="en-GB" w:eastAsia="en-GB"/>
    </w:rPr>
  </w:style>
  <w:style w:type="paragraph" w:customStyle="1" w:styleId="67">
    <w:name w:val="TAC"/>
    <w:basedOn w:val="1"/>
    <w:link w:val="68"/>
    <w:qFormat/>
    <w:uiPriority w:val="0"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 w:eastAsia="Times New Roman"/>
      <w:sz w:val="18"/>
      <w:szCs w:val="20"/>
      <w:lang w:val="zh-CN"/>
    </w:rPr>
  </w:style>
  <w:style w:type="character" w:customStyle="1" w:styleId="68">
    <w:name w:val="TAC Char"/>
    <w:link w:val="67"/>
    <w:qFormat/>
    <w:locked/>
    <w:uiPriority w:val="0"/>
    <w:rPr>
      <w:rFonts w:ascii="Arial" w:hAnsi="Arial" w:eastAsia="Times New Roman"/>
      <w:sz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714D9-5467-4A9F-957F-964EAE425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</Company>
  <Pages>5</Pages>
  <Words>1017</Words>
  <Characters>5799</Characters>
  <Lines>48</Lines>
  <Paragraphs>13</Paragraphs>
  <TotalTime>1</TotalTime>
  <ScaleCrop>false</ScaleCrop>
  <LinksUpToDate>false</LinksUpToDate>
  <CharactersWithSpaces>6803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2020-04-21T07:10:00Z</dcterms:created>
  <dc:creator>min zhang</dc:creator>
  <cp:lastModifiedBy>Ziyang ZTE</cp:lastModifiedBy>
  <cp:lastPrinted>2007-06-18T22:08:00Z</cp:lastPrinted>
  <dcterms:modified xsi:type="dcterms:W3CDTF">2020-04-21T07:40:24Z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  <property fmtid="{D5CDD505-2E9C-101B-9397-08002B2CF9AE}" pid="22" name="KSOProductBuildVer">
    <vt:lpwstr>2052-10.8.2.6990</vt:lpwstr>
  </property>
</Properties>
</file>