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r>
      <w:r>
        <w:rPr>
          <w:rFonts w:ascii="Arial" w:hAnsi="Arial" w:cs="Arial"/>
          <w:b/>
          <w:bCs/>
          <w:sz w:val="24"/>
          <w:szCs w:val="24"/>
          <w:lang w:val="en-US"/>
        </w:rPr>
        <w:t xml:space="preserve">         </w:t>
      </w:r>
      <w:r>
        <w:rPr>
          <w:rFonts w:ascii="Arial" w:hAnsi="Arial" w:cs="Arial"/>
          <w:b/>
          <w:bCs/>
          <w:sz w:val="24"/>
          <w:szCs w:val="24"/>
          <w:lang w:val="en-US"/>
        </w:rPr>
        <w:tab/>
      </w:r>
      <w:r>
        <w:rPr>
          <w:rFonts w:ascii="Arial" w:hAnsi="Arial" w:cs="Arial"/>
          <w:b/>
          <w:bCs/>
          <w:sz w:val="24"/>
          <w:szCs w:val="24"/>
          <w:lang w:val="en-US"/>
        </w:rPr>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pPr>
        <w:pStyle w:val="87"/>
        <w:rPr>
          <w:rFonts w:cs="Arial"/>
          <w:b/>
          <w:sz w:val="24"/>
          <w:lang w:val="en-US"/>
        </w:rPr>
      </w:pPr>
    </w:p>
    <w:p>
      <w:pPr>
        <w:pStyle w:val="87"/>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r>
      <w:r>
        <w:rPr>
          <w:rFonts w:cs="Arial"/>
          <w:b/>
          <w:bCs/>
          <w:sz w:val="24"/>
          <w:lang w:val="en-US"/>
        </w:rPr>
        <w:t>7.2.2.2.1</w:t>
      </w:r>
    </w:p>
    <w:p>
      <w:pPr>
        <w:tabs>
          <w:tab w:val="left" w:pos="1985"/>
        </w:tabs>
        <w:spacing w:after="120"/>
        <w:ind w:left="1985" w:hanging="1985"/>
        <w:rPr>
          <w:rFonts w:ascii="Arial" w:hAnsi="Arial" w:eastAsia="Arial" w:cs="Arial"/>
          <w:b/>
          <w:sz w:val="24"/>
          <w:szCs w:val="24"/>
          <w:lang w:val="en-US"/>
        </w:rPr>
      </w:pPr>
      <w:r>
        <w:rPr>
          <w:rFonts w:ascii="Arial" w:hAnsi="Arial" w:eastAsia="Arial" w:cs="Arial"/>
          <w:b/>
          <w:sz w:val="24"/>
          <w:szCs w:val="24"/>
          <w:lang w:val="en-US"/>
        </w:rPr>
        <w:t>Source:</w:t>
      </w:r>
      <w:r>
        <w:rPr>
          <w:rFonts w:ascii="Arial" w:hAnsi="Arial" w:cs="Arial"/>
          <w:b/>
          <w:bCs/>
          <w:sz w:val="24"/>
          <w:lang w:val="en-US"/>
        </w:rPr>
        <w:tab/>
      </w:r>
      <w:r>
        <w:rPr>
          <w:rFonts w:ascii="Arial" w:hAnsi="Arial" w:eastAsia="Arial" w:cs="Arial"/>
          <w:b/>
          <w:sz w:val="24"/>
          <w:szCs w:val="24"/>
          <w:lang w:val="en-US"/>
        </w:rPr>
        <w:t>Moderator (Nokia)</w:t>
      </w:r>
    </w:p>
    <w:p>
      <w:pPr>
        <w:spacing w:after="120"/>
        <w:ind w:left="1985" w:hanging="1985"/>
        <w:rPr>
          <w:rFonts w:ascii="Arial" w:hAnsi="Arial" w:eastAsia="Arial" w:cs="Arial"/>
          <w:b/>
          <w:sz w:val="24"/>
          <w:szCs w:val="24"/>
          <w:lang w:val="en-US"/>
        </w:rPr>
      </w:pPr>
      <w:r>
        <w:rPr>
          <w:rFonts w:ascii="Arial" w:hAnsi="Arial" w:eastAsia="Arial" w:cs="Arial"/>
          <w:b/>
          <w:sz w:val="24"/>
          <w:szCs w:val="24"/>
          <w:lang w:val="en-US"/>
        </w:rPr>
        <w:t>Title:</w:t>
      </w:r>
      <w:r>
        <w:rPr>
          <w:rFonts w:ascii="Arial" w:hAnsi="Arial" w:cs="Arial"/>
          <w:b/>
          <w:bCs/>
          <w:sz w:val="24"/>
          <w:lang w:val="en-US"/>
        </w:rPr>
        <w:tab/>
      </w:r>
      <w:r>
        <w:rPr>
          <w:rFonts w:ascii="Arial" w:hAnsi="Arial" w:cs="Arial"/>
          <w:b/>
          <w:bCs/>
          <w:sz w:val="24"/>
          <w:lang w:val="en-US"/>
        </w:rPr>
        <w:t>Summary of [100b-e-NR-unlic-NRU-ChAcc-02] Email discussion/approval on clarifications to UL to DL COT sharing</w:t>
      </w:r>
    </w:p>
    <w:p>
      <w:pPr>
        <w:rPr>
          <w:rFonts w:ascii="Arial" w:hAnsi="Arial" w:eastAsia="Arial" w:cs="Arial"/>
          <w:b/>
          <w:sz w:val="24"/>
          <w:szCs w:val="24"/>
          <w:lang w:val="en-US"/>
        </w:rPr>
      </w:pPr>
      <w:r>
        <w:rPr>
          <w:rFonts w:ascii="Arial" w:hAnsi="Arial" w:eastAsia="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hAnsi="Arial" w:eastAsia="Arial" w:cs="Arial"/>
          <w:b/>
          <w:sz w:val="24"/>
          <w:szCs w:val="24"/>
          <w:lang w:val="en-US"/>
        </w:rPr>
        <w:t>Discussion and Decision</w:t>
      </w:r>
    </w:p>
    <w:p>
      <w:pPr>
        <w:pStyle w:val="2"/>
        <w:rPr>
          <w:lang w:val="en-US"/>
        </w:rPr>
      </w:pPr>
      <w:r>
        <w:rPr>
          <w:lang w:val="en-US"/>
        </w:rPr>
        <w:t>1</w:t>
      </w:r>
      <w:r>
        <w:rPr>
          <w:lang w:val="en-US"/>
        </w:rPr>
        <w:tab/>
      </w:r>
      <w:r>
        <w:rPr>
          <w:lang w:val="en-US"/>
        </w:rPr>
        <w:t>Introduction</w:t>
      </w:r>
    </w:p>
    <w:p>
      <w:pPr>
        <w:jc w:val="both"/>
        <w:rPr>
          <w:sz w:val="22"/>
          <w:szCs w:val="22"/>
          <w:lang w:val="en-US" w:eastAsia="ko-KR"/>
        </w:rPr>
      </w:pPr>
      <w:r>
        <w:rPr>
          <w:sz w:val="22"/>
          <w:szCs w:val="22"/>
          <w:lang w:val="en-US" w:eastAsia="ko-KR"/>
        </w:rPr>
        <w:t>This document captures the discussion in the following RAN1#100bis-e email thread:</w:t>
      </w:r>
    </w:p>
    <w:p>
      <w:pPr>
        <w:rPr>
          <w:highlight w:val="cyan"/>
        </w:rPr>
      </w:pPr>
      <w:r>
        <w:rPr>
          <w:highlight w:val="cyan"/>
        </w:rPr>
        <w:t>[100b-e-NR-unlic-NRU-ChAcc-02] Email discussion/approval on clarifications to UL to DL COT sharing by 4/24; if necessary, followed by endorsing the corresponding TPs by 4/29 – Timo (Nokia)</w:t>
      </w:r>
    </w:p>
    <w:p>
      <w:pPr>
        <w:jc w:val="both"/>
      </w:pPr>
      <w:r>
        <w:t>During the preparation phase it was identified that the following TDocs and proposals relate to corrections and clarifications to UL to DL COT sharing:</w:t>
      </w:r>
    </w:p>
    <w:p>
      <w:pPr>
        <w:pStyle w:val="31"/>
        <w:rPr>
          <w:b/>
          <w:bCs/>
          <w:lang w:val="en-US"/>
        </w:rPr>
      </w:pPr>
      <w:r>
        <w:rPr>
          <w:b/>
          <w:bCs/>
          <w:lang w:val="en-US"/>
        </w:rPr>
        <w:t>Issue #3</w:t>
      </w:r>
      <w:r>
        <w:rPr>
          <w:lang w:val="en-US"/>
        </w:rPr>
        <w:t xml:space="preserve"> Clarifications to UL to DL COT sharing</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Pr>
          <w:p>
            <w:pPr>
              <w:pStyle w:val="31"/>
              <w:rPr>
                <w:lang w:val="en-US"/>
              </w:rPr>
            </w:pPr>
            <w:r>
              <w:rPr>
                <w:lang w:val="en-US"/>
              </w:rPr>
              <w:t>Clarifications to UL to DL COT sharing</w:t>
            </w:r>
          </w:p>
        </w:tc>
        <w:tc>
          <w:tcPr>
            <w:tcW w:w="2268" w:type="dxa"/>
          </w:tcPr>
          <w:p>
            <w:pPr>
              <w:pStyle w:val="31"/>
              <w:rPr>
                <w:lang w:val="en-US"/>
              </w:rPr>
            </w:pPr>
            <w:r>
              <w:rPr>
                <w:lang w:val="en-US"/>
              </w:rPr>
              <w:t>R1-2001652 (2.2)</w:t>
            </w:r>
          </w:p>
          <w:p>
            <w:pPr>
              <w:pStyle w:val="31"/>
              <w:rPr>
                <w:lang w:val="en-US"/>
              </w:rPr>
            </w:pPr>
            <w:r>
              <w:rPr>
                <w:lang w:val="en-US"/>
              </w:rPr>
              <w:t>R1-2001705 (2.1)</w:t>
            </w:r>
          </w:p>
          <w:p>
            <w:pPr>
              <w:pStyle w:val="31"/>
              <w:rPr>
                <w:lang w:val="en-US"/>
              </w:rPr>
            </w:pPr>
            <w:r>
              <w:rPr>
                <w:lang w:val="en-US"/>
              </w:rPr>
              <w:t>R1-2001759 (2.3, 2.4)</w:t>
            </w:r>
          </w:p>
          <w:p>
            <w:pPr>
              <w:pStyle w:val="31"/>
              <w:rPr>
                <w:lang w:val="en-US"/>
              </w:rPr>
            </w:pPr>
            <w:r>
              <w:rPr>
                <w:lang w:val="en-US"/>
              </w:rPr>
              <w:t>R1-2001935 (p5, p6)</w:t>
            </w:r>
          </w:p>
          <w:p>
            <w:pPr>
              <w:pStyle w:val="31"/>
              <w:rPr>
                <w:lang w:val="en-US"/>
              </w:rPr>
            </w:pPr>
            <w:r>
              <w:rPr>
                <w:lang w:val="en-US"/>
              </w:rPr>
              <w:t>R1-2002247 (p1)</w:t>
            </w:r>
          </w:p>
          <w:p>
            <w:pPr>
              <w:pStyle w:val="31"/>
              <w:rPr>
                <w:rFonts w:cs="Arial"/>
                <w:bCs/>
                <w:lang w:val="en-US" w:eastAsia="ja-JP"/>
              </w:rPr>
            </w:pPr>
            <w:r>
              <w:rPr>
                <w:rFonts w:cs="Arial"/>
                <w:bCs/>
                <w:lang w:val="en-US" w:eastAsia="ja-JP"/>
              </w:rPr>
              <w:t>R1-2002530 (p3)</w:t>
            </w:r>
          </w:p>
          <w:p>
            <w:pPr>
              <w:pStyle w:val="31"/>
              <w:rPr>
                <w:rFonts w:cs="Arial"/>
                <w:bCs/>
                <w:lang w:val="en-US" w:eastAsia="ja-JP"/>
              </w:rPr>
            </w:pPr>
            <w:r>
              <w:rPr>
                <w:rFonts w:cs="Arial"/>
                <w:bCs/>
                <w:lang w:val="en-US" w:eastAsia="ja-JP"/>
              </w:rPr>
              <w:t>R1-2002632 (p1)</w:t>
            </w:r>
          </w:p>
          <w:p>
            <w:pPr>
              <w:pStyle w:val="31"/>
              <w:rPr>
                <w:rFonts w:cs="Arial"/>
                <w:bCs/>
                <w:lang w:val="en-US" w:eastAsia="ja-JP"/>
              </w:rPr>
            </w:pPr>
            <w:r>
              <w:rPr>
                <w:rFonts w:cs="Arial"/>
                <w:bCs/>
                <w:lang w:val="en-US" w:eastAsia="ja-JP"/>
              </w:rPr>
              <w:t>R1-2002684 (p1, p2, p3)</w:t>
            </w:r>
          </w:p>
        </w:tc>
      </w:tr>
    </w:tbl>
    <w:p>
      <w:pPr>
        <w:jc w:val="both"/>
      </w:pPr>
    </w:p>
    <w:p>
      <w:pPr>
        <w:jc w:val="both"/>
      </w:pPr>
      <w:r>
        <w:t xml:space="preserve">Note: Proposals p2 and p3 in </w:t>
      </w:r>
      <w:r>
        <w:rPr>
          <w:rFonts w:cs="Arial"/>
          <w:bCs/>
          <w:highlight w:val="yellow"/>
          <w:lang w:val="en-US" w:eastAsia="ja-JP"/>
        </w:rPr>
        <w:t>R1-2002632</w:t>
      </w:r>
      <w:r>
        <w:rPr>
          <w:rFonts w:cs="Arial"/>
          <w:bCs/>
          <w:lang w:val="en-US" w:eastAsia="ja-JP"/>
        </w:rPr>
        <w:t xml:space="preserve"> </w:t>
      </w:r>
      <w:r>
        <w:t>will be discussed in a later meeting together with other CWS update related CRs.</w:t>
      </w:r>
    </w:p>
    <w:p>
      <w:pPr>
        <w:pStyle w:val="2"/>
        <w:rPr>
          <w:color w:val="000000"/>
          <w:lang w:val="en-US"/>
        </w:rPr>
      </w:pPr>
      <w:r>
        <w:rPr>
          <w:color w:val="000000"/>
          <w:lang w:val="en-US"/>
        </w:rPr>
        <w:t>2. Issues identified in the contributions</w:t>
      </w:r>
    </w:p>
    <w:p>
      <w:pPr>
        <w:pStyle w:val="92"/>
        <w:tabs>
          <w:tab w:val="left" w:pos="1276"/>
        </w:tabs>
        <w:ind w:left="0" w:firstLine="0"/>
        <w:rPr>
          <w:rFonts w:ascii="Times New Roman" w:hAnsi="Times New Roman" w:eastAsia="宋体"/>
          <w:sz w:val="22"/>
          <w:szCs w:val="22"/>
          <w:lang w:val="en-US" w:eastAsia="ko-KR"/>
        </w:rPr>
      </w:pPr>
      <w:r>
        <w:rPr>
          <w:rFonts w:ascii="Times New Roman" w:hAnsi="Times New Roman" w:eastAsia="宋体"/>
          <w:sz w:val="22"/>
          <w:szCs w:val="22"/>
          <w:lang w:val="en-US" w:eastAsia="ko-KR"/>
        </w:rPr>
        <w:t xml:space="preserve">To organize the email discussion, the issues have been grouped according to the chairman’s guidance. </w:t>
      </w:r>
    </w:p>
    <w:p>
      <w:pPr>
        <w:rPr>
          <w:lang w:val="en-US"/>
        </w:rPr>
      </w:pPr>
    </w:p>
    <w:p>
      <w:pPr>
        <w:pStyle w:val="3"/>
        <w:rPr>
          <w:lang w:val="en-US"/>
        </w:rPr>
      </w:pPr>
      <w:r>
        <w:rPr>
          <w:lang w:val="en-US"/>
        </w:rPr>
        <w:t>2.1 ED Threshold for COT sharing</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u w:val="single"/>
                <w:lang w:val="en-US"/>
              </w:rPr>
            </w:pPr>
            <w:r>
              <w:rPr>
                <w:b/>
                <w:bCs/>
                <w:u w:val="single"/>
                <w:lang w:val="en-US"/>
              </w:rPr>
              <w:t>R1-2001652</w:t>
            </w:r>
          </w:p>
          <w:p>
            <w:pPr>
              <w:pStyle w:val="28"/>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 xml:space="preserve">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hint="eastAsia" w:cs="Times"/>
                <w:b w:val="0"/>
                <w:i/>
                <w:lang w:eastAsia="zh-CN"/>
              </w:rPr>
              <w:t>The UL to DL COT sharing ED threshold should be dynamically indicated to the UE or gNB</w:t>
            </w:r>
            <w:r>
              <w:rPr>
                <w:b w:val="0"/>
                <w:i/>
                <w:lang w:eastAsia="zh-CN"/>
              </w:rPr>
              <w:t>.</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u w:val="single"/>
                <w:lang w:val="en-US"/>
              </w:rPr>
            </w:pPr>
            <w:r>
              <w:rPr>
                <w:b/>
                <w:bCs/>
                <w:u w:val="single"/>
                <w:lang w:val="en-US"/>
              </w:rPr>
              <w:t>R1- 2001935</w:t>
            </w:r>
          </w:p>
          <w:p>
            <w:pPr>
              <w:spacing w:before="120" w:after="120"/>
              <w:ind w:firstLine="200" w:firstLineChars="1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is allowed to select between configured ED threshold and ED threshold calculated based on UE’s configured maximum 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information in CG-UCI.</w:t>
            </w:r>
          </w:p>
          <w:p>
            <w:pPr>
              <w:spacing w:before="120" w:after="120"/>
              <w:ind w:firstLine="200" w:firstLineChars="100"/>
              <w:rPr>
                <w:rFonts w:eastAsia="Batang"/>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tc>
      </w:tr>
    </w:tbl>
    <w:p>
      <w:pPr>
        <w:rPr>
          <w:lang w:val="en-US"/>
        </w:rPr>
      </w:pPr>
    </w:p>
    <w:p>
      <w:pPr>
        <w:rPr>
          <w:i/>
          <w:iCs/>
        </w:rPr>
      </w:pPr>
      <w:r>
        <w:rPr>
          <w:b/>
          <w:bCs/>
          <w:highlight w:val="yellow"/>
        </w:rPr>
        <w:t>FL Proposal #1</w:t>
      </w:r>
      <w:r>
        <w:rPr>
          <w:highlight w:val="yellow"/>
        </w:rPr>
        <w:t>:</w:t>
      </w:r>
      <w:r>
        <w:t xml:space="preserve"> </w:t>
      </w:r>
      <w:r>
        <w:rPr>
          <w:i/>
          <w:iCs/>
        </w:rPr>
        <w:t>Discuss whether the above two proposals are agreeable.</w:t>
      </w:r>
    </w:p>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r>
              <w:rPr>
                <w:color w:val="00B0F0"/>
              </w:rPr>
              <w:t>Intel</w:t>
            </w:r>
          </w:p>
        </w:tc>
        <w:tc>
          <w:tcPr>
            <w:tcW w:w="6799" w:type="dxa"/>
          </w:tcPr>
          <w:p>
            <w:r>
              <w:rPr>
                <w:color w:val="00B0F0"/>
              </w:rPr>
              <w:t>Forcing a UE to use a specific ED threshold configured by gNB may reduce greatly the channel access probability of the UE. Therefore, we believe that the choice of the ED threshold to use should be left to the UE. However, the UE should always use the ED threshold configured by the gNB in case it decides to share its remaining COT with the gNB for transmissions longer than 2/4/ or 8 symbols for 15/30 and 60 KHz subcarrier spacing, respectively. If the UE decides to use the ED threshold calculated by the UE based on the UL transmission power, the UE should always indicate within the CG-UCI that there will be no COT sharing with the gNB. Also we believe that the ED threshold used by the UE should be transparent to the gNB, and there is no necessity for the UE to indicate this explicitly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vAlign w:val="top"/>
          </w:tcPr>
          <w:p>
            <w:r>
              <w:rPr>
                <w:rFonts w:hint="eastAsia"/>
                <w:lang w:val="en-US" w:eastAsia="zh-CN"/>
              </w:rPr>
              <w:t>ZTE, Sanechips</w:t>
            </w:r>
          </w:p>
        </w:tc>
        <w:tc>
          <w:tcPr>
            <w:tcW w:w="6799" w:type="dxa"/>
            <w:vAlign w:val="top"/>
          </w:tcPr>
          <w:p>
            <w:r>
              <w:rPr>
                <w:rFonts w:hint="eastAsia"/>
                <w:lang w:val="en-US" w:eastAsia="zh-CN"/>
              </w:rPr>
              <w:t>Disagree, it is just an optimization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bl>
    <w:p>
      <w:pPr>
        <w:rPr>
          <w:lang w:val="en-US"/>
        </w:rPr>
      </w:pPr>
    </w:p>
    <w:p>
      <w:pPr>
        <w:rPr>
          <w:lang w:val="en-US"/>
        </w:rPr>
      </w:pPr>
    </w:p>
    <w:p>
      <w:pPr>
        <w:pStyle w:val="3"/>
        <w:rPr>
          <w:lang w:val="en-US"/>
        </w:rPr>
      </w:pPr>
      <w:r>
        <w:rPr>
          <w:lang w:val="en-US"/>
        </w:rPr>
        <w:t>2.2 UL-DL gap &gt; 25 us</w:t>
      </w:r>
    </w:p>
    <w:p>
      <w:pPr>
        <w:rPr>
          <w:lang w:val="en-US"/>
        </w:rPr>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u w:val="single"/>
                <w:lang w:val="en-US"/>
              </w:rPr>
            </w:pPr>
            <w:r>
              <w:rPr>
                <w:b/>
                <w:bCs/>
                <w:u w:val="single"/>
                <w:lang w:val="en-US"/>
              </w:rPr>
              <w:t>R1-2001705</w:t>
            </w:r>
          </w:p>
          <w:p>
            <w:pPr>
              <w:pStyle w:val="134"/>
              <w:ind w:left="0"/>
              <w:jc w:val="both"/>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For the COT sharing, the gNB behavior of the gap between a DL transmission and the last PUSCH transmission is larger than 25us shall be clarified. It is preferred to follow the same behavior with the case that the gap is equal to 25us.</w:t>
            </w:r>
          </w:p>
          <w:p>
            <w:pPr>
              <w:rPr>
                <w:sz w:val="22"/>
                <w:szCs w:val="22"/>
              </w:rPr>
            </w:pPr>
            <w:bookmarkStart w:id="2" w:name="_Toc28873136"/>
            <w:bookmarkStart w:id="3" w:name="_Toc35593594"/>
            <w:bookmarkStart w:id="4" w:name="_Toc524694429"/>
            <w:r>
              <w:rPr>
                <w:sz w:val="22"/>
                <w:szCs w:val="22"/>
              </w:rPr>
              <w:t>4.1.3</w:t>
            </w:r>
            <w:r>
              <w:rPr>
                <w:sz w:val="22"/>
                <w:szCs w:val="22"/>
              </w:rPr>
              <w:tab/>
            </w:r>
            <w:r>
              <w:rPr>
                <w:sz w:val="22"/>
                <w:szCs w:val="22"/>
              </w:rPr>
              <w:t>DL channel access procedures in a shared channel occupancy</w:t>
            </w:r>
            <w:bookmarkEnd w:id="2"/>
            <w:bookmarkEnd w:id="3"/>
            <w:bookmarkEnd w:id="4"/>
          </w:p>
          <w:p>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p>
            <w:pPr>
              <w:jc w:val="both"/>
              <w:rPr>
                <w:sz w:val="18"/>
                <w:szCs w:val="18"/>
                <w:lang w:val="en-US"/>
              </w:rPr>
            </w:pPr>
            <w:bookmarkStart w:id="5" w:name="_Hlk26442137"/>
            <w:r>
              <w:rPr>
                <w:sz w:val="18"/>
                <w:szCs w:val="18"/>
                <w:lang w:val="en-US"/>
              </w:rPr>
              <w:t>If a gNB shares a channel occupancy initiated by a UE using the channel access procedures described in clause 4.2.1.1 on a channel, the gNB may transmit a transmission that follows a PUSCH transmission on scheduled or configured resources by the UE after a gap as follows:</w:t>
            </w:r>
          </w:p>
          <w:p>
            <w:pPr>
              <w:pStyle w:val="81"/>
              <w:jc w:val="both"/>
              <w:rPr>
                <w:sz w:val="18"/>
                <w:szCs w:val="18"/>
              </w:rPr>
            </w:pPr>
            <w:r>
              <w:rPr>
                <w:sz w:val="18"/>
                <w:szCs w:val="18"/>
              </w:rPr>
              <w:t>-</w:t>
            </w:r>
            <w:r>
              <w:rPr>
                <w:sz w:val="18"/>
                <w:szCs w:val="18"/>
              </w:rPr>
              <w:tab/>
            </w:r>
            <w:r>
              <w:rPr>
                <w:sz w:val="18"/>
                <w:szCs w:val="18"/>
              </w:rPr>
              <w:t xml:space="preserve">The transmission shall contain transmission to the UE that initiated the channel occupancy and can include non-unicast and/or unicast transmissions where any unicast transmission that includes user plane data is only transmitted to the UE that initiated the channel occupancy. </w:t>
            </w:r>
          </w:p>
          <w:p>
            <w:pPr>
              <w:pStyle w:val="82"/>
              <w:jc w:val="both"/>
              <w:rPr>
                <w:sz w:val="18"/>
                <w:szCs w:val="18"/>
              </w:rPr>
            </w:pPr>
            <w:r>
              <w:rPr>
                <w:sz w:val="18"/>
                <w:szCs w:val="18"/>
              </w:rPr>
              <w:t>-</w:t>
            </w:r>
            <w:r>
              <w:rPr>
                <w:sz w:val="18"/>
                <w:szCs w:val="18"/>
              </w:rPr>
              <w:tab/>
            </w:r>
            <w:r>
              <w:rPr>
                <w:sz w:val="18"/>
                <w:szCs w:val="18"/>
              </w:rPr>
              <w:t xml:space="preserve">If the higher layer parameters </w:t>
            </w:r>
            <w:r>
              <w:rPr>
                <w:i/>
                <w:color w:val="000000"/>
                <w:sz w:val="18"/>
                <w:szCs w:val="18"/>
              </w:rPr>
              <w:t>ul-toDL-CO-SharingED-Threshold-r16</w:t>
            </w:r>
            <w:r>
              <w:rPr>
                <w:color w:val="000000"/>
                <w:sz w:val="18"/>
                <w:szCs w:val="18"/>
              </w:rPr>
              <w:t xml:space="preserve"> is not </w:t>
            </w:r>
            <w:r>
              <w:rPr>
                <w:sz w:val="18"/>
                <w:szCs w:val="18"/>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pPr>
              <w:pStyle w:val="81"/>
              <w:jc w:val="both"/>
              <w:rPr>
                <w:sz w:val="18"/>
                <w:szCs w:val="18"/>
              </w:rPr>
            </w:pPr>
            <w:r>
              <w:rPr>
                <w:sz w:val="18"/>
                <w:szCs w:val="18"/>
              </w:rPr>
              <w:t>-</w:t>
            </w:r>
            <w:r>
              <w:rPr>
                <w:sz w:val="18"/>
                <w:szCs w:val="18"/>
              </w:rPr>
              <w:tab/>
            </w:r>
            <w:r>
              <w:rPr>
                <w:sz w:val="18"/>
                <w:szCs w:val="18"/>
              </w:rPr>
              <w:t xml:space="preserve">If the gap is </w:t>
            </w:r>
            <w:r>
              <w:rPr>
                <w:rStyle w:val="52"/>
                <w:rFonts w:hint="eastAsia"/>
                <w:sz w:val="14"/>
                <w:szCs w:val="18"/>
                <w:lang w:val="en-US" w:eastAsia="zh-CN"/>
              </w:rPr>
              <w:t>up to</w:t>
            </w:r>
            <w:r>
              <w:rPr>
                <w:sz w:val="18"/>
                <w:szCs w:val="18"/>
              </w:rPr>
              <w:t xml:space="preserve"> </w:t>
            </w:r>
            <m:oMath>
              <w:ins w:id="0" w:author="MCC: CR0005" w:date="2020-01-02T06:34:00Z">
                <m:r>
                  <w:rPr>
                    <w:rFonts w:ascii="Cambria Math" w:hAnsi="Cambria Math"/>
                    <w:sz w:val="18"/>
                    <w:szCs w:val="18"/>
                  </w:rPr>
                  <m:t>16us</m:t>
                </m:r>
              </w:ins>
            </m:oMath>
            <w:r>
              <w:rPr>
                <w:sz w:val="18"/>
                <w:szCs w:val="18"/>
              </w:rPr>
              <w:t>, the gNB can transmit the transmission on the channel after performing Type 2C DL channel access as described in clause 4.1.2.3.</w:t>
            </w:r>
          </w:p>
          <w:p>
            <w:pPr>
              <w:pStyle w:val="81"/>
              <w:jc w:val="both"/>
              <w:rPr>
                <w:sz w:val="18"/>
                <w:szCs w:val="18"/>
              </w:rPr>
            </w:pPr>
            <w:r>
              <w:rPr>
                <w:sz w:val="18"/>
                <w:szCs w:val="18"/>
              </w:rPr>
              <w:t>-</w:t>
            </w:r>
            <w:r>
              <w:rPr>
                <w:sz w:val="18"/>
                <w:szCs w:val="18"/>
              </w:rPr>
              <w:tab/>
            </w:r>
            <w:r>
              <w:rPr>
                <w:sz w:val="18"/>
                <w:szCs w:val="18"/>
              </w:rPr>
              <w:t xml:space="preserve">If the gap is </w:t>
            </w:r>
            <w:ins w:id="1" w:author="ZTE Yang Ling" w:date="2020-04-09T15:03:00Z">
              <w:r>
                <w:rPr>
                  <w:rFonts w:hint="eastAsia"/>
                  <w:sz w:val="18"/>
                  <w:szCs w:val="18"/>
                  <w:lang w:val="en-US" w:eastAsia="zh-CN"/>
                </w:rPr>
                <w:t>at leas</w:t>
              </w:r>
            </w:ins>
            <w:ins w:id="2" w:author="ZTE Yang Ling" w:date="2020-04-09T15:04:00Z">
              <w:r>
                <w:rPr>
                  <w:rFonts w:hint="eastAsia"/>
                  <w:sz w:val="18"/>
                  <w:szCs w:val="18"/>
                  <w:lang w:val="en-US" w:eastAsia="zh-CN"/>
                </w:rPr>
                <w:t xml:space="preserve">t </w:t>
              </w:r>
            </w:ins>
            <m:oMath>
              <w:ins w:id="3" w:author="MCC: CR0005" w:date="2020-01-02T06:34:00Z">
                <m:r>
                  <w:rPr>
                    <w:rFonts w:ascii="Cambria Math" w:hAnsi="Cambria Math"/>
                    <w:sz w:val="18"/>
                    <w:szCs w:val="18"/>
                  </w:rPr>
                  <m:t>25us</m:t>
                </m:r>
              </w:ins>
            </m:oMath>
            <w:r>
              <w:rPr>
                <w:sz w:val="18"/>
                <w:szCs w:val="18"/>
              </w:rPr>
              <w:t xml:space="preserve"> or </w:t>
            </w:r>
            <w:ins w:id="4" w:author="ZTE Yang Ling" w:date="2020-04-09T15:04:00Z">
              <w:r>
                <w:rPr>
                  <w:rFonts w:hint="eastAsia"/>
                  <w:sz w:val="18"/>
                  <w:szCs w:val="18"/>
                  <w:lang w:val="en-US" w:eastAsia="zh-CN"/>
                </w:rPr>
                <w:t xml:space="preserve">equal to </w:t>
              </w:r>
            </w:ins>
            <m:oMath>
              <w:ins w:id="5" w:author="MCC: CR0005" w:date="2020-01-02T06:34:00Z">
                <m:r>
                  <w:rPr>
                    <w:rFonts w:ascii="Cambria Math" w:hAnsi="Cambria Math"/>
                    <w:sz w:val="18"/>
                    <w:szCs w:val="18"/>
                  </w:rPr>
                  <m:t>16us</m:t>
                </m:r>
              </w:ins>
            </m:oMath>
            <w:r>
              <w:rPr>
                <w:sz w:val="18"/>
                <w:szCs w:val="18"/>
              </w:rPr>
              <w:t>, the gNB can transmit the transmission on the channel after performing Type 2A or Type 2B DL channel access procedures as described in clause 4.1.2.1 and 4.1.2.2, respectively.</w:t>
            </w:r>
          </w:p>
          <w:bookmarkEnd w:id="5"/>
          <w:p>
            <w:pPr>
              <w:jc w:val="center"/>
              <w:rPr>
                <w:color w:val="FF0000"/>
                <w:sz w:val="18"/>
                <w:szCs w:val="18"/>
              </w:rPr>
            </w:pPr>
            <w:r>
              <w:rPr>
                <w:color w:val="FF0000"/>
                <w:sz w:val="18"/>
                <w:szCs w:val="18"/>
              </w:rPr>
              <w:t>&lt;unchanged part omitted&gt;</w:t>
            </w:r>
          </w:p>
          <w:p>
            <w:pPr>
              <w:jc w:val="both"/>
              <w:rPr>
                <w:sz w:val="18"/>
                <w:szCs w:val="18"/>
                <w:lang w:val="en-US"/>
              </w:rPr>
            </w:pPr>
            <w:r>
              <w:rPr>
                <w:sz w:val="18"/>
                <w:szCs w:val="18"/>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w:t>
            </w:r>
            <w:ins w:id="6" w:author="ZTE Yang Ling" w:date="2020-04-09T15:04:00Z">
              <w:r>
                <w:rPr>
                  <w:rFonts w:hint="eastAsia"/>
                  <w:sz w:val="18"/>
                  <w:szCs w:val="18"/>
                  <w:lang w:val="en-US" w:eastAsia="zh-CN"/>
                </w:rPr>
                <w:t>at least</w:t>
              </w:r>
            </w:ins>
            <w:r>
              <w:rPr>
                <w:sz w:val="18"/>
                <w:szCs w:val="18"/>
                <w:lang w:val="en-US"/>
              </w:rPr>
              <w:t xml:space="preserve"> </w:t>
            </w:r>
            <m:oMath>
              <w:ins w:id="7" w:author="MCC: CR0005" w:date="2020-01-02T06:34:00Z">
                <m:r>
                  <w:rPr>
                    <w:rFonts w:ascii="Cambria Math" w:hAnsi="Cambria Math"/>
                    <w:sz w:val="18"/>
                    <w:szCs w:val="18"/>
                    <w:lang w:val="en-US"/>
                  </w:rPr>
                  <m:t>25</m:t>
                </m:r>
              </w:ins>
              <w:ins w:id="8" w:author="MCC: CR0005" w:date="2020-01-02T06:34:00Z">
                <m:r>
                  <w:rPr>
                    <w:rFonts w:ascii="Cambria Math" w:hAnsi="Cambria Math"/>
                    <w:sz w:val="18"/>
                    <w:szCs w:val="18"/>
                  </w:rPr>
                  <m:t>us</m:t>
                </m:r>
              </w:ins>
            </m:oMath>
            <w:ins w:id="9" w:author="ZTE Yang Ling" w:date="2020-04-09T15:05:00Z">
              <w:r>
                <w:rPr>
                  <w:rFonts w:hint="eastAsia"/>
                  <w:sz w:val="18"/>
                  <w:szCs w:val="18"/>
                  <w:lang w:val="en-US" w:eastAsia="zh-CN"/>
                </w:rPr>
                <w:t xml:space="preserve"> or </w:t>
              </w:r>
            </w:ins>
            <w:ins w:id="10" w:author="ZTE Yang Ling" w:date="2020-04-10T13:10:00Z">
              <w:r>
                <w:rPr>
                  <w:sz w:val="18"/>
                  <w:szCs w:val="18"/>
                  <w:lang w:val="en-US" w:eastAsia="zh-CN"/>
                </w:rPr>
                <w:t>up to</w:t>
              </w:r>
            </w:ins>
            <w:ins w:id="11" w:author="ZTE Yang Ling" w:date="2020-04-09T15:05:00Z">
              <w:r>
                <w:rPr>
                  <w:rFonts w:hint="eastAsia"/>
                  <w:sz w:val="18"/>
                  <w:szCs w:val="18"/>
                  <w:lang w:val="en-US" w:eastAsia="zh-CN"/>
                </w:rPr>
                <w:t xml:space="preserve"> 16us</w:t>
              </w:r>
            </w:ins>
            <w:r>
              <w:rPr>
                <w:sz w:val="18"/>
                <w:szCs w:val="18"/>
                <w:lang w:val="en-US"/>
              </w:rPr>
              <w:t>. In this case the following applies:</w:t>
            </w:r>
          </w:p>
          <w:p>
            <w:pPr>
              <w:pStyle w:val="81"/>
              <w:jc w:val="both"/>
              <w:rPr>
                <w:sz w:val="18"/>
                <w:szCs w:val="18"/>
              </w:rPr>
            </w:pPr>
            <w:r>
              <w:rPr>
                <w:sz w:val="18"/>
                <w:szCs w:val="18"/>
              </w:rPr>
              <w:t>-</w:t>
            </w:r>
            <w:r>
              <w:rPr>
                <w:sz w:val="18"/>
                <w:szCs w:val="18"/>
              </w:rPr>
              <w:tab/>
            </w:r>
            <w:r>
              <w:rPr>
                <w:sz w:val="18"/>
                <w:szCs w:val="18"/>
              </w:rPr>
              <w:t xml:space="preserve">If the gap is </w:t>
            </w:r>
            <w:ins w:id="12" w:author="ZTE Yang Ling" w:date="2020-04-09T15:05:00Z">
              <w:r>
                <w:rPr>
                  <w:rFonts w:hint="eastAsia"/>
                  <w:sz w:val="18"/>
                  <w:szCs w:val="18"/>
                  <w:lang w:val="en-US" w:eastAsia="zh-CN"/>
                </w:rPr>
                <w:t>at least</w:t>
              </w:r>
            </w:ins>
            <w:r>
              <w:rPr>
                <w:sz w:val="18"/>
                <w:szCs w:val="18"/>
                <w:lang w:val="en-US" w:eastAsia="zh-CN"/>
              </w:rPr>
              <w:t xml:space="preserve"> </w:t>
            </w:r>
            <w:ins w:id="13" w:author="ZTE Yang Ling" w:date="2020-04-09T15:05:00Z">
              <w:r>
                <w:rPr>
                  <w:rFonts w:hint="eastAsia"/>
                  <w:sz w:val="18"/>
                  <w:szCs w:val="18"/>
                  <w:lang w:val="en-US" w:eastAsia="zh-CN"/>
                </w:rPr>
                <w:t>25us or equal to 16us</w:t>
              </w:r>
            </w:ins>
            <w:r>
              <w:rPr>
                <w:sz w:val="18"/>
                <w:szCs w:val="18"/>
              </w:rPr>
              <w:t>, the gNB can transmit the transmission on the channel after performing Type 2A or 2B DL channel access procedures as described in clause 4.1.2.1 and 4.1.2.2, respectively.</w:t>
            </w:r>
          </w:p>
          <w:p>
            <w:pPr>
              <w:pStyle w:val="81"/>
              <w:jc w:val="both"/>
              <w:rPr>
                <w:sz w:val="18"/>
                <w:szCs w:val="18"/>
              </w:rPr>
            </w:pPr>
            <w:r>
              <w:rPr>
                <w:sz w:val="18"/>
                <w:szCs w:val="18"/>
              </w:rPr>
              <w:t>-</w:t>
            </w:r>
            <w:r>
              <w:rPr>
                <w:sz w:val="18"/>
                <w:szCs w:val="18"/>
              </w:rPr>
              <w:tab/>
            </w:r>
            <w:r>
              <w:rPr>
                <w:sz w:val="18"/>
                <w:szCs w:val="18"/>
              </w:rPr>
              <w:t xml:space="preserve">If the gap is </w:t>
            </w:r>
            <w:r>
              <w:rPr>
                <w:rFonts w:hint="eastAsia"/>
                <w:sz w:val="18"/>
                <w:szCs w:val="18"/>
                <w:lang w:val="en-US" w:eastAsia="zh-CN"/>
              </w:rPr>
              <w:t>up to</w:t>
            </w:r>
            <w:r>
              <w:rPr>
                <w:sz w:val="18"/>
                <w:szCs w:val="18"/>
              </w:rPr>
              <w:t xml:space="preserve"> </w:t>
            </w:r>
            <m:oMath>
              <w:ins w:id="14" w:author="MCC: CR0005" w:date="2020-01-02T06:34:00Z">
                <m:r>
                  <w:rPr>
                    <w:rFonts w:ascii="Cambria Math" w:hAnsi="Cambria Math"/>
                    <w:sz w:val="18"/>
                    <w:szCs w:val="18"/>
                  </w:rPr>
                  <m:t>16us</m:t>
                </m:r>
              </w:ins>
            </m:oMath>
            <w:r>
              <w:rPr>
                <w:sz w:val="18"/>
                <w:szCs w:val="18"/>
              </w:rPr>
              <w:t>, the gNB can transmit the transmission on the channel after performing Type 2C DL channel access as described in clause 4.1.2.3.</w:t>
            </w:r>
          </w:p>
          <w:p>
            <w:pPr>
              <w:jc w:val="center"/>
              <w:rPr>
                <w:color w:val="FF0000"/>
                <w:sz w:val="18"/>
                <w:szCs w:val="18"/>
              </w:rPr>
            </w:pPr>
            <w:r>
              <w:rPr>
                <w:color w:val="FF0000"/>
                <w:sz w:val="18"/>
                <w:szCs w:val="18"/>
              </w:rPr>
              <w:t>&lt;unchanged part omitted&gt;</w:t>
            </w:r>
          </w:p>
          <w:p>
            <w:pPr>
              <w:rPr>
                <w:color w:val="C00000"/>
                <w:lang w:val="en-US" w:eastAsia="zh-CN"/>
              </w:rPr>
            </w:pPr>
            <w:r>
              <w:rPr>
                <w:color w:val="C00000"/>
                <w:sz w:val="18"/>
                <w:szCs w:val="18"/>
              </w:rPr>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u w:val="single"/>
                <w:lang w:val="en-US"/>
              </w:rPr>
            </w:pPr>
            <w:r>
              <w:rPr>
                <w:b/>
                <w:bCs/>
                <w:u w:val="single"/>
                <w:lang w:val="en-US"/>
              </w:rPr>
              <w:t>R1-2002530</w:t>
            </w:r>
          </w:p>
          <w:p>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 access can be used by gNB to transmit</w:t>
            </w:r>
          </w:p>
          <w:p>
            <w:pPr>
              <w:rPr>
                <w:rFonts w:eastAsiaTheme="minorEastAsia"/>
                <w:lang w:eastAsia="zh-CN"/>
              </w:rPr>
            </w:pPr>
            <w:r>
              <w:rPr>
                <w:rFonts w:eastAsiaTheme="minorEastAsia"/>
                <w:lang w:eastAsia="zh-CN"/>
              </w:rPr>
              <w:t>==============TP for 37.213 4.1.3===================================</w:t>
            </w:r>
          </w:p>
          <w:p>
            <w:pPr>
              <w:rPr>
                <w:rFonts w:eastAsiaTheme="minorEastAsia"/>
                <w:lang w:eastAsia="zh-CN"/>
              </w:rPr>
            </w:pPr>
            <w:r>
              <w:rPr>
                <w:rFonts w:eastAsiaTheme="minorEastAsia"/>
                <w:lang w:eastAsia="zh-CN"/>
              </w:rPr>
              <w:t>----------------unchanged text removed-----------------------</w:t>
            </w:r>
          </w:p>
          <w:p>
            <w:pPr>
              <w:rPr>
                <w:lang w:val="en-US" w:eastAsia="zh-CN"/>
              </w:rPr>
            </w:pPr>
            <w:bookmarkStart w:id="6" w:name="_Hlk24364570"/>
            <w:r>
              <w:rPr>
                <w:lang w:val="en-US" w:eastAsia="zh-CN"/>
              </w:rPr>
              <w:t xml:space="preserve">If a gNB shares a channel occupancy initiated by a UE using the channel access procedures described in clause 4.2.1.1 on a channel, the gNB may </w:t>
            </w:r>
            <w:r>
              <w:rPr>
                <w:lang w:val="en-US"/>
              </w:rPr>
              <w:t>transmit a transmission that follows a</w:t>
            </w:r>
            <w:r>
              <w:rPr>
                <w:lang w:val="en-US" w:eastAsia="zh-CN"/>
              </w:rPr>
              <w:t xml:space="preserve"> PUSCH transmission on scheduled or configured resources by the UE after a gap as follows:</w:t>
            </w:r>
          </w:p>
          <w:p>
            <w:pPr>
              <w:pStyle w:val="81"/>
            </w:pPr>
            <w:r>
              <w:rPr>
                <w:lang w:eastAsia="zh-CN"/>
              </w:rPr>
              <w:t>-</w:t>
            </w:r>
            <w:r>
              <w:rPr>
                <w:lang w:eastAsia="zh-CN"/>
              </w:rPr>
              <w:tab/>
            </w:r>
            <w:r>
              <w:rPr>
                <w:lang w:eastAsia="zh-CN"/>
              </w:rPr>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pPr>
              <w:pStyle w:val="82"/>
            </w:pPr>
            <w:r>
              <w:t>-</w:t>
            </w:r>
            <w:r>
              <w:tab/>
            </w:r>
            <w:r>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pPr>
              <w:pStyle w:val="81"/>
            </w:pPr>
            <w:r>
              <w:t>-</w:t>
            </w:r>
            <w:r>
              <w:tab/>
            </w:r>
            <w:r>
              <w:t xml:space="preserve">If the gap is up to </w:t>
            </w:r>
            <m:oMath>
              <m:r>
                <w:rPr>
                  <w:rFonts w:ascii="Cambria Math" w:hAnsi="Cambria Math"/>
                </w:rPr>
                <m:t>16us</m:t>
              </m:r>
            </m:oMath>
            <w:r>
              <w:t>, the gNB can transmit the transmission on the channel after performing Type 2C DL channel access as described in clause 4.1.2.3.</w:t>
            </w:r>
          </w:p>
          <w:p>
            <w:pPr>
              <w:pStyle w:val="81"/>
            </w:pPr>
            <w:r>
              <w:t>-</w:t>
            </w:r>
            <w:r>
              <w:tab/>
            </w:r>
            <w:r>
              <w:t>If the gap is</w:t>
            </w:r>
            <w:ins w:id="15" w:author="JS" w:date="2020-04-10T10:18:00Z">
              <w:r>
                <w:rPr/>
                <w:t xml:space="preserve"> no less than</w:t>
              </w:r>
            </w:ins>
            <w:r>
              <w:t xml:space="preserve"> </w:t>
            </w:r>
            <m:oMath>
              <m:r>
                <w:rPr>
                  <w:rFonts w:ascii="Cambria Math" w:hAnsi="Cambria Math"/>
                </w:rPr>
                <m:t>25us</m:t>
              </m:r>
            </m:oMath>
            <w:r>
              <w:t xml:space="preserve">  or </w:t>
            </w:r>
            <w:ins w:id="16" w:author="JS" w:date="2020-04-10T10:18:00Z">
              <w:r>
                <w:rPr/>
                <w:t xml:space="preserve">is </w:t>
              </w:r>
            </w:ins>
            <m:oMath>
              <m:r>
                <w:rPr>
                  <w:rFonts w:ascii="Cambria Math" w:hAnsi="Cambria Math"/>
                </w:rPr>
                <m:t>16us</m:t>
              </m:r>
            </m:oMath>
            <w:r>
              <w:t>, the gNB can transmit the transmission on the channel after performing Type 2A or Type 2B DL channel access procedures as described in clause 4.1.2.1 and 4.1.2.2, respectively.</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u w:val="single"/>
                <w:lang w:val="en-US"/>
              </w:rPr>
            </w:pPr>
            <w:r>
              <w:rPr>
                <w:b/>
                <w:bCs/>
                <w:u w:val="single"/>
                <w:lang w:val="en-US"/>
              </w:rPr>
              <w:t>R1-2001537</w:t>
            </w:r>
          </w:p>
          <w:p>
            <w:pPr>
              <w:overflowPunct/>
              <w:snapToGrid w:val="0"/>
              <w:spacing w:after="120"/>
              <w:jc w:val="both"/>
              <w:textAlignment w:val="auto"/>
              <w:rPr>
                <w:b/>
                <w:bCs/>
                <w:i/>
                <w:lang w:val="en-US"/>
              </w:rPr>
            </w:pPr>
            <w:r>
              <w:rPr>
                <w:b/>
                <w:bCs/>
                <w:i/>
                <w:u w:val="single"/>
                <w:lang w:val="en-US"/>
              </w:rPr>
              <w:t>Proposal 1</w:t>
            </w:r>
            <w:r>
              <w:rPr>
                <w:b/>
                <w:bCs/>
                <w:i/>
                <w:lang w:val="en-US" w:eastAsia="zh-CN"/>
              </w:rPr>
              <w:t>：Some rows should be added to the cg-COT-SharingList-r16 table such that each additional row indicates a possible UL-burst-end symbol within a slot.</w:t>
            </w:r>
          </w:p>
          <w:p>
            <w:pPr>
              <w:numPr>
                <w:ilvl w:val="0"/>
                <w:numId w:val="3"/>
              </w:numPr>
              <w:overflowPunct/>
              <w:autoSpaceDE/>
              <w:autoSpaceDN/>
              <w:adjustRightInd/>
              <w:snapToGrid w:val="0"/>
              <w:spacing w:after="0"/>
              <w:jc w:val="both"/>
              <w:textAlignment w:val="auto"/>
              <w:rPr>
                <w:b/>
                <w:bCs/>
                <w:i/>
                <w:lang w:val="en-US" w:eastAsia="zh-CN"/>
              </w:rPr>
            </w:pPr>
            <w:r>
              <w:rPr>
                <w:b/>
                <w:bCs/>
                <w:i/>
                <w:lang w:val="en-US" w:eastAsia="zh-CN"/>
              </w:rPr>
              <w:t>If the gNB receives a CG-UCI indicating a row index providing a UL-burst-end before the start of a slot-based DL transmission opportunity sharing the UL COT, the gNB may transmit the DL transmission after a gap from the symbol indicated by the UL-burst-end in the immediately preceding slot.</w:t>
            </w:r>
          </w:p>
          <w:p>
            <w:pPr>
              <w:rPr>
                <w:b/>
                <w:bCs/>
                <w:u w:val="single"/>
                <w:lang w:val="en-US"/>
              </w:rPr>
            </w:pPr>
          </w:p>
          <w:p>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pPr>
              <w:keepNext/>
              <w:keepLines/>
              <w:overflowPunct/>
              <w:autoSpaceDE/>
              <w:autoSpaceDN/>
              <w:adjustRightInd/>
              <w:spacing w:before="120"/>
              <w:textAlignment w:val="auto"/>
              <w:outlineLvl w:val="2"/>
              <w:rPr>
                <w:rFonts w:ascii="Arial" w:hAnsi="Arial" w:eastAsia="Times New Roman"/>
                <w:sz w:val="28"/>
              </w:rPr>
            </w:pPr>
            <w:r>
              <w:rPr>
                <w:rFonts w:ascii="Arial" w:hAnsi="Arial" w:eastAsia="Times New Roman"/>
                <w:sz w:val="28"/>
              </w:rPr>
              <w:t>4.1.3</w:t>
            </w:r>
            <w:r>
              <w:rPr>
                <w:rFonts w:ascii="Arial" w:hAnsi="Arial" w:eastAsia="Times New Roman"/>
                <w:sz w:val="28"/>
              </w:rPr>
              <w:tab/>
            </w:r>
            <w:r>
              <w:rPr>
                <w:rFonts w:ascii="Arial" w:hAnsi="Arial" w:eastAsia="Times New Roman"/>
                <w:sz w:val="28"/>
              </w:rPr>
              <w:t>DL channel access procedures in a shared channel occupancy</w:t>
            </w:r>
          </w:p>
          <w:p>
            <w:pPr>
              <w:keepNext/>
              <w:keepLines/>
              <w:spacing w:before="180"/>
              <w:ind w:left="1134"/>
              <w:jc w:val="center"/>
              <w:outlineLvl w:val="1"/>
              <w:rPr>
                <w:color w:val="FF0000"/>
                <w:sz w:val="24"/>
                <w:lang w:eastAsia="zh-CN"/>
              </w:rPr>
            </w:pPr>
            <w:r>
              <w:rPr>
                <w:color w:val="FF0000"/>
                <w:sz w:val="24"/>
                <w:lang w:eastAsia="zh-CN"/>
              </w:rPr>
              <w:t>*** Unchanged text is omitted ***</w:t>
            </w:r>
          </w:p>
          <w:p>
            <w:pPr>
              <w:overflowPunct/>
              <w:autoSpaceDE/>
              <w:autoSpaceDN/>
              <w:adjustRightInd/>
              <w:textAlignment w:val="auto"/>
              <w:rPr>
                <w:rFonts w:eastAsia="Times New Roman"/>
                <w:lang w:val="en-US" w:eastAsia="zh-CN"/>
              </w:rPr>
            </w:pPr>
            <w:r>
              <w:rPr>
                <w:rFonts w:eastAsia="Times New Roman"/>
                <w:lang w:val="en-US" w:eastAsia="zh-CN"/>
              </w:rPr>
              <w:t xml:space="preserve">For the case where a gNB shares a channel occupancy initiated by a UE with configured grant PUSCH transmission, the gNB may </w:t>
            </w:r>
            <w:r>
              <w:rPr>
                <w:rFonts w:eastAsia="Times New Roman"/>
                <w:lang w:val="en-US"/>
              </w:rPr>
              <w:t xml:space="preserve">transmit a transmission that follows the configured grant </w:t>
            </w:r>
            <w:r>
              <w:rPr>
                <w:rFonts w:eastAsia="Times New Roman"/>
                <w:lang w:val="en-US" w:eastAsia="zh-CN"/>
              </w:rPr>
              <w:t xml:space="preserve">PUSCH transmission by the UE as follows: </w:t>
            </w:r>
          </w:p>
          <w:p>
            <w:pPr>
              <w:overflowPunct/>
              <w:autoSpaceDE/>
              <w:autoSpaceDN/>
              <w:adjustRightInd/>
              <w:textAlignment w:val="auto"/>
              <w:rPr>
                <w:rFonts w:eastAsia="Times New Roman"/>
              </w:rPr>
            </w:pPr>
            <w:r>
              <w:rPr>
                <w:rFonts w:eastAsia="Times New Roman"/>
              </w:rPr>
              <w:t>-</w:t>
            </w:r>
            <w:r>
              <w:rPr>
                <w:rFonts w:eastAsia="Times New Roman"/>
              </w:rPr>
              <w:tab/>
            </w:r>
            <w:r>
              <w:rPr>
                <w:rFonts w:eastAsia="Times New Roman"/>
              </w:rPr>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 xml:space="preserve">table configured by higher layer.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pPr>
              <w:overflowPunct/>
              <w:autoSpaceDE/>
              <w:autoSpaceDN/>
              <w:adjustRightInd/>
              <w:ind w:left="851"/>
              <w:textAlignment w:val="auto"/>
              <w:rPr>
                <w:ins w:id="17" w:author="Huawei RAN1#100b-e" w:date="2020-03-29T20:49:00Z"/>
                <w:rFonts w:eastAsia="Times New Roman"/>
              </w:rPr>
            </w:pPr>
            <w:r>
              <w:rPr>
                <w:rFonts w:eastAsia="Times New Roman"/>
              </w:rPr>
              <w:t>-</w:t>
            </w:r>
            <w:r>
              <w:rPr>
                <w:rFonts w:eastAsia="Times New Roman"/>
              </w:rPr>
              <w:tab/>
            </w:r>
            <w:r>
              <w:rPr>
                <w:rFonts w:eastAsia="Times New Roman"/>
              </w:rPr>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cs="Courier New"/>
                <w:i/>
                <w:iCs/>
              </w:rPr>
              <w:t>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pPr>
              <w:widowControl w:val="0"/>
              <w:numPr>
                <w:ilvl w:val="0"/>
                <w:numId w:val="4"/>
              </w:numPr>
              <w:overflowPunct/>
              <w:autoSpaceDE/>
              <w:autoSpaceDN/>
              <w:adjustRightInd/>
              <w:snapToGrid w:val="0"/>
              <w:spacing w:after="0"/>
              <w:ind w:left="877"/>
              <w:jc w:val="both"/>
              <w:textAlignment w:val="auto"/>
              <w:rPr>
                <w:ins w:id="18" w:author="Huawei RAN1#100b-e" w:date="2020-03-29T21:26:00Z"/>
                <w:szCs w:val="22"/>
                <w:lang w:val="en-US" w:eastAsia="zh-CN"/>
              </w:rPr>
            </w:pPr>
            <w:ins w:id="19" w:author="Huawei RAN1#100b-e" w:date="2020-03-29T21:21:00Z">
              <w:r>
                <w:rPr>
                  <w:szCs w:val="22"/>
                  <w:lang w:val="en-US" w:eastAsia="zh-CN"/>
                </w:rPr>
                <w:t xml:space="preserve">If additional rows </w:t>
              </w:r>
            </w:ins>
            <w:ins w:id="20" w:author="Huawei RAN1#100b-e" w:date="2020-03-29T21:22:00Z">
              <w:r>
                <w:rPr>
                  <w:szCs w:val="22"/>
                  <w:lang w:val="en-US" w:eastAsia="zh-CN"/>
                </w:rPr>
                <w:t xml:space="preserve">are </w:t>
              </w:r>
            </w:ins>
            <w:ins w:id="21" w:author="Huawei RAN1#100b-e" w:date="2020-03-29T21:21:00Z">
              <w:r>
                <w:rPr>
                  <w:szCs w:val="22"/>
                  <w:lang w:val="en-US" w:eastAsia="zh-CN"/>
                </w:rPr>
                <w:t>configured in the</w:t>
              </w:r>
            </w:ins>
            <w:ins w:id="22" w:author="Huawei RAN1#100b-e" w:date="2020-04-03T19:35:00Z">
              <w:r>
                <w:rPr>
                  <w:szCs w:val="22"/>
                  <w:lang w:val="en-US" w:eastAsia="zh-CN"/>
                </w:rPr>
                <w:t xml:space="preserve"> </w:t>
              </w:r>
            </w:ins>
            <w:ins w:id="23" w:author="Huawei RAN1#100b-e" w:date="2020-04-03T19:34:00Z">
              <w:r>
                <w:rPr>
                  <w:szCs w:val="22"/>
                  <w:lang w:val="en-US" w:eastAsia="zh-CN"/>
                </w:rPr>
                <w:t>table provided by</w:t>
              </w:r>
            </w:ins>
            <w:ins w:id="24" w:author="Huawei RAN1#100b-e" w:date="2020-03-29T21:21:00Z">
              <w:r>
                <w:rPr>
                  <w:szCs w:val="22"/>
                  <w:lang w:val="en-US" w:eastAsia="zh-CN"/>
                </w:rPr>
                <w:t xml:space="preserve"> </w:t>
              </w:r>
            </w:ins>
            <w:ins w:id="25" w:author="Huawei RAN1#100b-e" w:date="2020-03-29T21:21:00Z">
              <w:r>
                <w:rPr>
                  <w:i/>
                  <w:szCs w:val="22"/>
                  <w:lang w:val="en-US" w:eastAsia="zh-CN"/>
                </w:rPr>
                <w:t>cg-COT-SharingList-r16</w:t>
              </w:r>
            </w:ins>
            <w:ins w:id="26" w:author="Huawei RAN1#100b-e" w:date="2020-03-29T21:21:00Z">
              <w:r>
                <w:rPr>
                  <w:szCs w:val="22"/>
                  <w:lang w:val="en-US" w:eastAsia="zh-CN"/>
                </w:rPr>
                <w:t xml:space="preserve"> </w:t>
              </w:r>
            </w:ins>
            <w:ins w:id="27" w:author="Huawei RAN1#100b-e" w:date="2020-03-29T21:22:00Z">
              <w:r>
                <w:rPr>
                  <w:szCs w:val="22"/>
                  <w:lang w:val="en-US" w:eastAsia="zh-CN"/>
                </w:rPr>
                <w:t>wherein</w:t>
              </w:r>
            </w:ins>
            <w:ins w:id="28" w:author="Huawei RAN1#100b-e" w:date="2020-03-29T21:21:00Z">
              <w:r>
                <w:rPr>
                  <w:szCs w:val="22"/>
                  <w:lang w:val="en-US" w:eastAsia="zh-CN"/>
                </w:rPr>
                <w:t xml:space="preserve"> each additional row indicates a possible </w:t>
              </w:r>
            </w:ins>
            <w:ins w:id="29" w:author="Huawei RAN1#100b-e" w:date="2020-03-29T21:28:00Z">
              <w:r>
                <w:rPr>
                  <w:szCs w:val="22"/>
                  <w:lang w:val="en-US" w:eastAsia="zh-CN"/>
                </w:rPr>
                <w:t>‘</w:t>
              </w:r>
            </w:ins>
            <w:ins w:id="30" w:author="Huawei RAN1#100b-e" w:date="2020-03-29T21:21:00Z">
              <w:r>
                <w:rPr>
                  <w:i/>
                  <w:szCs w:val="22"/>
                  <w:lang w:val="en-US" w:eastAsia="zh-CN"/>
                </w:rPr>
                <w:t>UL-burst-end</w:t>
              </w:r>
            </w:ins>
            <w:ins w:id="31" w:author="Huawei RAN1#100b-e" w:date="2020-03-29T21:28:00Z">
              <w:r>
                <w:rPr>
                  <w:i/>
                  <w:szCs w:val="22"/>
                  <w:lang w:val="en-US" w:eastAsia="zh-CN"/>
                </w:rPr>
                <w:t>’</w:t>
              </w:r>
            </w:ins>
            <w:ins w:id="32" w:author="Huawei RAN1#100b-e" w:date="2020-03-29T21:21:00Z">
              <w:r>
                <w:rPr>
                  <w:szCs w:val="22"/>
                  <w:lang w:val="en-US" w:eastAsia="zh-CN"/>
                </w:rPr>
                <w:t xml:space="preserve"> symbol within a slot</w:t>
              </w:r>
            </w:ins>
            <w:ins w:id="33" w:author="Huawei RAN1#100b-e" w:date="2020-03-29T21:23:00Z">
              <w:r>
                <w:rPr>
                  <w:szCs w:val="22"/>
                  <w:lang w:val="en-US" w:eastAsia="zh-CN"/>
                </w:rPr>
                <w:t xml:space="preserve"> and </w:t>
              </w:r>
            </w:ins>
            <w:ins w:id="34" w:author="Huawei RAN1#100b-e" w:date="2020-03-29T21:21:00Z">
              <w:r>
                <w:rPr>
                  <w:szCs w:val="22"/>
                  <w:lang w:val="en-US" w:eastAsia="zh-CN"/>
                </w:rPr>
                <w:t xml:space="preserve">if the gNB receives a </w:t>
              </w:r>
            </w:ins>
            <w:ins w:id="35" w:author="Huawei RAN1#100b-e" w:date="2020-03-29T21:29:00Z">
              <w:r>
                <w:rPr>
                  <w:szCs w:val="22"/>
                  <w:lang w:val="en-US" w:eastAsia="zh-CN"/>
                </w:rPr>
                <w:t xml:space="preserve">'COT sharing information' in a </w:t>
              </w:r>
            </w:ins>
            <w:ins w:id="36" w:author="Huawei RAN1#100b-e" w:date="2020-03-29T21:21:00Z">
              <w:r>
                <w:rPr>
                  <w:szCs w:val="22"/>
                  <w:lang w:val="en-US" w:eastAsia="zh-CN"/>
                </w:rPr>
                <w:t xml:space="preserve">CG-UCI indicating a row index that corresponds to a </w:t>
              </w:r>
            </w:ins>
            <w:ins w:id="37" w:author="Huawei RAN1#100b-e" w:date="2020-04-06T21:28:00Z">
              <w:r>
                <w:rPr>
                  <w:i/>
                  <w:szCs w:val="22"/>
                  <w:lang w:val="en-US" w:eastAsia="zh-CN"/>
                </w:rPr>
                <w:t>ul</w:t>
              </w:r>
            </w:ins>
            <w:ins w:id="38" w:author="Huawei RAN1#100b-e" w:date="2020-03-29T21:21:00Z">
              <w:r>
                <w:rPr>
                  <w:i/>
                  <w:szCs w:val="22"/>
                  <w:lang w:val="en-US" w:eastAsia="zh-CN"/>
                </w:rPr>
                <w:t>BurstEnd</w:t>
              </w:r>
            </w:ins>
            <w:ins w:id="39" w:author="Huawei RAN1#100b-e" w:date="2020-04-06T21:28:00Z">
              <w:r>
                <w:rPr>
                  <w:i/>
                  <w:szCs w:val="22"/>
                  <w:lang w:val="en-US" w:eastAsia="zh-CN"/>
                </w:rPr>
                <w:t>-r16</w:t>
              </w:r>
            </w:ins>
            <w:ins w:id="40" w:author="Huawei RAN1#100b-e" w:date="2020-04-06T21:28:00Z">
              <w:r>
                <w:rPr>
                  <w:szCs w:val="22"/>
                  <w:lang w:val="en-US" w:eastAsia="zh-CN"/>
                </w:rPr>
                <w:t xml:space="preserve"> </w:t>
              </w:r>
            </w:ins>
            <w:ins w:id="41" w:author="Huawei RAN1#100b-e" w:date="2020-03-29T21:21:00Z">
              <w:r>
                <w:rPr>
                  <w:szCs w:val="22"/>
                  <w:lang w:val="en-US" w:eastAsia="zh-CN"/>
                </w:rPr>
                <w:t xml:space="preserve">before the start of a DL transmission opportunity sharing the UL COT, the gNB assumes that the CG UL burst will end at the symbol indicated by the </w:t>
              </w:r>
            </w:ins>
            <w:ins w:id="42" w:author="Huawei RAN1#100b-e" w:date="2020-04-06T21:28:00Z">
              <w:r>
                <w:rPr>
                  <w:i/>
                  <w:szCs w:val="22"/>
                  <w:lang w:val="en-US" w:eastAsia="zh-CN"/>
                </w:rPr>
                <w:t>ulBurstEnd-r16</w:t>
              </w:r>
            </w:ins>
            <w:ins w:id="43" w:author="Huawei RAN1#100b-e" w:date="2020-03-29T21:21:00Z">
              <w:r>
                <w:rPr>
                  <w:szCs w:val="22"/>
                  <w:lang w:val="en-US" w:eastAsia="zh-CN"/>
                </w:rPr>
                <w:t xml:space="preserve"> in the slot immediately preceding the slot </w:t>
              </w:r>
            </w:ins>
            <w:ins w:id="44" w:author="Huawei RAN1#100b-e" w:date="2020-03-29T21:33:00Z">
              <w:r>
                <w:rPr>
                  <w:szCs w:val="22"/>
                  <w:lang w:val="en-US" w:eastAsia="zh-CN"/>
                </w:rPr>
                <w:t>determine</w:t>
              </w:r>
            </w:ins>
            <w:ins w:id="45" w:author="Huawei RAN1#100b-e" w:date="2020-03-29T21:21:00Z">
              <w:r>
                <w:rPr>
                  <w:szCs w:val="22"/>
                  <w:lang w:val="en-US" w:eastAsia="zh-CN"/>
                </w:rPr>
                <w:t xml:space="preserve">d by the parameter </w:t>
              </w:r>
            </w:ins>
            <w:ins w:id="46" w:author="Huawei RAN1#100b-e" w:date="2020-03-29T21:21:00Z">
              <w:r>
                <w:rPr>
                  <w:i/>
                  <w:szCs w:val="22"/>
                  <w:lang w:val="en-US" w:eastAsia="zh-CN"/>
                </w:rPr>
                <w:t>offset-r16</w:t>
              </w:r>
            </w:ins>
            <w:ins w:id="47" w:author="Huawei RAN1#100b-e" w:date="2020-03-29T21:21:00Z">
              <w:r>
                <w:rPr>
                  <w:szCs w:val="22"/>
                  <w:lang w:val="en-US" w:eastAsia="zh-CN"/>
                </w:rPr>
                <w:t xml:space="preserve"> in another CG-UCI received before the start of the DL transmission opportunity. In that case, the gNB may transmit the DL transmission after a gap </w:t>
              </w:r>
            </w:ins>
            <w:ins w:id="48" w:author="Huawei RAN1#100b-e" w:date="2020-03-29T21:25:00Z">
              <w:r>
                <w:rPr>
                  <w:szCs w:val="22"/>
                  <w:lang w:val="en-US" w:eastAsia="zh-CN"/>
                </w:rPr>
                <w:t xml:space="preserve">duration </w:t>
              </w:r>
            </w:ins>
            <w:ins w:id="49" w:author="Huawei RAN1#100b-e" w:date="2020-03-29T21:24:00Z">
              <w:r>
                <w:rPr>
                  <w:szCs w:val="22"/>
                  <w:lang w:val="en-US" w:eastAsia="zh-CN"/>
                </w:rPr>
                <w:t xml:space="preserve">specified </w:t>
              </w:r>
            </w:ins>
            <w:ins w:id="50" w:author="Huawei RAN1#100b-e" w:date="2020-03-29T21:25:00Z">
              <w:r>
                <w:rPr>
                  <w:szCs w:val="22"/>
                  <w:lang w:val="en-US" w:eastAsia="zh-CN"/>
                </w:rPr>
                <w:t xml:space="preserve">earlier </w:t>
              </w:r>
            </w:ins>
            <w:ins w:id="51" w:author="Huawei RAN1#100b-e" w:date="2020-03-29T21:24:00Z">
              <w:r>
                <w:rPr>
                  <w:szCs w:val="22"/>
                  <w:lang w:val="en-US" w:eastAsia="zh-CN"/>
                </w:rPr>
                <w:t>in this su</w:t>
              </w:r>
            </w:ins>
            <w:ins w:id="52" w:author="Huawei RAN1#100b-e" w:date="2020-03-29T21:25:00Z">
              <w:r>
                <w:rPr>
                  <w:szCs w:val="22"/>
                  <w:lang w:val="en-US" w:eastAsia="zh-CN"/>
                </w:rPr>
                <w:t>b</w:t>
              </w:r>
            </w:ins>
            <w:ins w:id="53" w:author="Huawei RAN1#100b-e" w:date="2020-03-29T21:24:00Z">
              <w:r>
                <w:rPr>
                  <w:szCs w:val="22"/>
                  <w:lang w:val="en-US" w:eastAsia="zh-CN"/>
                </w:rPr>
                <w:t>c</w:t>
              </w:r>
            </w:ins>
            <w:ins w:id="54" w:author="Huawei RAN1#100b-e" w:date="2020-03-29T21:25:00Z">
              <w:r>
                <w:rPr>
                  <w:szCs w:val="22"/>
                  <w:lang w:val="en-US" w:eastAsia="zh-CN"/>
                </w:rPr>
                <w:t xml:space="preserve">lause </w:t>
              </w:r>
            </w:ins>
            <w:ins w:id="55" w:author="Huawei RAN1#100b-e" w:date="2020-03-29T21:21:00Z">
              <w:r>
                <w:rPr>
                  <w:szCs w:val="22"/>
                  <w:lang w:val="en-US" w:eastAsia="zh-CN"/>
                </w:rPr>
                <w:t xml:space="preserve">from the symbol indicated by the </w:t>
              </w:r>
            </w:ins>
            <w:ins w:id="56" w:author="Huawei RAN1#100b-e" w:date="2020-04-06T21:29:00Z">
              <w:r>
                <w:rPr>
                  <w:i/>
                  <w:szCs w:val="22"/>
                  <w:lang w:val="en-US" w:eastAsia="zh-CN"/>
                </w:rPr>
                <w:t>ulBurstEnd-r16</w:t>
              </w:r>
            </w:ins>
            <w:ins w:id="57" w:author="Huawei RAN1#100b-e" w:date="2020-03-29T21:21:00Z">
              <w:r>
                <w:rPr>
                  <w:i/>
                  <w:szCs w:val="22"/>
                  <w:lang w:val="en-US" w:eastAsia="zh-CN"/>
                </w:rPr>
                <w:t>.</w:t>
              </w:r>
            </w:ins>
          </w:p>
          <w:p>
            <w:pPr>
              <w:overflowPunct/>
              <w:autoSpaceDE/>
              <w:autoSpaceDN/>
              <w:adjustRightInd/>
              <w:spacing w:after="0"/>
              <w:ind w:left="720"/>
              <w:textAlignment w:val="auto"/>
              <w:rPr>
                <w:sz w:val="22"/>
                <w:szCs w:val="22"/>
                <w:lang w:val="en-US" w:eastAsia="zh-CN"/>
              </w:rPr>
            </w:pPr>
            <w:r>
              <w:rPr>
                <w:rFonts w:ascii="Calibri" w:hAnsi="Calibri" w:eastAsia="Times New Roman" w:cs="Calibri"/>
                <w:lang w:eastAsia="zh-CN"/>
              </w:rPr>
              <w:t xml:space="preserve"> </w:t>
            </w:r>
          </w:p>
          <w:p>
            <w:pPr>
              <w:overflowPunct/>
              <w:autoSpaceDE/>
              <w:autoSpaceDN/>
              <w:adjustRightInd/>
              <w:textAlignment w:val="auto"/>
              <w:rPr>
                <w:rFonts w:eastAsia="Times New Roman"/>
                <w:lang w:val="en-US"/>
              </w:rPr>
            </w:pPr>
            <w:r>
              <w:rPr>
                <w:rFonts w:eastAsia="Times New Roman"/>
              </w:rPr>
              <w:t>-</w:t>
            </w:r>
            <w:r>
              <w:rPr>
                <w:rFonts w:eastAsia="Times New Roman"/>
              </w:rPr>
              <w:tab/>
            </w:r>
            <w:r>
              <w:rPr>
                <w:rFonts w:eastAsia="Times New Roman"/>
              </w:rPr>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The transmission shall not include any unicast transmissions with user plane data and the transmission duration is not more than the duration of 2, 4 and 8 symbols for subcarrier spacing of 15, 30 and 60 kHz of the corresponding channel, respectively.</w:t>
            </w:r>
          </w:p>
          <w:p>
            <w:pPr>
              <w:keepNext/>
              <w:keepLines/>
              <w:spacing w:before="180"/>
              <w:ind w:left="1134"/>
              <w:jc w:val="center"/>
              <w:outlineLvl w:val="1"/>
              <w:rPr>
                <w:color w:val="FF0000"/>
                <w:sz w:val="24"/>
                <w:lang w:eastAsia="zh-CN"/>
              </w:rPr>
            </w:pPr>
            <w:r>
              <w:rPr>
                <w:color w:val="FF0000"/>
                <w:sz w:val="24"/>
                <w:lang w:eastAsia="zh-CN"/>
              </w:rPr>
              <w:t>*** Unchanged text is omitted ***</w:t>
            </w:r>
          </w:p>
          <w:p>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pPr>
        <w:rPr>
          <w:lang w:val="en-US"/>
        </w:rPr>
      </w:pPr>
    </w:p>
    <w:p>
      <w:pPr>
        <w:rPr>
          <w:lang w:val="en-US"/>
        </w:rPr>
      </w:pPr>
      <w:r>
        <w:rPr>
          <w:b/>
          <w:bCs/>
          <w:highlight w:val="yellow"/>
        </w:rPr>
        <w:t>FL Proposal #2</w:t>
      </w:r>
      <w:r>
        <w:rPr>
          <w:highlight w:val="yellow"/>
        </w:rPr>
        <w:t>:</w:t>
      </w:r>
      <w:r>
        <w:t xml:space="preserve"> </w:t>
      </w:r>
      <w:r>
        <w:rPr>
          <w:i/>
          <w:iCs/>
        </w:rPr>
        <w:t>Discuss whether and how to capture the support for UL-DL gap larger than 25 us in a UE-initiated COT</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r>
              <w:rPr>
                <w:color w:val="00B0F0"/>
              </w:rPr>
              <w:t>Intel</w:t>
            </w:r>
          </w:p>
        </w:tc>
        <w:tc>
          <w:tcPr>
            <w:tcW w:w="6799" w:type="dxa"/>
          </w:tcPr>
          <w:p>
            <w:pPr>
              <w:rPr>
                <w:color w:val="00B0F0"/>
              </w:rPr>
            </w:pPr>
            <w:r>
              <w:rPr>
                <w:color w:val="00B0F0"/>
              </w:rPr>
              <w:t>We believe that the support of type 2A if the gap within a UE’s shared COT between UL and DL is larger than 25us would be beneficial for the UE’s shared COT procedure and widen its utilization. Otherwise, the use of the UE’s shared COT will be very restrictive.</w:t>
            </w:r>
          </w:p>
          <w:p>
            <w:pPr>
              <w:rPr>
                <w:color w:val="00B0F0"/>
              </w:rPr>
            </w:pPr>
            <w:r>
              <w:rPr>
                <w:color w:val="00B0F0"/>
              </w:rPr>
              <w:t>As for proposal in R1-2001537, we are not supportive. While we understand the motivation behind it, we feel this is an optimization which is not essential at this point of the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vAlign w:val="top"/>
          </w:tcPr>
          <w:p>
            <w:r>
              <w:rPr>
                <w:rFonts w:hint="eastAsia"/>
                <w:lang w:val="en-US" w:eastAsia="zh-CN"/>
              </w:rPr>
              <w:t>ZTE, Sanechips</w:t>
            </w:r>
          </w:p>
        </w:tc>
        <w:tc>
          <w:tcPr>
            <w:tcW w:w="6799" w:type="dxa"/>
            <w:vAlign w:val="top"/>
          </w:tcPr>
          <w:p>
            <w:r>
              <w:rPr>
                <w:rFonts w:hint="eastAsia"/>
                <w:lang w:val="en-US" w:eastAsia="zh-CN"/>
              </w:rPr>
              <w:t>Support our Proposal and TP in R1-2001705, because the similar behavior has been supported for gNB initiated COT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bl>
    <w:p>
      <w:pPr>
        <w:rPr>
          <w:lang w:val="en-US"/>
        </w:rPr>
      </w:pPr>
    </w:p>
    <w:p>
      <w:pPr>
        <w:pStyle w:val="3"/>
        <w:rPr>
          <w:lang w:val="en-US"/>
        </w:rPr>
      </w:pPr>
      <w:r>
        <w:rPr>
          <w:lang w:val="en-US"/>
        </w:rPr>
        <w:t>2.3 Clarification of the max duration of a UL-DL shared COT</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u w:val="single"/>
                <w:lang w:val="en-US"/>
              </w:rPr>
            </w:pPr>
            <w:r>
              <w:rPr>
                <w:b/>
                <w:bCs/>
                <w:u w:val="single"/>
                <w:lang w:val="en-US"/>
              </w:rPr>
              <w:t>R1-2001759</w:t>
            </w:r>
          </w:p>
          <w:p>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pPr>
              <w:pStyle w:val="31"/>
              <w:rPr>
                <w:color w:val="0000FF"/>
                <w:lang w:eastAsia="zh-CN"/>
              </w:rPr>
            </w:pPr>
            <w:r>
              <w:rPr>
                <w:color w:val="0000FF"/>
                <w:lang w:eastAsia="zh-CN"/>
              </w:rPr>
              <w:t>----------------------------------- TP4: Start of TP 37.213 section 4.1.3 ---------------------------------------------</w:t>
            </w:r>
          </w:p>
          <w:p>
            <w:pPr>
              <w:spacing w:after="120"/>
              <w:rPr>
                <w:rFonts w:ascii="Arial" w:hAnsi="Arial" w:cs="Arial"/>
                <w:sz w:val="24"/>
              </w:rPr>
            </w:pPr>
            <w:r>
              <w:rPr>
                <w:rFonts w:ascii="Arial" w:hAnsi="Arial" w:cs="Arial"/>
                <w:sz w:val="24"/>
              </w:rPr>
              <w:t>4.1.3</w:t>
            </w:r>
            <w:r>
              <w:rPr>
                <w:rFonts w:ascii="Arial" w:hAnsi="Arial" w:cs="Arial"/>
                <w:sz w:val="24"/>
              </w:rPr>
              <w:tab/>
            </w:r>
            <w:r>
              <w:rPr>
                <w:rFonts w:ascii="Arial" w:hAnsi="Arial" w:cs="Arial"/>
                <w:sz w:val="24"/>
              </w:rPr>
              <w:t>DL channel access procedures in a shared channel occupancy</w:t>
            </w:r>
          </w:p>
          <w:p>
            <w:pPr>
              <w:pStyle w:val="31"/>
              <w:jc w:val="center"/>
              <w:rPr>
                <w:color w:val="0000FF"/>
                <w:lang w:eastAsia="zh-CN"/>
              </w:rPr>
            </w:pPr>
            <w:r>
              <w:rPr>
                <w:color w:val="0000FF"/>
                <w:lang w:eastAsia="zh-CN"/>
              </w:rPr>
              <w:t>&lt;Unchanged parts are omitted&gt;</w:t>
            </w:r>
          </w:p>
          <w:p>
            <w:pPr>
              <w:rPr>
                <w:lang w:eastAsia="zh-CN"/>
              </w:rPr>
            </w:pPr>
            <w:r>
              <w:rPr>
                <w:lang w:eastAsia="zh-CN"/>
              </w:rPr>
              <w:t xml:space="preserve">If a gNB shares a channel occupancy initiated by a UE using the channel access procedures described in subclause 4.2.1.1 on a channel, the gNB may </w:t>
            </w:r>
            <w:r>
              <w:t>transmit a transmission that follows a</w:t>
            </w:r>
            <w:r>
              <w:rPr>
                <w:lang w:eastAsia="zh-CN"/>
              </w:rPr>
              <w:t xml:space="preserve"> PUSCH transmission on scheduled or configured resources by the UE after a gap as follows:</w:t>
            </w:r>
          </w:p>
          <w:p>
            <w:pPr>
              <w:pStyle w:val="81"/>
            </w:pPr>
            <w:r>
              <w:rPr>
                <w:lang w:eastAsia="zh-CN"/>
              </w:rPr>
              <w:t>-</w:t>
            </w:r>
            <w:r>
              <w:rPr>
                <w:lang w:eastAsia="zh-CN"/>
              </w:rPr>
              <w:tab/>
            </w:r>
            <w:r>
              <w:rPr>
                <w:lang w:eastAsia="zh-CN"/>
              </w:rPr>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that includes user plane data is only transmitted to the UE that initiated the channel occupancy. </w:t>
            </w:r>
          </w:p>
          <w:p>
            <w:pPr>
              <w:pStyle w:val="82"/>
              <w:spacing w:after="120"/>
            </w:pPr>
            <w:r>
              <w:t>-</w:t>
            </w:r>
            <w:r>
              <w:tab/>
            </w:r>
            <w:r>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pPr>
              <w:ind w:left="568" w:hanging="284"/>
              <w:rPr>
                <w:color w:val="FF0000"/>
              </w:rPr>
            </w:pPr>
            <w:r>
              <w:rPr>
                <w:color w:val="FF0000"/>
              </w:rPr>
              <w:t>-</w:t>
            </w:r>
            <w:r>
              <w:rPr>
                <w:color w:val="FF0000"/>
              </w:rPr>
              <w:tab/>
            </w:r>
            <w:r>
              <w:rPr>
                <w:color w:val="FF0000"/>
              </w:rPr>
              <w:t xml:space="preserve">The </w:t>
            </w:r>
            <w:r>
              <w:rPr>
                <w:rFonts w:eastAsia="Malgun Gothic"/>
                <w:color w:val="FF0000"/>
                <w:lang w:eastAsia="ko-KR"/>
              </w:rPr>
              <w:t xml:space="preserve">total duration of a PUSCH transmission on scheduled or configured resources including the following DL transmission obtained by Type 1 channel access procedure with UL channel access priority class </w:t>
            </w:r>
            <m:oMath>
              <w:ins w:id="58" w:author="MCC: CR0005" w:date="2020-01-02T07:02:00Z">
                <m:r>
                  <w:rPr>
                    <w:rFonts w:ascii="Cambria Math" w:hAnsi="Cambria Math"/>
                  </w:rPr>
                  <m:t>p</m:t>
                </m:r>
              </w:ins>
            </m:oMath>
            <w:r>
              <w:rPr>
                <w:rFonts w:eastAsia="Malgun Gothic"/>
                <w:color w:val="FF0000"/>
                <w:lang w:eastAsia="ko-KR"/>
              </w:rPr>
              <w:t xml:space="preserve">, shall not exceed </w:t>
            </w:r>
            <m:oMath>
              <m:sSub>
                <m:sSubPr>
                  <m:ctrlPr>
                    <w:ins w:id="59" w:author="MCC: CR0005" w:date="2020-01-02T07:46:00Z">
                      <w:rPr>
                        <w:rFonts w:ascii="Cambria Math" w:hAnsi="Cambria Math"/>
                        <w:i/>
                      </w:rPr>
                    </w:ins>
                  </m:ctrlPr>
                </m:sSubPr>
                <m:e>
                  <w:ins w:id="60" w:author="MCC: CR0005" w:date="2020-01-02T07:46:00Z">
                    <m:r>
                      <w:rPr>
                        <w:rFonts w:ascii="Cambria Math" w:hAnsi="Cambria Math"/>
                      </w:rPr>
                      <m:t>T</m:t>
                    </m:r>
                  </w:ins>
                  <m:ctrlPr>
                    <w:ins w:id="61" w:author="MCC: CR0005" w:date="2020-01-02T07:46:00Z">
                      <w:rPr>
                        <w:rFonts w:ascii="Cambria Math" w:hAnsi="Cambria Math"/>
                        <w:i/>
                      </w:rPr>
                    </w:ins>
                  </m:ctrlPr>
                </m:e>
                <m:sub>
                  <w:ins w:id="62" w:author="MCC: CR0005" w:date="2020-01-02T07:46:00Z">
                    <m:r>
                      <w:rPr>
                        <w:rFonts w:ascii="Cambria Math" w:hAnsi="Cambria Math"/>
                      </w:rPr>
                      <m:t>ulm</m:t>
                    </m:r>
                  </w:ins>
                  <m:func>
                    <m:funcPr>
                      <m:ctrlPr>
                        <w:ins w:id="63" w:author="MCC: CR0005" w:date="2020-01-02T07:46:00Z">
                          <w:rPr>
                            <w:rFonts w:ascii="Cambria Math" w:hAnsi="Cambria Math"/>
                            <w:i/>
                          </w:rPr>
                        </w:ins>
                      </m:ctrlPr>
                    </m:funcPr>
                    <m:fName>
                      <w:ins w:id="64" w:author="MCC: CR0005" w:date="2020-01-02T07:46:00Z">
                        <m:r>
                          <w:rPr>
                            <w:rFonts w:ascii="Cambria Math" w:hAnsi="Cambria Math"/>
                          </w:rPr>
                          <m:t>cot</m:t>
                        </m:r>
                      </w:ins>
                      <w:ins w:id="65" w:author="MCC: CR0005" w:date="2020-01-02T07:46:00Z">
                        <m:r>
                          <w:rPr>
                            <w:rFonts w:ascii="Cambria Math" w:hAnsi="Cambria Math"/>
                            <w:lang w:val="en-US"/>
                          </w:rPr>
                          <m:t>,</m:t>
                        </m:r>
                      </w:ins>
                      <m:ctrlPr>
                        <w:ins w:id="66" w:author="MCC: CR0005" w:date="2020-01-02T07:46:00Z">
                          <w:rPr>
                            <w:rFonts w:ascii="Cambria Math" w:hAnsi="Cambria Math"/>
                            <w:i/>
                          </w:rPr>
                        </w:ins>
                      </m:ctrlPr>
                    </m:fName>
                    <m:e>
                      <w:ins w:id="67" w:author="MCC: CR0005" w:date="2020-01-02T07:46:00Z">
                        <m:r>
                          <w:rPr>
                            <w:rFonts w:ascii="Cambria Math" w:hAnsi="Cambria Math"/>
                          </w:rPr>
                          <m:t>p</m:t>
                        </m:r>
                      </w:ins>
                      <m:ctrlPr>
                        <w:ins w:id="68" w:author="MCC: CR0005" w:date="2020-01-02T07:46:00Z">
                          <w:rPr>
                            <w:rFonts w:ascii="Cambria Math" w:hAnsi="Cambria Math"/>
                            <w:i/>
                          </w:rPr>
                        </w:ins>
                      </m:ctrlPr>
                    </m:e>
                  </m:func>
                  <m:ctrlPr>
                    <w:ins w:id="69" w:author="MCC: CR0005" w:date="2020-01-02T07:46:00Z">
                      <w:rPr>
                        <w:rFonts w:ascii="Cambria Math" w:hAnsi="Cambria Math"/>
                        <w:i/>
                      </w:rPr>
                    </w:ins>
                  </m:ctrlPr>
                </m:sub>
              </m:sSub>
            </m:oMath>
            <w:r>
              <w:rPr>
                <w:rFonts w:eastAsia="Malgun Gothic"/>
                <w:color w:val="FF0000"/>
                <w:lang w:eastAsia="ko-KR"/>
              </w:rPr>
              <w:t xml:space="preserve">, where </w:t>
            </w:r>
            <m:oMath>
              <m:sSub>
                <m:sSubPr>
                  <m:ctrlPr>
                    <w:ins w:id="70" w:author="MCC: CR0005" w:date="2020-01-02T07:46:00Z">
                      <w:rPr>
                        <w:rFonts w:ascii="Cambria Math" w:hAnsi="Cambria Math"/>
                        <w:i/>
                      </w:rPr>
                    </w:ins>
                  </m:ctrlPr>
                </m:sSubPr>
                <m:e>
                  <w:ins w:id="71" w:author="MCC: CR0005" w:date="2020-01-02T07:46:00Z">
                    <m:r>
                      <w:rPr>
                        <w:rFonts w:ascii="Cambria Math" w:hAnsi="Cambria Math"/>
                      </w:rPr>
                      <m:t>T</m:t>
                    </m:r>
                  </w:ins>
                  <m:ctrlPr>
                    <w:ins w:id="72" w:author="MCC: CR0005" w:date="2020-01-02T07:46:00Z">
                      <w:rPr>
                        <w:rFonts w:ascii="Cambria Math" w:hAnsi="Cambria Math"/>
                        <w:i/>
                      </w:rPr>
                    </w:ins>
                  </m:ctrlPr>
                </m:e>
                <m:sub>
                  <w:ins w:id="73" w:author="MCC: CR0005" w:date="2020-01-02T07:46:00Z">
                    <m:r>
                      <w:rPr>
                        <w:rFonts w:ascii="Cambria Math" w:hAnsi="Cambria Math"/>
                      </w:rPr>
                      <m:t>ulm</m:t>
                    </m:r>
                  </w:ins>
                  <m:func>
                    <m:funcPr>
                      <m:ctrlPr>
                        <w:ins w:id="74" w:author="MCC: CR0005" w:date="2020-01-02T07:46:00Z">
                          <w:rPr>
                            <w:rFonts w:ascii="Cambria Math" w:hAnsi="Cambria Math"/>
                            <w:i/>
                          </w:rPr>
                        </w:ins>
                      </m:ctrlPr>
                    </m:funcPr>
                    <m:fName>
                      <w:ins w:id="75" w:author="MCC: CR0005" w:date="2020-01-02T07:46:00Z">
                        <m:r>
                          <w:rPr>
                            <w:rFonts w:ascii="Cambria Math" w:hAnsi="Cambria Math"/>
                          </w:rPr>
                          <m:t>cot</m:t>
                        </m:r>
                      </w:ins>
                      <w:ins w:id="76" w:author="MCC: CR0005" w:date="2020-01-02T07:46:00Z">
                        <m:r>
                          <w:rPr>
                            <w:rFonts w:ascii="Cambria Math" w:hAnsi="Cambria Math"/>
                            <w:lang w:val="en-US"/>
                          </w:rPr>
                          <m:t>,</m:t>
                        </m:r>
                      </w:ins>
                      <m:ctrlPr>
                        <w:ins w:id="77" w:author="MCC: CR0005" w:date="2020-01-02T07:46:00Z">
                          <w:rPr>
                            <w:rFonts w:ascii="Cambria Math" w:hAnsi="Cambria Math"/>
                            <w:i/>
                          </w:rPr>
                        </w:ins>
                      </m:ctrlPr>
                    </m:fName>
                    <m:e>
                      <w:ins w:id="78" w:author="MCC: CR0005" w:date="2020-01-02T07:46:00Z">
                        <m:r>
                          <w:rPr>
                            <w:rFonts w:ascii="Cambria Math" w:hAnsi="Cambria Math"/>
                          </w:rPr>
                          <m:t>p</m:t>
                        </m:r>
                      </w:ins>
                      <m:ctrlPr>
                        <w:ins w:id="79" w:author="MCC: CR0005" w:date="2020-01-02T07:46:00Z">
                          <w:rPr>
                            <w:rFonts w:ascii="Cambria Math" w:hAnsi="Cambria Math"/>
                            <w:i/>
                          </w:rPr>
                        </w:ins>
                      </m:ctrlPr>
                    </m:e>
                  </m:func>
                  <m:ctrlPr>
                    <w:ins w:id="80" w:author="MCC: CR0005" w:date="2020-01-02T07:46:00Z">
                      <w:rPr>
                        <w:rFonts w:ascii="Cambria Math" w:hAnsi="Cambria Math"/>
                        <w:i/>
                      </w:rPr>
                    </w:ins>
                  </m:ctrlPr>
                </m:sub>
              </m:sSub>
            </m:oMath>
            <w:r>
              <w:rPr>
                <w:rFonts w:eastAsia="Malgun Gothic"/>
                <w:color w:val="FF0000"/>
                <w:lang w:eastAsia="ko-KR"/>
              </w:rPr>
              <w:t xml:space="preserve"> is given in Table 4.2.1-1.</w:t>
            </w:r>
          </w:p>
          <w:p>
            <w:pPr>
              <w:pStyle w:val="81"/>
            </w:pPr>
            <w:r>
              <w:t>-</w:t>
            </w:r>
            <w:r>
              <w:tab/>
            </w:r>
            <w:r>
              <w:t xml:space="preserve">If the gap is up to </w:t>
            </w:r>
            <m:oMath>
              <m:r>
                <w:rPr>
                  <w:rFonts w:ascii="Cambria Math" w:hAnsi="Cambria Math"/>
                </w:rPr>
                <m:t>16us</m:t>
              </m:r>
            </m:oMath>
            <w:r>
              <w:t>, the gNB can transmit the transmission on the channel after performing Type 2C DL channel access as described in subclause 4.1.2.3.</w:t>
            </w:r>
          </w:p>
          <w:p>
            <w:pPr>
              <w:pStyle w:val="81"/>
            </w:pPr>
            <w:r>
              <w:t>-</w:t>
            </w:r>
            <w:r>
              <w:tab/>
            </w:r>
            <w:r>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subclause 4.1.2.1 and 4.1.2.2, respectively.</w:t>
            </w:r>
          </w:p>
          <w:p>
            <w:pPr>
              <w:pStyle w:val="31"/>
              <w:jc w:val="center"/>
              <w:rPr>
                <w:color w:val="0000FF"/>
                <w:lang w:eastAsia="zh-CN"/>
              </w:rPr>
            </w:pPr>
            <w:r>
              <w:rPr>
                <w:color w:val="0000FF"/>
                <w:lang w:eastAsia="zh-CN"/>
              </w:rPr>
              <w:t>&lt;Unchanged parts are omitted&gt;</w:t>
            </w:r>
          </w:p>
          <w:p>
            <w:pPr>
              <w:rPr>
                <w:lang w:val="en-US"/>
              </w:rPr>
            </w:pPr>
            <w:r>
              <w:rPr>
                <w:color w:val="0000FF"/>
                <w:lang w:eastAsia="zh-CN"/>
              </w:rPr>
              <w:t>----------------------------------------End of TP 37.213 section 4.1.3 ----------------------------------------------</w:t>
            </w:r>
          </w:p>
          <w:p>
            <w:pPr>
              <w:rPr>
                <w:lang w:val="en-US"/>
              </w:rPr>
            </w:pPr>
          </w:p>
        </w:tc>
      </w:tr>
    </w:tbl>
    <w:p>
      <w:pPr>
        <w:rPr>
          <w:lang w:val="en-US"/>
        </w:rPr>
      </w:pPr>
    </w:p>
    <w:p>
      <w:pPr>
        <w:rPr>
          <w:lang w:val="en-US"/>
        </w:rPr>
      </w:pPr>
    </w:p>
    <w:p>
      <w:pPr>
        <w:rPr>
          <w:lang w:val="en-US"/>
        </w:rPr>
      </w:pPr>
      <w:r>
        <w:rPr>
          <w:b/>
          <w:bCs/>
          <w:highlight w:val="yellow"/>
        </w:rPr>
        <w:t>FL Proposal #3</w:t>
      </w:r>
      <w:r>
        <w:rPr>
          <w:highlight w:val="yellow"/>
        </w:rPr>
        <w:t>:</w:t>
      </w:r>
      <w:r>
        <w:t xml:space="preserve"> </w:t>
      </w:r>
      <w:r>
        <w:rPr>
          <w:i/>
          <w:iCs/>
        </w:rPr>
        <w:t xml:space="preserve">Discuss whether and how to capture the above clarification into 37.213 </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r>
              <w:rPr>
                <w:color w:val="00B0F0"/>
              </w:rPr>
              <w:t>Intel</w:t>
            </w:r>
          </w:p>
        </w:tc>
        <w:tc>
          <w:tcPr>
            <w:tcW w:w="6799" w:type="dxa"/>
          </w:tcPr>
          <w:p>
            <w:pPr>
              <w:rPr>
                <w:color w:val="00B0F0"/>
              </w:rPr>
            </w:pPr>
            <w:r>
              <w:rPr>
                <w:color w:val="00B0F0"/>
              </w:rPr>
              <w:t>We support this clarification text. However, the text should not be restrictive to one switching point but should be written such a way that multiple switching point</w:t>
            </w:r>
            <w:ins w:id="81" w:author="Yongjun" w:date="2020-04-20T17:11:00Z">
              <w:r>
                <w:rPr>
                  <w:color w:val="00B0F0"/>
                </w:rPr>
                <w:t>s</w:t>
              </w:r>
            </w:ins>
            <w:r>
              <w:rPr>
                <w:color w:val="00B0F0"/>
              </w:rPr>
              <w:t xml:space="preserve"> are allowed (as already agreed during the WI). Also the text should explicitly mention that the gaps between UL and DL bursts are also counted toward the </w:t>
            </w:r>
            <m:oMath>
              <m:sSub>
                <m:sSubPr>
                  <m:ctrlPr>
                    <w:ins w:id="82" w:author="MCC: CR0005" w:date="2020-01-02T07:46:00Z">
                      <w:rPr>
                        <w:rFonts w:ascii="Cambria Math" w:hAnsi="Cambria Math"/>
                        <w:i/>
                      </w:rPr>
                    </w:ins>
                  </m:ctrlPr>
                </m:sSubPr>
                <m:e>
                  <w:ins w:id="83" w:author="MCC: CR0005" w:date="2020-01-02T07:46:00Z">
                    <m:r>
                      <w:rPr>
                        <w:rFonts w:ascii="Cambria Math" w:hAnsi="Cambria Math"/>
                      </w:rPr>
                      <m:t>T</m:t>
                    </m:r>
                  </w:ins>
                  <m:ctrlPr>
                    <w:ins w:id="84" w:author="MCC: CR0005" w:date="2020-01-02T07:46:00Z">
                      <w:rPr>
                        <w:rFonts w:ascii="Cambria Math" w:hAnsi="Cambria Math"/>
                        <w:i/>
                      </w:rPr>
                    </w:ins>
                  </m:ctrlPr>
                </m:e>
                <m:sub>
                  <w:ins w:id="85" w:author="MCC: CR0005" w:date="2020-01-02T07:46:00Z">
                    <m:r>
                      <w:rPr>
                        <w:rFonts w:ascii="Cambria Math" w:hAnsi="Cambria Math"/>
                      </w:rPr>
                      <m:t>ulm</m:t>
                    </m:r>
                  </w:ins>
                  <m:func>
                    <m:funcPr>
                      <m:ctrlPr>
                        <w:ins w:id="86" w:author="MCC: CR0005" w:date="2020-01-02T07:46:00Z">
                          <w:rPr>
                            <w:rFonts w:ascii="Cambria Math" w:hAnsi="Cambria Math"/>
                            <w:i/>
                          </w:rPr>
                        </w:ins>
                      </m:ctrlPr>
                    </m:funcPr>
                    <m:fName>
                      <w:ins w:id="87" w:author="MCC: CR0005" w:date="2020-01-02T07:46:00Z">
                        <m:r>
                          <w:rPr>
                            <w:rFonts w:ascii="Cambria Math" w:hAnsi="Cambria Math"/>
                          </w:rPr>
                          <m:t>cot</m:t>
                        </m:r>
                      </w:ins>
                      <w:ins w:id="88" w:author="MCC: CR0005" w:date="2020-01-02T07:46:00Z">
                        <m:r>
                          <w:rPr>
                            <w:rFonts w:ascii="Cambria Math" w:hAnsi="Cambria Math"/>
                            <w:lang w:val="en-US"/>
                          </w:rPr>
                          <m:t>,</m:t>
                        </m:r>
                      </w:ins>
                      <m:ctrlPr>
                        <w:ins w:id="89" w:author="MCC: CR0005" w:date="2020-01-02T07:46:00Z">
                          <w:rPr>
                            <w:rFonts w:ascii="Cambria Math" w:hAnsi="Cambria Math"/>
                            <w:i/>
                          </w:rPr>
                        </w:ins>
                      </m:ctrlPr>
                    </m:fName>
                    <m:e>
                      <w:ins w:id="90" w:author="MCC: CR0005" w:date="2020-01-02T07:46:00Z">
                        <m:r>
                          <w:rPr>
                            <w:rFonts w:ascii="Cambria Math" w:hAnsi="Cambria Math"/>
                          </w:rPr>
                          <m:t>p</m:t>
                        </m:r>
                      </w:ins>
                      <m:ctrlPr>
                        <w:ins w:id="91" w:author="MCC: CR0005" w:date="2020-01-02T07:46:00Z">
                          <w:rPr>
                            <w:rFonts w:ascii="Cambria Math" w:hAnsi="Cambria Math"/>
                            <w:i/>
                          </w:rPr>
                        </w:ins>
                      </m:ctrlPr>
                    </m:e>
                  </m:func>
                  <m:ctrlPr>
                    <w:ins w:id="92" w:author="MCC: CR0005" w:date="2020-01-02T07:46:00Z">
                      <w:rPr>
                        <w:rFonts w:ascii="Cambria Math" w:hAnsi="Cambria Math"/>
                        <w:i/>
                      </w:rPr>
                    </w:ins>
                  </m:ctrlPr>
                </m:sub>
              </m:sSub>
            </m:oMath>
            <w:r>
              <w:rPr>
                <w:rFonts w:eastAsia="MS Mincho"/>
              </w:rPr>
              <w:t xml:space="preserve">. </w:t>
            </w:r>
            <w:r>
              <w:rPr>
                <w:color w:val="00B0F0"/>
              </w:rPr>
              <w:t>Therefore, the text may be revised as follows:</w:t>
            </w:r>
          </w:p>
          <w:p>
            <w:pPr>
              <w:ind w:left="284" w:hanging="284"/>
            </w:pPr>
            <w:r>
              <w:rPr>
                <w:color w:val="000000"/>
              </w:rPr>
              <w:t xml:space="preserve">The total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not exceed </w:t>
            </w:r>
            <m:oMath>
              <m:sSub>
                <m:sSubPr>
                  <m:ctrlPr>
                    <w:rPr>
                      <w:rFonts w:ascii="Cambria Math" w:hAnsi="Cambria Math" w:cs="Calibri" w:eastAsiaTheme="minorHAnsi"/>
                      <w:i/>
                      <w:iCs/>
                      <w:color w:val="000000"/>
                      <w:sz w:val="22"/>
                      <w:szCs w:val="22"/>
                    </w:rPr>
                  </m:ctrlPr>
                </m:sSubPr>
                <m:e>
                  <m:r>
                    <w:rPr>
                      <w:rFonts w:ascii="Cambria Math" w:hAnsi="Cambria Math"/>
                      <w:color w:val="000000"/>
                    </w:rPr>
                    <m:t>T</m:t>
                  </m:r>
                  <m:ctrlPr>
                    <w:rPr>
                      <w:rFonts w:ascii="Cambria Math" w:hAnsi="Cambria Math" w:cs="Calibri" w:eastAsiaTheme="minorHAnsi"/>
                      <w:i/>
                      <w:iCs/>
                      <w:color w:val="000000"/>
                      <w:sz w:val="22"/>
                      <w:szCs w:val="22"/>
                    </w:rPr>
                  </m:ctrlPr>
                </m:e>
                <m:sub>
                  <m:r>
                    <w:rPr>
                      <w:rFonts w:ascii="Cambria Math" w:hAnsi="Cambria Math"/>
                      <w:color w:val="000000"/>
                    </w:rPr>
                    <m:t>ulm</m:t>
                  </m:r>
                  <m:func>
                    <m:funcPr>
                      <m:ctrlPr>
                        <w:rPr>
                          <w:rFonts w:ascii="Cambria Math" w:hAnsi="Cambria Math" w:cs="Calibri" w:eastAsiaTheme="minorHAnsi"/>
                          <w:i/>
                          <w:iCs/>
                          <w:color w:val="000000"/>
                          <w:sz w:val="22"/>
                          <w:szCs w:val="22"/>
                        </w:rPr>
                      </m:ctrlPr>
                    </m:funcPr>
                    <m:fName>
                      <m:r>
                        <w:rPr>
                          <w:rFonts w:ascii="Cambria Math" w:hAnsi="Cambria Math"/>
                          <w:color w:val="000000"/>
                        </w:rPr>
                        <m:t>cot,</m:t>
                      </m:r>
                      <m:ctrlPr>
                        <w:rPr>
                          <w:rFonts w:ascii="Cambria Math" w:hAnsi="Cambria Math" w:cs="Calibri" w:eastAsiaTheme="minorHAnsi"/>
                          <w:i/>
                          <w:iCs/>
                          <w:color w:val="000000"/>
                          <w:sz w:val="22"/>
                          <w:szCs w:val="22"/>
                        </w:rPr>
                      </m:ctrlPr>
                    </m:fName>
                    <m:e>
                      <m:r>
                        <w:rPr>
                          <w:rFonts w:ascii="Cambria Math" w:hAnsi="Cambria Math"/>
                          <w:color w:val="000000"/>
                        </w:rPr>
                        <m:t>p</m:t>
                      </m:r>
                      <m:ctrlPr>
                        <w:rPr>
                          <w:rFonts w:ascii="Cambria Math" w:hAnsi="Cambria Math" w:cs="Calibri" w:eastAsiaTheme="minorHAnsi"/>
                          <w:i/>
                          <w:iCs/>
                          <w:color w:val="000000"/>
                          <w:sz w:val="22"/>
                          <w:szCs w:val="22"/>
                        </w:rPr>
                      </m:ctrlPr>
                    </m:e>
                  </m:func>
                  <m:ctrlPr>
                    <w:rPr>
                      <w:rFonts w:ascii="Cambria Math" w:hAnsi="Cambria Math" w:cs="Calibri" w:eastAsiaTheme="minorHAnsi"/>
                      <w:i/>
                      <w:iCs/>
                      <w:color w:val="000000"/>
                      <w:sz w:val="22"/>
                      <w:szCs w:val="22"/>
                    </w:rPr>
                  </m:ctrlPr>
                </m:sub>
              </m:sSub>
            </m:oMath>
            <w:r>
              <w:rPr>
                <w:color w:val="000000"/>
              </w:rPr>
              <w:t xml:space="preserve">, where </w:t>
            </w:r>
            <m:oMath>
              <m:sSub>
                <m:sSubPr>
                  <m:ctrlPr>
                    <w:rPr>
                      <w:rFonts w:ascii="Cambria Math" w:hAnsi="Cambria Math" w:cs="Calibri" w:eastAsiaTheme="minorHAnsi"/>
                      <w:i/>
                      <w:iCs/>
                      <w:color w:val="000000"/>
                      <w:sz w:val="22"/>
                      <w:szCs w:val="22"/>
                    </w:rPr>
                  </m:ctrlPr>
                </m:sSubPr>
                <m:e>
                  <m:r>
                    <w:rPr>
                      <w:rFonts w:ascii="Cambria Math" w:hAnsi="Cambria Math"/>
                      <w:color w:val="000000"/>
                    </w:rPr>
                    <m:t>T</m:t>
                  </m:r>
                  <m:ctrlPr>
                    <w:rPr>
                      <w:rFonts w:ascii="Cambria Math" w:hAnsi="Cambria Math" w:cs="Calibri" w:eastAsiaTheme="minorHAnsi"/>
                      <w:i/>
                      <w:iCs/>
                      <w:color w:val="000000"/>
                      <w:sz w:val="22"/>
                      <w:szCs w:val="22"/>
                    </w:rPr>
                  </m:ctrlPr>
                </m:e>
                <m:sub>
                  <m:r>
                    <w:rPr>
                      <w:rFonts w:ascii="Cambria Math" w:hAnsi="Cambria Math"/>
                      <w:color w:val="000000"/>
                    </w:rPr>
                    <m:t>ulm</m:t>
                  </m:r>
                  <m:func>
                    <m:funcPr>
                      <m:ctrlPr>
                        <w:rPr>
                          <w:rFonts w:ascii="Cambria Math" w:hAnsi="Cambria Math" w:cs="Calibri" w:eastAsiaTheme="minorHAnsi"/>
                          <w:i/>
                          <w:iCs/>
                          <w:color w:val="000000"/>
                          <w:sz w:val="22"/>
                          <w:szCs w:val="22"/>
                        </w:rPr>
                      </m:ctrlPr>
                    </m:funcPr>
                    <m:fName>
                      <m:r>
                        <w:rPr>
                          <w:rFonts w:ascii="Cambria Math" w:hAnsi="Cambria Math"/>
                          <w:color w:val="000000"/>
                        </w:rPr>
                        <m:t>cot,</m:t>
                      </m:r>
                      <m:ctrlPr>
                        <w:rPr>
                          <w:rFonts w:ascii="Cambria Math" w:hAnsi="Cambria Math" w:cs="Calibri" w:eastAsiaTheme="minorHAnsi"/>
                          <w:i/>
                          <w:iCs/>
                          <w:color w:val="000000"/>
                          <w:sz w:val="22"/>
                          <w:szCs w:val="22"/>
                        </w:rPr>
                      </m:ctrlPr>
                    </m:fName>
                    <m:e>
                      <m:r>
                        <w:rPr>
                          <w:rFonts w:ascii="Cambria Math" w:hAnsi="Cambria Math"/>
                          <w:color w:val="000000"/>
                        </w:rPr>
                        <m:t>p</m:t>
                      </m:r>
                      <m:ctrlPr>
                        <w:rPr>
                          <w:rFonts w:ascii="Cambria Math" w:hAnsi="Cambria Math" w:cs="Calibri" w:eastAsiaTheme="minorHAnsi"/>
                          <w:i/>
                          <w:iCs/>
                          <w:color w:val="000000"/>
                          <w:sz w:val="22"/>
                          <w:szCs w:val="22"/>
                        </w:rPr>
                      </m:ctrlPr>
                    </m:e>
                  </m:func>
                  <m:ctrlPr>
                    <w:rPr>
                      <w:rFonts w:ascii="Cambria Math" w:hAnsi="Cambria Math" w:cs="Calibri" w:eastAsiaTheme="minorHAnsi"/>
                      <w:i/>
                      <w:iCs/>
                      <w:color w:val="000000"/>
                      <w:sz w:val="22"/>
                      <w:szCs w:val="22"/>
                    </w:rPr>
                  </m:ctrlPr>
                </m:sub>
              </m:sSub>
            </m:oMath>
            <w:r>
              <w:rPr>
                <w:color w:val="000000"/>
              </w:rPr>
              <w:t xml:space="preserve"> is given in Table 4.2.1-1.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vAlign w:val="top"/>
          </w:tcPr>
          <w:p>
            <w:r>
              <w:rPr>
                <w:rFonts w:hint="eastAsia"/>
                <w:lang w:val="en-US" w:eastAsia="zh-CN"/>
              </w:rPr>
              <w:t>ZTE, Sanechips</w:t>
            </w:r>
          </w:p>
        </w:tc>
        <w:tc>
          <w:tcPr>
            <w:tcW w:w="6799" w:type="dxa"/>
            <w:vAlign w:val="top"/>
          </w:tcPr>
          <w:p>
            <w:r>
              <w:rPr>
                <w:rFonts w:hint="eastAsia"/>
                <w:lang w:val="en-US" w:eastAsia="zh-CN"/>
              </w:rPr>
              <w:t>it seems to be a common sense and there is no big problem if it is not be captured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bl>
    <w:p>
      <w:pPr>
        <w:rPr>
          <w:lang w:val="en-US"/>
        </w:rPr>
      </w:pPr>
    </w:p>
    <w:p>
      <w:pPr>
        <w:pStyle w:val="3"/>
        <w:rPr>
          <w:lang w:val="en-US"/>
        </w:rPr>
      </w:pPr>
      <w:r>
        <w:rPr>
          <w:lang w:val="en-US"/>
        </w:rPr>
        <w:t>2.4 COT sharing indication in CG-UCI</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u w:val="single"/>
                <w:lang w:val="en-US"/>
              </w:rPr>
            </w:pPr>
            <w:r>
              <w:rPr>
                <w:b/>
                <w:bCs/>
                <w:u w:val="single"/>
                <w:lang w:val="en-US"/>
              </w:rPr>
              <w:t>R1-2001759</w:t>
            </w:r>
          </w:p>
          <w:p>
            <w:pPr>
              <w:pStyle w:val="31"/>
              <w:rPr>
                <w:i/>
                <w:lang w:eastAsia="zh-CN"/>
              </w:rPr>
            </w:pPr>
            <w:r>
              <w:rPr>
                <w:rFonts w:hint="eastAsia"/>
                <w:b/>
                <w:i/>
                <w:u w:val="single"/>
                <w:lang w:eastAsia="zh-CN"/>
              </w:rPr>
              <w:t>P</w:t>
            </w:r>
            <w:r>
              <w:rPr>
                <w:b/>
                <w:i/>
                <w:u w:val="single"/>
                <w:lang w:eastAsia="zh-CN"/>
              </w:rPr>
              <w:t>roposal 5:</w:t>
            </w:r>
            <w:r>
              <w:rPr>
                <w:i/>
                <w:lang w:eastAsia="zh-CN"/>
              </w:rPr>
              <w:t xml:space="preserve"> The gNB shall ignore the COT sharing indication in CG-UCI if the CG-UCI and the corresponding CG-PUSCH is transmitted within the gNB’s COT. </w:t>
            </w:r>
          </w:p>
          <w:p>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pPr>
              <w:pStyle w:val="31"/>
              <w:rPr>
                <w:color w:val="0000FF"/>
                <w:lang w:eastAsia="zh-CN"/>
              </w:rPr>
            </w:pPr>
            <w:r>
              <w:rPr>
                <w:color w:val="0000FF"/>
                <w:lang w:eastAsia="zh-CN"/>
              </w:rPr>
              <w:t>-----------------------------------TP5: Start of TP 37.213 section 4.2.1.0.0------------------------------------</w:t>
            </w:r>
          </w:p>
          <w:p>
            <w:pPr>
              <w:rPr>
                <w:sz w:val="24"/>
              </w:rPr>
            </w:pPr>
            <w:r>
              <w:rPr>
                <w:sz w:val="24"/>
              </w:rPr>
              <w:t>4.2.1.0.0</w:t>
            </w:r>
            <w:r>
              <w:rPr>
                <w:sz w:val="24"/>
              </w:rPr>
              <w:tab/>
            </w:r>
            <w:r>
              <w:rPr>
                <w:sz w:val="24"/>
              </w:rPr>
              <w:t>Channel access procedures upon detection of a common DCI</w:t>
            </w:r>
          </w:p>
          <w:p>
            <w:pPr>
              <w:pStyle w:val="31"/>
              <w:jc w:val="center"/>
              <w:rPr>
                <w:color w:val="0000FF"/>
                <w:lang w:eastAsia="zh-CN"/>
              </w:rPr>
            </w:pPr>
            <w:r>
              <w:rPr>
                <w:color w:val="0000FF"/>
                <w:lang w:eastAsia="zh-CN"/>
              </w:rPr>
              <w:t>&lt;Unchanged parts are omitted&gt;</w:t>
            </w:r>
          </w:p>
          <w:p>
            <w:r>
              <w:t>If a UE determines the duration in time domain and the location in frequency domain of a remaining channel occupancy initiated by the gNB from a DCI format 2_0 as described in subclause 11.1.1 of [7], the following is applicable:</w:t>
            </w:r>
          </w:p>
          <w:p>
            <w:pPr>
              <w:pStyle w:val="81"/>
            </w:pPr>
            <w:r>
              <w:t>-</w:t>
            </w:r>
            <w:r>
              <w:tab/>
            </w:r>
            <w:r>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r>
              <w:rPr>
                <w:color w:val="FF0000"/>
              </w:rPr>
              <w:t xml:space="preserve"> The gNB shall ignore the ‘COT sharing information’ in CG-UCI.</w:t>
            </w:r>
          </w:p>
          <w:p>
            <w:pPr>
              <w:pStyle w:val="31"/>
              <w:jc w:val="center"/>
              <w:rPr>
                <w:color w:val="0000FF"/>
                <w:lang w:eastAsia="zh-CN"/>
              </w:rPr>
            </w:pPr>
            <w:r>
              <w:rPr>
                <w:color w:val="0000FF"/>
                <w:lang w:eastAsia="zh-CN"/>
              </w:rPr>
              <w:t>&lt;Unchanged parts are omitted&gt;</w:t>
            </w:r>
          </w:p>
          <w:p>
            <w:pPr>
              <w:pStyle w:val="31"/>
              <w:rPr>
                <w:color w:val="0000FF"/>
                <w:lang w:eastAsia="zh-CN"/>
              </w:rPr>
            </w:pPr>
            <w:r>
              <w:rPr>
                <w:color w:val="0000FF"/>
                <w:lang w:eastAsia="zh-CN"/>
              </w:rPr>
              <w:t>----------------------------------------End of TP 37.213 section 4.2.1.0.0------------------------------------------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u w:val="single"/>
                <w:lang w:val="en-US"/>
              </w:rPr>
            </w:pPr>
            <w:r>
              <w:rPr>
                <w:b/>
                <w:bCs/>
                <w:u w:val="single"/>
                <w:lang w:val="en-US"/>
              </w:rPr>
              <w:t>R1-2002684</w:t>
            </w:r>
          </w:p>
          <w:p>
            <w:pPr>
              <w:pStyle w:val="31"/>
              <w:rPr>
                <w:rFonts w:cs="Arial"/>
                <w:bCs/>
                <w:i/>
              </w:rPr>
            </w:pPr>
            <w:r>
              <w:rPr>
                <w:rFonts w:cs="Arial"/>
                <w:bCs/>
                <w:i/>
              </w:rPr>
              <w:t>Proposal 1: COT sharing information in CG-UCI for indicating the shared resources is updated slot by slot; the indication is consistent.</w:t>
            </w:r>
          </w:p>
          <w:p>
            <w:pPr>
              <w:pStyle w:val="31"/>
              <w:rPr>
                <w:rFonts w:cs="Arial"/>
                <w:bCs/>
                <w:i/>
              </w:rPr>
            </w:pPr>
            <w:r>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pPr>
              <w:pStyle w:val="31"/>
              <w:rPr>
                <w:rFonts w:cs="Arial"/>
                <w:bCs/>
                <w:i/>
              </w:rPr>
            </w:pPr>
            <w:r>
              <w:rPr>
                <w:rFonts w:cs="Arial"/>
                <w:bCs/>
                <w:i/>
              </w:rPr>
              <w:t>Proposal 3: Adopt the TP to reflect the above two proposals in TS37.213:</w:t>
            </w:r>
          </w:p>
          <w:p>
            <w:pPr>
              <w:pStyle w:val="31"/>
              <w:rPr>
                <w:lang w:val="en-US"/>
              </w:rPr>
            </w:pPr>
            <w:r>
              <w:rPr>
                <w:lang w:val="en-US"/>
              </w:rPr>
              <w:t>-----------------------------------------------&lt; BEGIN TEXT PROPOSAL &gt;-------------------------------------------------</w:t>
            </w:r>
          </w:p>
          <w:p>
            <w:pPr>
              <w:keepNext/>
              <w:keepLines/>
              <w:autoSpaceDE/>
              <w:autoSpaceDN/>
              <w:adjustRightInd/>
              <w:spacing w:before="120"/>
              <w:outlineLvl w:val="2"/>
              <w:rPr>
                <w:rFonts w:ascii="Arial" w:hAnsi="Arial" w:eastAsia="Times New Roman"/>
                <w:sz w:val="28"/>
              </w:rPr>
            </w:pPr>
            <w:r>
              <w:rPr>
                <w:rFonts w:ascii="Arial" w:hAnsi="Arial" w:eastAsia="Times New Roman"/>
                <w:sz w:val="28"/>
              </w:rPr>
              <w:t>4.1.3</w:t>
            </w:r>
            <w:r>
              <w:rPr>
                <w:rFonts w:ascii="Arial" w:hAnsi="Arial" w:eastAsia="Times New Roman"/>
                <w:sz w:val="28"/>
              </w:rPr>
              <w:tab/>
            </w:r>
            <w:r>
              <w:rPr>
                <w:rFonts w:ascii="Arial" w:hAnsi="Arial" w:eastAsia="Times New Roman"/>
                <w:sz w:val="28"/>
              </w:rPr>
              <w:t>DL channel access procedures in a shared channel occupancy</w:t>
            </w:r>
          </w:p>
          <w:p>
            <w:pPr>
              <w:autoSpaceDE/>
              <w:autoSpaceDN/>
              <w:adjustRightInd/>
              <w:rPr>
                <w:rFonts w:eastAsia="Times New Roman"/>
                <w:lang w:eastAsia="zh-CN"/>
              </w:rPr>
            </w:pPr>
            <w:r>
              <w:rPr>
                <w:rFonts w:eastAsia="Times New Roman"/>
                <w:lang w:eastAsia="zh-CN"/>
              </w:rPr>
              <w:t xml:space="preserve">For the case where an eNB shares a channel occupancy initiated by a UE, the eNB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pPr>
              <w:autoSpaceDE/>
              <w:autoSpaceDN/>
              <w:adjustRightInd/>
              <w:ind w:left="568" w:hanging="284"/>
              <w:rPr>
                <w:rFonts w:eastAsia="Times New Roman"/>
              </w:rPr>
            </w:pPr>
            <w:r>
              <w:rPr>
                <w:rFonts w:eastAsia="Times New Roman"/>
                <w:lang w:eastAsia="zh-CN"/>
              </w:rPr>
              <w:t>-</w:t>
            </w:r>
            <w:r>
              <w:rPr>
                <w:rFonts w:eastAsia="Times New Roman"/>
                <w:lang w:eastAsia="zh-CN"/>
              </w:rPr>
              <w:tab/>
            </w:r>
            <w:r>
              <w:rPr>
                <w:rFonts w:eastAsia="Times New Roman"/>
                <w:lang w:eastAsia="zh-CN"/>
              </w:rPr>
              <w:t xml:space="preserve">If </w:t>
            </w:r>
            <w:r>
              <w:rPr>
                <w:rFonts w:eastAsia="Times New Roman"/>
              </w:rPr>
              <w:t xml:space="preserve">'COT sharing indication' in AUL-UCI in subframe </w:t>
            </w:r>
            <m:oMath>
              <w:ins w:id="93" w:author="MCC: CR0005" w:date="2020-01-02T06:34:00Z">
                <m:r>
                  <w:rPr>
                    <w:rFonts w:ascii="Cambria Math" w:hAnsi="Cambria Math"/>
                  </w:rPr>
                  <m:t>n</m:t>
                </m:r>
              </w:ins>
            </m:oMath>
            <w:r>
              <w:rPr>
                <w:rFonts w:eastAsia="Times New Roman"/>
              </w:rPr>
              <w:t xml:space="preserve"> indicates '1'</w:t>
            </w:r>
            <w:r>
              <w:rPr>
                <w:rFonts w:eastAsia="Times New Roman"/>
                <w:lang w:eastAsia="zh-CN"/>
              </w:rPr>
              <w:t xml:space="preserve">, </w:t>
            </w:r>
            <w:r>
              <w:rPr>
                <w:rFonts w:eastAsia="Times New Roman"/>
              </w:rPr>
              <w:t xml:space="preserve">an eNB may transmit a transmission in subframe </w:t>
            </w:r>
            <m:oMath>
              <w:ins w:id="94" w:author="MCC: CR0005" w:date="2020-01-02T06:34:00Z">
                <m:r>
                  <w:rPr>
                    <w:rFonts w:ascii="Cambria Math" w:hAnsi="Cambria Math"/>
                  </w:rPr>
                  <m:t>n+X</m:t>
                </m:r>
              </w:ins>
            </m:oMath>
            <w:r>
              <w:rPr>
                <w:rFonts w:eastAsia="Times New Roman"/>
              </w:rPr>
              <w:t xml:space="preserve">, where </w:t>
            </w:r>
            <m:oMath>
              <w:ins w:id="95" w:author="MCC: CR0005" w:date="2020-01-02T06:34:00Z">
                <m:r>
                  <w:rPr>
                    <w:rFonts w:ascii="Cambria Math" w:hAnsi="Cambria Math"/>
                  </w:rPr>
                  <m:t>X</m:t>
                </m:r>
              </w:ins>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pPr>
              <w:autoSpaceDE/>
              <w:autoSpaceDN/>
              <w:adjustRightInd/>
              <w:rPr>
                <w:rFonts w:eastAsia="Times New Roman"/>
                <w:lang w:eastAsia="zh-CN"/>
              </w:rPr>
            </w:pPr>
            <w:r>
              <w:rPr>
                <w:rFonts w:eastAsia="Times New Roman"/>
                <w:lang w:eastAsia="zh-CN"/>
              </w:rPr>
              <w:t xml:space="preserve">If a gNB shares a channel occupancy initiated by a UE using the channel access procedures described in clause 4.2.1.1 on a channel, the gNB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pPr>
              <w:autoSpaceDE/>
              <w:autoSpaceDN/>
              <w:adjustRightInd/>
              <w:ind w:left="568" w:hanging="284"/>
              <w:rPr>
                <w:rFonts w:eastAsia="Times New Roman"/>
              </w:rPr>
            </w:pPr>
            <w:r>
              <w:rPr>
                <w:rFonts w:eastAsia="Times New Roman"/>
                <w:lang w:eastAsia="zh-CN"/>
              </w:rPr>
              <w:t>-</w:t>
            </w:r>
            <w:r>
              <w:rPr>
                <w:rFonts w:eastAsia="Times New Roman"/>
                <w:lang w:eastAsia="zh-CN"/>
              </w:rPr>
              <w:tab/>
            </w:r>
            <w:r>
              <w:rPr>
                <w:rFonts w:eastAsia="Times New Roman"/>
                <w:lang w:eastAsia="zh-CN"/>
              </w:rPr>
              <w:t xml:space="preserve">The transmission </w:t>
            </w:r>
            <w:r>
              <w:rPr>
                <w:rFonts w:eastAsia="Times New Roman"/>
              </w:rPr>
              <w:t>shall contain transmission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pPr>
              <w:autoSpaceDE/>
              <w:autoSpaceDN/>
              <w:adjustRightInd/>
              <w:ind w:left="851" w:hanging="284"/>
              <w:rPr>
                <w:rFonts w:eastAsia="Times New Roman"/>
              </w:rPr>
            </w:pPr>
            <w:r>
              <w:rPr>
                <w:rFonts w:eastAsia="Times New Roman"/>
              </w:rPr>
              <w:t>-</w:t>
            </w:r>
            <w:r>
              <w:rPr>
                <w:rFonts w:eastAsia="Times New Roman"/>
              </w:rPr>
              <w:tab/>
            </w:r>
            <w:r>
              <w:rPr>
                <w:rFonts w:eastAsia="Times New Roman"/>
              </w:rPr>
              <w:t xml:space="preserve">If the higher layer parameters </w:t>
            </w:r>
            <w:r>
              <w:rPr>
                <w:rFonts w:eastAsia="Times New Roman"/>
                <w:i/>
                <w:color w:val="000000"/>
              </w:rPr>
              <w:t>ul-toDL-CO-SharingED-Threshold-r16</w:t>
            </w:r>
            <w:r>
              <w:rPr>
                <w:rFonts w:eastAsia="Times New Roman"/>
                <w:color w:val="000000"/>
              </w:rPr>
              <w:t xml:space="preserve"> is not </w:t>
            </w:r>
            <w:r>
              <w:rPr>
                <w:rFonts w:eastAsia="Times New Roman"/>
              </w:rP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pPr>
              <w:autoSpaceDE/>
              <w:autoSpaceDN/>
              <w:adjustRightInd/>
              <w:ind w:left="568" w:hanging="284"/>
              <w:rPr>
                <w:rFonts w:eastAsia="Times New Roman"/>
              </w:rPr>
            </w:pPr>
            <w:r>
              <w:rPr>
                <w:rFonts w:eastAsia="Times New Roman"/>
              </w:rPr>
              <w:t>-</w:t>
            </w:r>
            <w:r>
              <w:rPr>
                <w:rFonts w:eastAsia="Times New Roman"/>
              </w:rPr>
              <w:tab/>
            </w:r>
            <w:r>
              <w:rPr>
                <w:rFonts w:eastAsia="Times New Roman"/>
              </w:rPr>
              <w:t xml:space="preserve">If the gap is up to </w:t>
            </w:r>
            <m:oMath>
              <m:r>
                <w:rPr>
                  <w:rFonts w:ascii="Cambria Math" w:hAnsi="Cambria Math" w:eastAsia="Times New Roman"/>
                </w:rPr>
                <m:t>16 µs</m:t>
              </m:r>
            </m:oMath>
            <w:r>
              <w:rPr>
                <w:rFonts w:eastAsia="Times New Roman"/>
              </w:rPr>
              <w:t>, the gNB can transmit the transmission on the channel after performing Type 2C DL channel access as described in clause 4.1.2.3.</w:t>
            </w:r>
          </w:p>
          <w:p>
            <w:pPr>
              <w:autoSpaceDE/>
              <w:autoSpaceDN/>
              <w:adjustRightInd/>
              <w:ind w:left="568" w:hanging="284"/>
              <w:rPr>
                <w:rFonts w:eastAsia="Times New Roman"/>
              </w:rPr>
            </w:pPr>
            <w:r>
              <w:rPr>
                <w:rFonts w:eastAsia="Times New Roman"/>
              </w:rPr>
              <w:t>-</w:t>
            </w:r>
            <w:r>
              <w:rPr>
                <w:rFonts w:eastAsia="Times New Roman"/>
              </w:rPr>
              <w:tab/>
            </w:r>
            <w:r>
              <w:rPr>
                <w:rFonts w:eastAsia="Times New Roman"/>
              </w:rPr>
              <w:t xml:space="preserve">If the gap is </w:t>
            </w:r>
            <m:oMath>
              <m:r>
                <w:rPr>
                  <w:rFonts w:ascii="Cambria Math" w:hAnsi="Cambria Math" w:eastAsia="Times New Roman"/>
                </w:rPr>
                <m:t>25 µs</m:t>
              </m:r>
            </m:oMath>
            <w:r>
              <w:rPr>
                <w:rFonts w:eastAsia="Times New Roman"/>
              </w:rPr>
              <w:t xml:space="preserve">  or </w:t>
            </w:r>
            <m:oMath>
              <m:r>
                <w:rPr>
                  <w:rFonts w:ascii="Cambria Math" w:hAnsi="Cambria Math"/>
                </w:rPr>
                <m:t>16 µs</m:t>
              </m:r>
            </m:oMath>
            <w:r>
              <w:rPr>
                <w:rFonts w:eastAsia="Times New Roman"/>
              </w:rPr>
              <w:t>, the gNB can transmit the transmission on the channel after performing Type 2A or Type 2B DL channel access procedures as described in clause 4.1.2.1 and 4.1.2.2, respectively.</w:t>
            </w:r>
          </w:p>
          <w:p>
            <w:pPr>
              <w:autoSpaceDE/>
              <w:autoSpaceDN/>
              <w:adjustRightInd/>
              <w:rPr>
                <w:rFonts w:eastAsia="Times New Roman"/>
                <w:lang w:eastAsia="zh-CN"/>
              </w:rPr>
            </w:pPr>
            <w:r>
              <w:rPr>
                <w:rFonts w:eastAsia="Times New Roman"/>
                <w:lang w:eastAsia="zh-CN"/>
              </w:rPr>
              <w:t xml:space="preserve">For the case where a gNB shares a channel occupancy initiated by a UE with configured grant PUSCH transmission, the gNB may </w:t>
            </w:r>
            <w:r>
              <w:rPr>
                <w:rFonts w:eastAsia="Times New Roman"/>
              </w:rPr>
              <w:t xml:space="preserve">transmit a transmission that follows the configured grant </w:t>
            </w:r>
            <w:r>
              <w:rPr>
                <w:rFonts w:eastAsia="Times New Roman"/>
                <w:lang w:eastAsia="zh-CN"/>
              </w:rPr>
              <w:t xml:space="preserve">PUSCH transmission by the UE as follows: </w:t>
            </w:r>
          </w:p>
          <w:p>
            <w:pPr>
              <w:autoSpaceDE/>
              <w:autoSpaceDN/>
              <w:adjustRightInd/>
              <w:ind w:left="568" w:hanging="284"/>
              <w:rPr>
                <w:rFonts w:eastAsia="Times New Roman"/>
              </w:rPr>
            </w:pPr>
            <w:r>
              <w:rPr>
                <w:rFonts w:eastAsia="Times New Roman"/>
              </w:rPr>
              <w:t>-</w:t>
            </w:r>
            <w:r>
              <w:rPr>
                <w:rFonts w:eastAsia="Times New Roman"/>
              </w:rPr>
              <w:tab/>
            </w:r>
            <w:r>
              <w:rPr>
                <w:rFonts w:eastAsia="Times New Roman"/>
              </w:rPr>
              <w:t xml:space="preserve">If </w:t>
            </w:r>
            <w:ins w:id="96"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97" w:author="Haipeng HP1 Lei" w:date="2020-04-09T17:38:00Z">
              <w:r>
                <w:rPr>
                  <w:rFonts w:eastAsia="Times New Roman"/>
                </w:rPr>
                <w:t>and the higher layer</w:t>
              </w:r>
            </w:ins>
            <w:ins w:id="98" w:author="Haipeng HP1 Lei" w:date="2020-04-09T17:38:00Z">
              <w:r>
                <w:rPr>
                  <w:rFonts w:eastAsia="Calibri"/>
                </w:rPr>
                <w:t xml:space="preserve"> parameter</w:t>
              </w:r>
            </w:ins>
            <w:ins w:id="99" w:author="Haipeng HP1 Lei" w:date="2020-04-09T17:38:00Z">
              <w:r>
                <w:rPr>
                  <w:rFonts w:eastAsiaTheme="minorEastAsia"/>
                  <w:lang w:eastAsia="zh-CN"/>
                </w:rPr>
                <w:t xml:space="preserve"> </w:t>
              </w:r>
            </w:ins>
            <w:ins w:id="100" w:author="Haipeng HP1 Lei" w:date="2020-04-09T17:38:00Z">
              <w:r>
                <w:rPr>
                  <w:rFonts w:eastAsiaTheme="minorEastAsia"/>
                  <w:i/>
                  <w:lang w:eastAsia="zh-CN"/>
                </w:rPr>
                <w:t>cg-COT-SharingList-r16</w:t>
              </w:r>
            </w:ins>
            <w:ins w:id="101" w:author="Haipeng HP1 Lei" w:date="2020-04-09T17:38:00Z">
              <w:r>
                <w:rPr>
                  <w:rFonts w:eastAsia="Times New Roman"/>
                </w:rPr>
                <w:t xml:space="preserve"> </w:t>
              </w:r>
            </w:ins>
            <w:del w:id="102" w:author="Haipeng HP1 Lei" w:date="2020-04-09T18:06:00Z">
              <w:r>
                <w:rPr>
                  <w:rFonts w:eastAsia="Times New Roman"/>
                </w:rPr>
                <w:delText xml:space="preserve">is </w:delText>
              </w:r>
            </w:del>
            <w:ins w:id="103" w:author="Haipeng HP1 Lei" w:date="2020-04-09T18:06:00Z">
              <w:r>
                <w:rPr>
                  <w:rFonts w:eastAsia="Times New Roman"/>
                </w:rPr>
                <w:t xml:space="preserve">are </w:t>
              </w:r>
            </w:ins>
            <w:r>
              <w:rPr>
                <w:rFonts w:eastAsia="Times New Roman"/>
              </w:rPr>
              <w:t>provided</w:t>
            </w:r>
            <w:ins w:id="104" w:author="Haipeng HP1 Lei" w:date="2020-04-09T17:39:00Z">
              <w:r>
                <w:rPr>
                  <w:rFonts w:eastAsia="Times New Roman"/>
                </w:rPr>
                <w:t xml:space="preserve"> to the UE</w:t>
              </w:r>
            </w:ins>
            <w:r>
              <w:rPr>
                <w:rFonts w:eastAsia="Times New Roman"/>
              </w:rPr>
              <w:t xml:space="preserve">, the UE </w:t>
            </w:r>
            <w:ins w:id="105" w:author="Haipeng HP1 Lei" w:date="2020-04-09T17:40:00Z">
              <w:r>
                <w:rPr>
                  <w:rFonts w:eastAsia="Times New Roman"/>
                </w:rPr>
                <w:t xml:space="preserve">transmits CG-UCI with </w:t>
              </w:r>
            </w:ins>
            <m:oMath>
              <m:d>
                <m:dPr>
                  <m:begChr m:val="⌈"/>
                  <m:endChr m:val="⌉"/>
                  <m:ctrlPr>
                    <w:ins w:id="106" w:author="Haipeng HP1 Lei" w:date="2020-04-09T17:41:00Z">
                      <w:rPr>
                        <w:rFonts w:ascii="Cambria Math" w:hAnsi="Cambria Math" w:eastAsia="Calibri"/>
                        <w:lang w:val="de-DE"/>
                      </w:rPr>
                    </w:ins>
                  </m:ctrlPr>
                </m:dPr>
                <m:e>
                  <m:sSub>
                    <m:sSubPr>
                      <m:ctrlPr>
                        <w:ins w:id="107" w:author="Haipeng HP1 Lei" w:date="2020-04-09T17:41:00Z">
                          <w:rPr>
                            <w:rFonts w:ascii="Cambria Math" w:hAnsi="Cambria Math" w:eastAsia="Calibri"/>
                            <w:lang w:val="de-DE"/>
                          </w:rPr>
                        </w:ins>
                      </m:ctrlPr>
                    </m:sSubPr>
                    <m:e>
                      <w:ins w:id="108" w:author="Haipeng HP1 Lei" w:date="2020-04-09T17:41:00Z">
                        <m:r>
                          <m:rPr>
                            <m:sty m:val="p"/>
                          </m:rPr>
                          <w:rPr>
                            <w:rFonts w:ascii="Cambria Math" w:hAnsi="Cambria Math" w:eastAsia="Calibri"/>
                          </w:rPr>
                          <m:t>log</m:t>
                        </m:r>
                      </w:ins>
                      <m:ctrlPr>
                        <w:ins w:id="109" w:author="Haipeng HP1 Lei" w:date="2020-04-09T17:41:00Z">
                          <w:rPr>
                            <w:rFonts w:ascii="Cambria Math" w:hAnsi="Cambria Math" w:eastAsia="Calibri"/>
                            <w:lang w:val="de-DE"/>
                          </w:rPr>
                        </w:ins>
                      </m:ctrlPr>
                    </m:e>
                    <m:sub>
                      <w:ins w:id="110" w:author="Haipeng HP1 Lei" w:date="2020-04-09T17:41:00Z">
                        <m:r>
                          <w:rPr>
                            <w:rFonts w:ascii="Cambria Math" w:hAnsi="Cambria Math" w:eastAsia="Calibri"/>
                          </w:rPr>
                          <m:t>2</m:t>
                        </m:r>
                      </w:ins>
                      <m:ctrlPr>
                        <w:ins w:id="111" w:author="Haipeng HP1 Lei" w:date="2020-04-09T17:41:00Z">
                          <w:rPr>
                            <w:rFonts w:ascii="Cambria Math" w:hAnsi="Cambria Math" w:eastAsia="Calibri"/>
                            <w:lang w:val="de-DE"/>
                          </w:rPr>
                        </w:ins>
                      </m:ctrlPr>
                    </m:sub>
                  </m:sSub>
                  <w:ins w:id="112" w:author="Haipeng HP1 Lei" w:date="2020-04-09T17:41:00Z">
                    <m:r>
                      <w:rPr>
                        <w:rFonts w:ascii="Cambria Math" w:hAnsi="Cambria Math" w:eastAsia="Calibri"/>
                        <w:lang w:val="de-DE"/>
                      </w:rPr>
                      <m:t>C</m:t>
                    </m:r>
                  </w:ins>
                  <m:ctrlPr>
                    <w:ins w:id="113" w:author="Haipeng HP1 Lei" w:date="2020-04-09T17:41:00Z">
                      <w:rPr>
                        <w:rFonts w:ascii="Cambria Math" w:hAnsi="Cambria Math" w:eastAsia="Calibri"/>
                        <w:lang w:val="de-DE"/>
                      </w:rPr>
                    </w:ins>
                  </m:ctrlPr>
                </m:e>
              </m:d>
            </m:oMath>
            <w:ins w:id="114" w:author="Haipeng HP1 Lei" w:date="2020-04-09T17:41:00Z">
              <w:r>
                <w:rPr>
                  <w:rFonts w:eastAsia="Calibri"/>
                </w:rPr>
                <w:t xml:space="preserve"> bits for COT sharing information, </w:t>
              </w:r>
            </w:ins>
            <w:ins w:id="115" w:author="Haipeng HP1 Lei" w:date="2020-04-09T17:41:00Z">
              <w:r>
                <w:rPr>
                  <w:rFonts w:eastAsiaTheme="minorEastAsia"/>
                  <w:lang w:eastAsia="zh-CN"/>
                </w:rPr>
                <w:t xml:space="preserve">where </w:t>
              </w:r>
            </w:ins>
            <w:ins w:id="116" w:author="Haipeng HP1 Lei" w:date="2020-04-09T17:41:00Z">
              <w:r>
                <w:rPr>
                  <w:rFonts w:eastAsia="Calibri"/>
                  <w:i/>
                </w:rPr>
                <w:t>C</w:t>
              </w:r>
            </w:ins>
            <w:ins w:id="117" w:author="Haipeng HP1 Lei" w:date="2020-04-09T17:41:00Z">
              <w:r>
                <w:rPr>
                  <w:rFonts w:eastAsia="Calibri"/>
                </w:rPr>
                <w:t xml:space="preserve"> is the number of </w:t>
              </w:r>
            </w:ins>
            <w:ins w:id="118" w:author="Haipeng HP1 Lei" w:date="2020-04-09T17:44:00Z">
              <w:r>
                <w:rPr>
                  <w:rFonts w:eastAsia="Calibri"/>
                </w:rPr>
                <w:t>row</w:t>
              </w:r>
            </w:ins>
            <w:ins w:id="119" w:author="Haipeng HP1 Lei" w:date="2020-04-09T17:41:00Z">
              <w:r>
                <w:rPr>
                  <w:rFonts w:eastAsia="Calibri"/>
                </w:rPr>
                <w:t xml:space="preserve">s </w:t>
              </w:r>
            </w:ins>
            <w:ins w:id="120" w:author="Haipeng HP1 Lei" w:date="2020-04-09T17:43:00Z">
              <w:r>
                <w:rPr>
                  <w:rFonts w:eastAsia="Calibri"/>
                </w:rPr>
                <w:t>in a table provid</w:t>
              </w:r>
            </w:ins>
            <w:ins w:id="121" w:author="Haipeng HP1 Lei" w:date="2020-04-09T17:41:00Z">
              <w:r>
                <w:rPr>
                  <w:rFonts w:eastAsia="Calibri"/>
                </w:rPr>
                <w:t xml:space="preserve">ed in </w:t>
              </w:r>
            </w:ins>
            <w:del w:id="122" w:author="Haipeng HP1 Lei" w:date="2020-04-09T17:42:00Z">
              <w:r>
                <w:rPr>
                  <w:rFonts w:eastAsia="Times New Roman"/>
                </w:rPr>
                <w:delText xml:space="preserve">is configured by </w:delText>
              </w:r>
            </w:del>
            <w:del w:id="123" w:author="Haipeng HP1 Lei" w:date="2020-04-09T17:42:00Z">
              <w:r>
                <w:rPr>
                  <w:rFonts w:eastAsia="Times New Roman"/>
                  <w:i/>
                  <w:iCs/>
                </w:rPr>
                <w:delText>cg-COT-SharingList-r16</w:delText>
              </w:r>
            </w:del>
            <w:del w:id="124" w:author="Haipeng HP1 Lei" w:date="2020-04-09T17:42:00Z">
              <w:r>
                <w:rPr>
                  <w:rFonts w:eastAsia="Times New Roman"/>
                  <w:iCs/>
                </w:rPr>
                <w:delText xml:space="preserve"> where</w:delText>
              </w:r>
            </w:del>
            <w:del w:id="125" w:author="Haipeng HP1 Lei" w:date="2020-04-09T17:43:00Z">
              <w:r>
                <w:rPr>
                  <w:rFonts w:eastAsia="Times New Roman"/>
                  <w:iCs/>
                </w:rPr>
                <w:delText xml:space="preserve"> </w:delText>
              </w:r>
            </w:del>
            <w:r>
              <w:rPr>
                <w:rFonts w:eastAsia="Times New Roman"/>
                <w:i/>
                <w:iCs/>
              </w:rPr>
              <w:t>cg-COT-SharingList-r16</w:t>
            </w:r>
            <w:del w:id="126" w:author="Haipeng HP1 Lei" w:date="2020-04-09T17:45:00Z">
              <w:r>
                <w:rPr>
                  <w:rFonts w:eastAsia="Times New Roman"/>
                  <w:i/>
                  <w:iCs/>
                </w:rPr>
                <w:delText xml:space="preserve"> </w:delText>
              </w:r>
            </w:del>
            <w:del w:id="127" w:author="Haipeng HP1 Lei" w:date="2020-04-09T17:45:00Z">
              <w:r>
                <w:rPr>
                  <w:rFonts w:eastAsia="Times New Roman"/>
                  <w:iCs/>
                </w:rPr>
                <w:delText xml:space="preserve">provides a </w:delText>
              </w:r>
            </w:del>
            <w:del w:id="128" w:author="Haipeng HP1 Lei" w:date="2020-04-09T17:45:00Z">
              <w:r>
                <w:rPr>
                  <w:rFonts w:eastAsia="Times New Roman"/>
                </w:rPr>
                <w:delText>table configured by higher layer</w:delText>
              </w:r>
            </w:del>
            <w:r>
              <w:rPr>
                <w:rFonts w:eastAsia="Times New Roman"/>
              </w:rPr>
              <w:t xml:space="preserve">. Each row of the table 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29" w:author="Haipeng HP1 Lei" w:date="2020-04-09T18:03:00Z">
              <w:r>
                <w:rPr>
                  <w:rFonts w:eastAsia="Times New Roman"/>
                </w:rPr>
                <w:delText xml:space="preserve">information </w:delText>
              </w:r>
            </w:del>
            <w:r>
              <w:rPr>
                <w:rFonts w:eastAsia="Times New Roman"/>
              </w:rPr>
              <w:t>is not available.</w:t>
            </w:r>
          </w:p>
          <w:p>
            <w:pPr>
              <w:autoSpaceDE/>
              <w:autoSpaceDN/>
              <w:adjustRightInd/>
              <w:ind w:left="851" w:hanging="284"/>
              <w:rPr>
                <w:ins w:id="130" w:author="Haipeng HP1 Lei" w:date="2020-04-09T18:00:00Z"/>
                <w:rFonts w:eastAsia="Times New Roman"/>
              </w:rPr>
            </w:pPr>
            <w:r>
              <w:rPr>
                <w:rFonts w:eastAsia="Times New Roman"/>
              </w:rPr>
              <w:t>-</w:t>
            </w:r>
            <w:r>
              <w:rPr>
                <w:rFonts w:eastAsia="Times New Roman"/>
              </w:rPr>
              <w:tab/>
            </w:r>
            <w:r>
              <w:rPr>
                <w:rFonts w:eastAsia="Times New Roman"/>
              </w:rPr>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gNB can share the UE channel occupancy assuming a channel access priority class </w:t>
            </w:r>
            <w:r>
              <w:rPr>
                <w:rFonts w:eastAsia="Times New Roman"/>
                <w:i/>
              </w:rPr>
              <w:t>p=</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 xml:space="preserve">. </w:t>
            </w:r>
            <w:ins w:id="131" w:author="Haipeng HP1 Lei" w:date="2020-04-09T17:53:00Z">
              <w:r>
                <w:rPr>
                  <w:rFonts w:eastAsia="Times New Roman"/>
                </w:rPr>
                <w:t xml:space="preserve">Only the </w:t>
              </w:r>
            </w:ins>
            <w:ins w:id="132" w:author="Haipeng HP1 Lei" w:date="2020-04-09T17:52:00Z">
              <w:r>
                <w:rPr>
                  <w:rFonts w:eastAsia="Times New Roman"/>
                </w:rPr>
                <w:t>DL u</w:t>
              </w:r>
            </w:ins>
            <w:ins w:id="133" w:author="Haipeng HP1 Lei" w:date="2020-04-09T17:51:00Z">
              <w:r>
                <w:rPr>
                  <w:rFonts w:eastAsia="Times New Roman"/>
                </w:rPr>
                <w:t xml:space="preserve">nicast </w:t>
              </w:r>
            </w:ins>
            <w:ins w:id="134" w:author="Haipeng HP1 Lei" w:date="2020-04-09T17:52:00Z">
              <w:r>
                <w:rPr>
                  <w:rFonts w:eastAsia="Times New Roman"/>
                </w:rPr>
                <w:t xml:space="preserve">transmission with user plane data </w:t>
              </w:r>
            </w:ins>
            <w:ins w:id="135" w:author="Haipeng HP1 Lei" w:date="2020-04-09T17:53:00Z">
              <w:r>
                <w:rPr>
                  <w:rFonts w:eastAsia="Times New Roman"/>
                </w:rPr>
                <w:t>having CAPC value not larger than the</w:t>
              </w:r>
            </w:ins>
            <w:ins w:id="136" w:author="Haipeng HP1 Lei" w:date="2020-04-09T17:54:00Z">
              <w:r>
                <w:rPr>
                  <w:rFonts w:eastAsia="Times New Roman"/>
                </w:rPr>
                <w:t xml:space="preserve"> </w:t>
              </w:r>
            </w:ins>
            <w:ins w:id="137" w:author="Haipeng HP1 Lei" w:date="2020-04-09T17:54:00Z">
              <w:r>
                <w:rPr>
                  <w:rFonts w:eastAsia="Times New Roman"/>
                  <w:i/>
                  <w:iCs/>
                </w:rPr>
                <w:t>channelAccessPriority-r16</w:t>
              </w:r>
            </w:ins>
            <w:ins w:id="138" w:author="Haipeng HP1 Lei" w:date="2020-04-09T17:54:00Z">
              <w:r>
                <w:rPr>
                  <w:rFonts w:eastAsia="Times New Roman"/>
                  <w:iCs/>
                </w:rPr>
                <w:t xml:space="preserve"> is allowed to be transmitted in the UE channel occupancy.</w:t>
              </w:r>
            </w:ins>
            <w:ins w:id="139" w:author="Haipeng HP1 Lei" w:date="2020-04-09T17:55:00Z">
              <w:r>
                <w:rPr>
                  <w:rFonts w:eastAsia="Times New Roman"/>
                  <w:iCs/>
                </w:rPr>
                <w:t xml:space="preserve"> The </w:t>
              </w:r>
            </w:ins>
            <w:ins w:id="140" w:author="Haipeng HP1 Lei" w:date="2020-04-09T17:55:00Z">
              <w:r>
                <w:rPr>
                  <w:rFonts w:eastAsia="Times New Roman"/>
                </w:rPr>
                <w:t>‘COT sharing information’ in CG-UCI is updated by the UE slot by slot.</w:t>
              </w:r>
            </w:ins>
          </w:p>
          <w:p>
            <w:pPr>
              <w:autoSpaceDE/>
              <w:autoSpaceDN/>
              <w:adjustRightInd/>
              <w:ind w:left="851" w:hanging="284"/>
              <w:rPr>
                <w:ins w:id="141" w:author="Haipeng HP1 Lei" w:date="2020-04-09T17:50:00Z"/>
                <w:rFonts w:eastAsia="Times New Roman"/>
              </w:rPr>
            </w:pPr>
            <w:ins w:id="142" w:author="Haipeng HP1 Lei" w:date="2020-04-09T18:01:00Z">
              <w:r>
                <w:rPr>
                  <w:rFonts w:eastAsia="Times New Roman"/>
                </w:rPr>
                <w:t xml:space="preserve">-     </w:t>
              </w:r>
            </w:ins>
            <w:ins w:id="143" w:author="Haipeng HP1 Lei" w:date="2020-04-09T18:00:00Z">
              <w:r>
                <w:rPr>
                  <w:rFonts w:eastAsia="Times New Roman"/>
                </w:rPr>
                <w:t xml:space="preserve">If the 'COT sharing information' in CG-UCI indicates a row index that corresponds to a </w:t>
              </w:r>
            </w:ins>
            <w:ins w:id="144" w:author="Haipeng HP1 Lei" w:date="2020-04-09T18:00:00Z">
              <w:r>
                <w:rPr>
                  <w:rFonts w:eastAsia="Times New Roman"/>
                  <w:i/>
                </w:rPr>
                <w:t>CG-COT-Sharing-r16</w:t>
              </w:r>
            </w:ins>
            <w:ins w:id="145" w:author="Haipeng HP1 Lei" w:date="2020-04-09T18:00:00Z">
              <w:r>
                <w:rPr>
                  <w:rFonts w:eastAsia="Times New Roman"/>
                </w:rPr>
                <w:t xml:space="preserve"> that </w:t>
              </w:r>
            </w:ins>
            <w:ins w:id="146" w:author="Haipeng HP1 Lei" w:date="2020-04-09T18:02:00Z">
              <w:r>
                <w:rPr>
                  <w:rFonts w:eastAsia="Times New Roman"/>
                </w:rPr>
                <w:t>indicate</w:t>
              </w:r>
            </w:ins>
            <w:ins w:id="147" w:author="Haipeng HP1 Lei" w:date="2020-04-09T18:00:00Z">
              <w:r>
                <w:rPr>
                  <w:rFonts w:eastAsia="Times New Roman"/>
                </w:rPr>
                <w:t xml:space="preserve">s channel occupancy sharing </w:t>
              </w:r>
            </w:ins>
            <w:ins w:id="148" w:author="Haipeng HP1 Lei" w:date="2020-04-09T18:03:00Z">
              <w:r>
                <w:rPr>
                  <w:rFonts w:eastAsia="Times New Roman"/>
                </w:rPr>
                <w:t>is not available</w:t>
              </w:r>
            </w:ins>
            <w:ins w:id="149" w:author="Haipeng HP1 Lei" w:date="2020-04-09T18:00:00Z">
              <w:r>
                <w:rPr>
                  <w:rFonts w:eastAsia="Times New Roman"/>
                </w:rPr>
                <w:t>, t</w:t>
              </w:r>
            </w:ins>
            <w:ins w:id="150" w:author="Haipeng HP1 Lei" w:date="2020-04-09T18:03:00Z">
              <w:r>
                <w:rPr>
                  <w:rFonts w:eastAsia="Times New Roman"/>
                </w:rPr>
                <w:t>here is no channe</w:t>
              </w:r>
            </w:ins>
            <w:ins w:id="151" w:author="Haipeng HP1 Lei" w:date="2020-04-09T18:04:00Z">
              <w:r>
                <w:rPr>
                  <w:rFonts w:eastAsia="Times New Roman"/>
                </w:rPr>
                <w:t>l occupancy sharing to gNB.</w:t>
              </w:r>
            </w:ins>
          </w:p>
          <w:p>
            <w:pPr>
              <w:autoSpaceDE/>
              <w:autoSpaceDN/>
              <w:adjustRightInd/>
              <w:ind w:left="568" w:hanging="284"/>
              <w:rPr>
                <w:rFonts w:eastAsia="Times New Roman"/>
              </w:rPr>
            </w:pPr>
            <w:r>
              <w:rPr>
                <w:rFonts w:eastAsia="Times New Roman"/>
              </w:rPr>
              <w:t>-</w:t>
            </w:r>
            <w:r>
              <w:rPr>
                <w:rFonts w:eastAsia="Times New Roman"/>
              </w:rPr>
              <w:tab/>
            </w:r>
            <w:r>
              <w:rPr>
                <w:rFonts w:eastAsia="Times New Roman"/>
              </w:rPr>
              <w:t xml:space="preserve">If the higher layer parameter </w:t>
            </w:r>
            <w:r>
              <w:rPr>
                <w:rFonts w:eastAsia="Times New Roman"/>
                <w:i/>
                <w:iCs/>
              </w:rPr>
              <w:t>ul-toDL-CO-SharingED-Threshold-r16</w:t>
            </w:r>
            <w:r>
              <w:rPr>
                <w:rFonts w:eastAsia="Times New Roman"/>
              </w:rPr>
              <w:t xml:space="preserve"> is not provided</w:t>
            </w:r>
            <w:ins w:id="152" w:author="Haipeng HP1 Lei" w:date="2020-04-09T17:57:00Z">
              <w:r>
                <w:rPr>
                  <w:rFonts w:eastAsia="Calibri"/>
                  <w:szCs w:val="18"/>
                </w:rPr>
                <w:t xml:space="preserve"> and the higher layer parameter</w:t>
              </w:r>
            </w:ins>
            <w:ins w:id="153" w:author="Haipeng HP1 Lei" w:date="2020-04-09T17:57:00Z">
              <w:r>
                <w:rPr>
                  <w:rFonts w:eastAsiaTheme="minorEastAsia"/>
                  <w:szCs w:val="18"/>
                  <w:lang w:eastAsia="zh-CN"/>
                </w:rPr>
                <w:t xml:space="preserve"> </w:t>
              </w:r>
            </w:ins>
            <w:ins w:id="154" w:author="Haipeng HP1 Lei" w:date="2020-04-09T17:57:00Z">
              <w:r>
                <w:rPr>
                  <w:rFonts w:eastAsiaTheme="minorEastAsia"/>
                  <w:i/>
                  <w:szCs w:val="18"/>
                  <w:lang w:eastAsia="zh-CN"/>
                </w:rPr>
                <w:t>cg-COT-SharingOffset-r16</w:t>
              </w:r>
            </w:ins>
            <w:ins w:id="155" w:author="Haipeng HP1 Lei" w:date="2020-04-09T17:57:00Z">
              <w:r>
                <w:rPr>
                  <w:rFonts w:eastAsiaTheme="minorEastAsia"/>
                  <w:szCs w:val="18"/>
                  <w:lang w:eastAsia="zh-CN"/>
                </w:rPr>
                <w:t xml:space="preserve"> is provided to the UE</w:t>
              </w:r>
            </w:ins>
            <w:r>
              <w:rPr>
                <w:rFonts w:eastAsia="Times New Roman"/>
              </w:rPr>
              <w:t xml:space="preserve">, </w:t>
            </w:r>
            <w:ins w:id="156" w:author="Haipeng HP1 Lei" w:date="2020-04-09T17:57:00Z">
              <w:r>
                <w:rPr>
                  <w:rFonts w:eastAsia="Times New Roman"/>
                </w:rPr>
                <w:t xml:space="preserve">the UE transmits CG-UCI with 1 bit COT sharing information. </w:t>
              </w:r>
            </w:ins>
            <w:del w:id="157" w:author="Haipeng HP1 Lei" w:date="2020-04-09T17:58:00Z">
              <w:r>
                <w:rPr>
                  <w:rFonts w:eastAsia="Times New Roman"/>
                </w:rPr>
                <w:delText>and i</w:delText>
              </w:r>
            </w:del>
            <w:ins w:id="158" w:author="Haipeng HP1 Lei" w:date="2020-04-09T17:58:00Z">
              <w:r>
                <w:rPr>
                  <w:rFonts w:eastAsia="Times New Roman"/>
                </w:rPr>
                <w:t>I</w:t>
              </w:r>
            </w:ins>
            <w:r>
              <w:rPr>
                <w:rFonts w:eastAsia="Times New Roman"/>
              </w:rPr>
              <w:t>f 'COT sharing information' in CG-UCI indicates '1', the gNB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59" w:author="Haipeng HP1 Lei" w:date="2020-04-09T17:58:00Z">
              <w:r>
                <w:rPr>
                  <w:rFonts w:eastAsia="Times New Roman"/>
                </w:rPr>
                <w:delText xml:space="preserve">, where </w:delText>
              </w:r>
            </w:del>
            <w:del w:id="160" w:author="Haipeng HP1 Lei" w:date="2020-04-09T17:58:00Z">
              <w:r>
                <w:rPr>
                  <w:rFonts w:eastAsia="Times New Roman"/>
                  <w:i/>
                  <w:iCs/>
                </w:rPr>
                <w:delText>cg-COT-SharingOffset-r16</w:delText>
              </w:r>
            </w:del>
            <w:del w:id="161" w:author="Haipeng HP1 Lei" w:date="2020-04-09T17:58:00Z">
              <w:r>
                <w:rPr>
                  <w:rFonts w:eastAsia="Times New Roman"/>
                </w:rPr>
                <w:delText xml:space="preserve"> is provided by higher layer</w:delText>
              </w:r>
            </w:del>
            <w:r>
              <w:rPr>
                <w:rFonts w:eastAsia="Times New Roman"/>
              </w:rPr>
              <w:t>. The transmission shall not include any unicast transmissions with user plane data and the transmission duration is not more than the duration of 2, 4 and 8 symbols for subcarrier spacing of 15, 30 and 60 kHz of the corresponding channel, respectively.</w:t>
            </w:r>
          </w:p>
          <w:p>
            <w:pPr>
              <w:autoSpaceDE/>
              <w:autoSpaceDN/>
              <w:adjustRightInd/>
              <w:rPr>
                <w:rFonts w:eastAsia="Times New Roman"/>
                <w:lang w:eastAsia="zh-CN"/>
              </w:rPr>
            </w:pPr>
            <w:r>
              <w:rPr>
                <w:rFonts w:eastAsia="Times New Roman"/>
                <w:lang w:eastAsia="zh-CN"/>
              </w:rPr>
              <w:t xml:space="preserve">For the case where a gNB uses channel access procedures as described in clause 4.1.1 to initiate a transmission and shares the corresponding channel occupancy with a UE that transmits a transmission as described in clause 4.2.1.2, the gNB may </w:t>
            </w:r>
            <w:r>
              <w:rPr>
                <w:rFonts w:eastAsia="Times New Roman"/>
              </w:rPr>
              <w:t>transmit a transmission within its channel occupancy that follows the UE's</w:t>
            </w:r>
            <w:r>
              <w:rPr>
                <w:rFonts w:eastAsia="Times New Roman"/>
                <w:lang w:eastAsia="zh-CN"/>
              </w:rPr>
              <w:t xml:space="preserve"> transmission if any gap between any two transmissions in the gNB channel occupancy is at most </w:t>
            </w:r>
            <m:oMath>
              <m:r>
                <w:rPr>
                  <w:rFonts w:ascii="Cambria Math" w:hAnsi="Cambria Math"/>
                </w:rPr>
                <m:t>25 µs</m:t>
              </m:r>
            </m:oMath>
            <w:r>
              <w:rPr>
                <w:rFonts w:eastAsia="Times New Roman"/>
                <w:lang w:eastAsia="zh-CN"/>
              </w:rPr>
              <w:t>. In this case the following applies:</w:t>
            </w:r>
          </w:p>
          <w:p>
            <w:pPr>
              <w:autoSpaceDE/>
              <w:autoSpaceDN/>
              <w:adjustRightInd/>
              <w:ind w:left="568" w:hanging="284"/>
              <w:rPr>
                <w:rFonts w:eastAsia="Times New Roman"/>
              </w:rPr>
            </w:pPr>
            <w:r>
              <w:rPr>
                <w:rFonts w:eastAsia="Times New Roman"/>
              </w:rPr>
              <w:t>-</w:t>
            </w:r>
            <w:r>
              <w:rPr>
                <w:rFonts w:eastAsia="Times New Roman"/>
              </w:rPr>
              <w:tab/>
            </w:r>
            <w:r>
              <w:rPr>
                <w:rFonts w:eastAsia="Times New Roman"/>
              </w:rPr>
              <w:t xml:space="preserve">If the gap is </w:t>
            </w:r>
            <m:oMath>
              <m:r>
                <w:rPr>
                  <w:rFonts w:ascii="Cambria Math" w:hAnsi="Cambria Math"/>
                </w:rPr>
                <m:t>25 µs or 16 µs</m:t>
              </m:r>
            </m:oMath>
            <w:r>
              <w:rPr>
                <w:rFonts w:eastAsia="Times New Roman"/>
              </w:rPr>
              <w:t>, the gNB can transmit the transmission on the channel after performing Type 2A or 2B DL channel access procedures as described in clause 4.1.2.1 and 4.1.2.2, respectively.</w:t>
            </w:r>
          </w:p>
          <w:p>
            <w:pPr>
              <w:autoSpaceDE/>
              <w:autoSpaceDN/>
              <w:adjustRightInd/>
              <w:ind w:left="568" w:hanging="284"/>
              <w:rPr>
                <w:rFonts w:eastAsia="Times New Roman"/>
              </w:rPr>
            </w:pPr>
            <w:r>
              <w:rPr>
                <w:rFonts w:eastAsia="Times New Roman"/>
              </w:rPr>
              <w:t>-</w:t>
            </w:r>
            <w:r>
              <w:rPr>
                <w:rFonts w:eastAsia="Times New Roman"/>
              </w:rPr>
              <w:tab/>
            </w:r>
            <w:r>
              <w:rPr>
                <w:rFonts w:eastAsia="Times New Roman"/>
              </w:rPr>
              <w:t xml:space="preserve">If the gap is up to </w:t>
            </w:r>
            <m:oMath>
              <m:r>
                <w:rPr>
                  <w:rFonts w:ascii="Cambria Math" w:hAnsi="Cambria Math"/>
                </w:rPr>
                <m:t>16 µs</m:t>
              </m:r>
            </m:oMath>
            <w:r>
              <w:rPr>
                <w:rFonts w:eastAsia="Times New Roman"/>
              </w:rPr>
              <w:t>, the gNB can transmit the transmission on the channel after performing Type 2C DL channel access as described in clause 4.1.2.3.</w:t>
            </w:r>
          </w:p>
          <w:p>
            <w:pPr>
              <w:pStyle w:val="31"/>
              <w:rPr>
                <w:lang w:val="en-US"/>
              </w:rPr>
            </w:pPr>
            <w:r>
              <w:rPr>
                <w:lang w:val="en-US"/>
              </w:rPr>
              <w:t>-----------------------------------------------&lt; END TEXT PROPOSAL &gt;-------------------------------------------------</w:t>
            </w:r>
          </w:p>
        </w:tc>
      </w:tr>
    </w:tbl>
    <w:p>
      <w:pPr>
        <w:rPr>
          <w:lang w:val="en-US"/>
        </w:rPr>
      </w:pPr>
    </w:p>
    <w:p>
      <w:pPr>
        <w:rPr>
          <w:lang w:val="en-US"/>
        </w:rPr>
      </w:pPr>
    </w:p>
    <w:p>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pPr>
        <w:rPr>
          <w:lang w:val="en-US"/>
        </w:rPr>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r>
              <w:rPr>
                <w:color w:val="00B0F0"/>
              </w:rPr>
              <w:t>Intel</w:t>
            </w:r>
          </w:p>
        </w:tc>
        <w:tc>
          <w:tcPr>
            <w:tcW w:w="6799" w:type="dxa"/>
          </w:tcPr>
          <w:p>
            <w:r>
              <w:rPr>
                <w:color w:val="00B0F0"/>
              </w:rPr>
              <w:t>We support both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vAlign w:val="top"/>
          </w:tcPr>
          <w:p>
            <w:r>
              <w:rPr>
                <w:rFonts w:hint="eastAsia"/>
                <w:lang w:val="en-US" w:eastAsia="zh-CN"/>
              </w:rPr>
              <w:t>ZTE, Sanechips</w:t>
            </w:r>
          </w:p>
        </w:tc>
        <w:tc>
          <w:tcPr>
            <w:tcW w:w="6799" w:type="dxa"/>
            <w:vAlign w:val="top"/>
          </w:tcPr>
          <w:p>
            <w:pPr>
              <w:rPr>
                <w:rFonts w:hint="eastAsia"/>
                <w:lang w:val="en-US" w:eastAsia="zh-CN"/>
              </w:rPr>
            </w:pPr>
            <w:r>
              <w:rPr>
                <w:rFonts w:hint="eastAsia"/>
                <w:lang w:val="en-US" w:eastAsia="zh-CN"/>
              </w:rPr>
              <w:t>We think it can be solved by gNB implementation.</w:t>
            </w: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bl>
    <w:p>
      <w:pPr>
        <w:rPr>
          <w:lang w:val="en-US"/>
        </w:rPr>
      </w:pPr>
    </w:p>
    <w:p>
      <w:pPr>
        <w:pStyle w:val="3"/>
        <w:rPr>
          <w:lang w:val="en-US"/>
        </w:rPr>
      </w:pPr>
      <w:r>
        <w:rPr>
          <w:lang w:val="en-US"/>
        </w:rPr>
        <w:t>2.5 Correction on DL channel access in a shared COT initiated by a UE</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u w:val="single"/>
              </w:rPr>
            </w:pPr>
            <w:r>
              <w:rPr>
                <w:b/>
                <w:bCs/>
                <w:u w:val="single"/>
              </w:rPr>
              <w:t>R1-2002632</w:t>
            </w:r>
          </w:p>
          <w:p>
            <w:pPr>
              <w:pStyle w:val="95"/>
              <w:numPr>
                <w:ilvl w:val="0"/>
                <w:numId w:val="6"/>
              </w:numPr>
              <w:spacing w:after="120" w:line="276" w:lineRule="auto"/>
              <w:ind w:left="426"/>
              <w:contextualSpacing w:val="0"/>
              <w:rPr>
                <w:i/>
                <w:sz w:val="22"/>
                <w:lang w:val="en-US"/>
              </w:rPr>
            </w:pPr>
            <w:r>
              <w:rPr>
                <w:i/>
                <w:sz w:val="22"/>
                <w:lang w:val="en-US"/>
              </w:rPr>
              <w:t>Proposal 1: Adopt the following text proposal on TS 37.213.</w:t>
            </w:r>
          </w:p>
          <w:tbl>
            <w:tblPr>
              <w:tblStyle w:val="47"/>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trPr>
              <w:tc>
                <w:tcPr>
                  <w:tcW w:w="9545" w:type="dxa"/>
                </w:tcPr>
                <w:p>
                  <w:pPr>
                    <w:autoSpaceDE/>
                    <w:autoSpaceDN/>
                    <w:rPr>
                      <w:color w:val="FF0000"/>
                    </w:rPr>
                  </w:pPr>
                  <w:r>
                    <w:rPr>
                      <w:color w:val="FF0000"/>
                    </w:rPr>
                    <w:t>===========================Start of Text Proposal for TS37.213============================</w:t>
                  </w:r>
                </w:p>
                <w:p>
                  <w:pPr>
                    <w:keepNext/>
                    <w:keepLines/>
                    <w:autoSpaceDE/>
                    <w:autoSpaceDN/>
                    <w:spacing w:before="120"/>
                    <w:outlineLvl w:val="2"/>
                    <w:rPr>
                      <w:rFonts w:ascii="Arial" w:hAnsi="Arial"/>
                      <w:sz w:val="28"/>
                    </w:rPr>
                  </w:pPr>
                  <w:r>
                    <w:rPr>
                      <w:rFonts w:ascii="Arial" w:hAnsi="Arial"/>
                      <w:sz w:val="28"/>
                    </w:rPr>
                    <w:t>4.1.3</w:t>
                  </w:r>
                  <w:r>
                    <w:rPr>
                      <w:rFonts w:ascii="Arial" w:hAnsi="Arial"/>
                      <w:sz w:val="28"/>
                    </w:rPr>
                    <w:tab/>
                  </w:r>
                  <w:r>
                    <w:rPr>
                      <w:rFonts w:ascii="Arial" w:hAnsi="Arial"/>
                      <w:sz w:val="28"/>
                    </w:rPr>
                    <w:t>DL channel access procedures in a shared channel occupancy</w:t>
                  </w:r>
                </w:p>
                <w:p>
                  <w:pPr>
                    <w:autoSpaceDE/>
                    <w:autoSpaceDN/>
                    <w:rPr>
                      <w:lang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pPr>
                    <w:autoSpaceDE/>
                    <w:autoSpaceDN/>
                    <w:ind w:left="568" w:hanging="284"/>
                  </w:pPr>
                  <w:r>
                    <w:rPr>
                      <w:lang w:eastAsia="zh-CN"/>
                    </w:rPr>
                    <w:t>-</w:t>
                  </w:r>
                  <w:r>
                    <w:rPr>
                      <w:lang w:eastAsia="zh-CN"/>
                    </w:rPr>
                    <w:tab/>
                  </w:r>
                  <w:r>
                    <w:rPr>
                      <w:lang w:eastAsia="zh-CN"/>
                    </w:rPr>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pPr>
                    <w:autoSpaceDE/>
                    <w:autoSpaceDN/>
                    <w:rPr>
                      <w:lang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PUSCH transmission on scheduled or configured resources by the UE after a gap as follows:</w:t>
                  </w:r>
                </w:p>
                <w:p>
                  <w:pPr>
                    <w:autoSpaceDE/>
                    <w:autoSpaceDN/>
                    <w:ind w:left="568" w:hanging="284"/>
                  </w:pPr>
                  <w:r>
                    <w:rPr>
                      <w:lang w:eastAsia="zh-CN"/>
                    </w:rPr>
                    <w:t>-</w:t>
                  </w:r>
                  <w:r>
                    <w:rPr>
                      <w:lang w:eastAsia="zh-CN"/>
                    </w:rPr>
                    <w:tab/>
                  </w:r>
                  <w:r>
                    <w:rPr>
                      <w:lang w:eastAsia="zh-CN"/>
                    </w:rPr>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del w:id="162" w:author="Noh Minseok" w:date="2020-04-07T18:35:00Z">
                    <w:r>
                      <w:rPr>
                        <w:u w:val="single"/>
                      </w:rPr>
                      <w:delText xml:space="preserve">that includes user plane data </w:delText>
                    </w:r>
                  </w:del>
                  <w:r>
                    <w:t xml:space="preserve">is only transmitted to the UE that initiated the channel occupancy. </w:t>
                  </w:r>
                </w:p>
                <w:p>
                  <w:pPr>
                    <w:autoSpaceDE/>
                    <w:autoSpaceDN/>
                    <w:ind w:left="851" w:hanging="284"/>
                  </w:pPr>
                  <w:r>
                    <w:t>-</w:t>
                  </w:r>
                  <w:r>
                    <w:tab/>
                  </w:r>
                  <w:r>
                    <w:t xml:space="preserve">If the higher layer parameters </w:t>
                  </w:r>
                  <w:r>
                    <w:rPr>
                      <w:i/>
                      <w:color w:val="000000"/>
                    </w:rPr>
                    <w:t>ul-toDL-CO-SharingED-Threshold-r16</w:t>
                  </w:r>
                  <w:r>
                    <w:rPr>
                      <w:color w:val="000000"/>
                    </w:rPr>
                    <w:t xml:space="preserve"> is not </w:t>
                  </w:r>
                  <w:r>
                    <w:t xml:space="preserve">provided, the transmission shall not include any unicast transmissions </w:t>
                  </w:r>
                  <w:del w:id="163" w:author="Noh Minseok" w:date="2020-04-07T19:14:00Z">
                    <w:r>
                      <w:rPr>
                        <w:u w:val="single"/>
                      </w:rPr>
                      <w:delText>with user plane data</w:delText>
                    </w:r>
                  </w:del>
                  <w:del w:id="164" w:author="Noh Minseok" w:date="2020-04-07T19:14:00Z">
                    <w:r>
                      <w:rPr/>
                      <w:delText xml:space="preserve"> </w:delText>
                    </w:r>
                  </w:del>
                  <w:r>
                    <w:t xml:space="preserve">and the transmission duration is not more than the duration of 2, 4 and 8 symbols for subcarrier spacing of 15, 30 and 60 kHz of the corresponding channel, respectively. </w:t>
                  </w:r>
                </w:p>
                <w:p>
                  <w:pPr>
                    <w:autoSpaceDE/>
                    <w:autoSpaceDN/>
                    <w:ind w:left="568" w:hanging="284"/>
                  </w:pPr>
                  <w:r>
                    <w:t>-</w:t>
                  </w:r>
                  <w:r>
                    <w:tab/>
                  </w:r>
                  <w:r>
                    <w:t xml:space="preserve">If the gap is up to </w:t>
                  </w:r>
                  <m:oMath>
                    <m:r>
                      <w:rPr>
                        <w:rFonts w:ascii="Cambria Math" w:hAnsi="Cambria Math"/>
                      </w:rPr>
                      <m:t>16us</m:t>
                    </m:r>
                  </m:oMath>
                  <w:r>
                    <w:t>, the gNB can transmit the transmission on the channel after performing Type 2C DL channel access as described in clause 4.1.2.3.</w:t>
                  </w:r>
                </w:p>
                <w:p>
                  <w:pPr>
                    <w:autoSpaceDE/>
                    <w:autoSpaceDN/>
                    <w:ind w:left="568" w:hanging="284"/>
                  </w:pPr>
                  <w:r>
                    <w:t>-</w:t>
                  </w:r>
                  <w:r>
                    <w:tab/>
                  </w:r>
                  <w:r>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p>
                  <w:pPr>
                    <w:autoSpaceDE/>
                    <w:autoSpaceDN/>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pPr>
                    <w:autoSpaceDE/>
                    <w:autoSpaceDN/>
                    <w:ind w:left="568" w:hanging="284"/>
                  </w:pPr>
                  <w:r>
                    <w:t>-</w:t>
                  </w:r>
                  <w:r>
                    <w:tab/>
                  </w:r>
                  <w:r>
                    <w:t xml:space="preserve">If the higher layer parameter </w:t>
                  </w:r>
                  <w:r>
                    <w:rPr>
                      <w:i/>
                      <w:color w:val="000000"/>
                    </w:rPr>
                    <w:t>ul-toDL</w:t>
                  </w:r>
                  <w:r>
                    <w:rPr>
                      <w:i/>
                      <w:iCs/>
                    </w:rPr>
                    <w:t>-CO-SharingED-Threshold-r16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information is not available.</w:t>
                  </w:r>
                </w:p>
                <w:p>
                  <w:pPr>
                    <w:autoSpaceDE/>
                    <w:autoSpaceDN/>
                    <w:ind w:left="851" w:hanging="284"/>
                  </w:pPr>
                  <w:r>
                    <w:t>-</w:t>
                  </w:r>
                  <w:r>
                    <w:tab/>
                  </w:r>
                  <w:r>
                    <w:t xml:space="preserve">If the 'COT sharing information' in CG-UCI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 xml:space="preserve">slots from the end of the slot where CG-UCI is detected,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pPr>
                    <w:autoSpaceDE/>
                    <w:autoSpaceDN/>
                    <w:ind w:left="568" w:hanging="284"/>
                  </w:pPr>
                  <w:r>
                    <w:t>-</w:t>
                  </w:r>
                  <w:r>
                    <w:tab/>
                  </w:r>
                  <w:r>
                    <w:t xml:space="preserve">If the higher layer parameter </w:t>
                  </w:r>
                  <w:r>
                    <w:rPr>
                      <w:i/>
                      <w:iCs/>
                    </w:rPr>
                    <w:t>ul-toDL-CO-SharingED-Threshold-r16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t>
                  </w:r>
                  <w:del w:id="165" w:author="Noh Minseok" w:date="2020-04-07T19:14:00Z">
                    <w:r>
                      <w:rPr>
                        <w:u w:val="single"/>
                      </w:rPr>
                      <w:delText>with user plane data</w:delText>
                    </w:r>
                  </w:del>
                  <w:del w:id="166" w:author="Noh Minseok" w:date="2020-04-07T19:14:00Z">
                    <w:r>
                      <w:rPr/>
                      <w:delText xml:space="preserve"> </w:delText>
                    </w:r>
                  </w:del>
                  <w:r>
                    <w:t>and the transmission duration is not more than the duration of 2, 4 and 8 symbols for subcarrier spacing of 15, 30 and 60 kHz of the corresponding channel, respectively.</w:t>
                  </w:r>
                </w:p>
                <w:p>
                  <w:pPr>
                    <w:autoSpaceDE/>
                    <w:autoSpaceDN/>
                    <w:jc w:val="center"/>
                    <w:rPr>
                      <w:sz w:val="22"/>
                    </w:rPr>
                  </w:pPr>
                  <w:r>
                    <w:rPr>
                      <w:sz w:val="22"/>
                      <w:lang w:eastAsia="zh-CN"/>
                    </w:rPr>
                    <w:t>&lt;unchanged parts are omitted&gt;</w:t>
                  </w:r>
                </w:p>
                <w:p>
                  <w:pPr>
                    <w:autoSpaceDE/>
                    <w:autoSpaceDN/>
                    <w:rPr>
                      <w:color w:val="FF0000"/>
                    </w:rPr>
                  </w:pPr>
                  <w:r>
                    <w:rPr>
                      <w:color w:val="FF0000"/>
                    </w:rPr>
                    <w:t>=========================== End of Text Proposal for TS37.213============================</w:t>
                  </w:r>
                </w:p>
              </w:tc>
            </w:tr>
          </w:tbl>
          <w:p/>
        </w:tc>
      </w:tr>
    </w:tbl>
    <w:p/>
    <w:p>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pPr>
        <w:rPr>
          <w:lang w:val="en-US"/>
        </w:rPr>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r>
              <w:rPr>
                <w:color w:val="00B0F0"/>
              </w:rPr>
              <w:t>Intel</w:t>
            </w:r>
          </w:p>
        </w:tc>
        <w:tc>
          <w:tcPr>
            <w:tcW w:w="6799" w:type="dxa"/>
          </w:tcPr>
          <w:p>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vAlign w:val="top"/>
          </w:tcPr>
          <w:p>
            <w:r>
              <w:rPr>
                <w:rFonts w:hint="eastAsia"/>
                <w:lang w:val="en-US" w:eastAsia="zh-CN"/>
              </w:rPr>
              <w:t>ZTE, Sanechips</w:t>
            </w:r>
          </w:p>
        </w:tc>
        <w:tc>
          <w:tcPr>
            <w:tcW w:w="6799" w:type="dxa"/>
            <w:vAlign w:val="top"/>
          </w:tcPr>
          <w:p>
            <w:r>
              <w:rPr>
                <w:rFonts w:hint="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bl>
    <w:p/>
    <w:p>
      <w:pPr>
        <w:pStyle w:val="3"/>
        <w:rPr>
          <w:lang w:val="en-US"/>
        </w:rPr>
      </w:pPr>
      <w:r>
        <w:rPr>
          <w:lang w:val="en-US"/>
        </w:rPr>
        <w:t>2.6 Clarifications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b/>
                <w:bCs/>
                <w:color w:val="000000" w:themeColor="text1"/>
                <w:lang w:val="en-US"/>
                <w14:textFill>
                  <w14:solidFill>
                    <w14:schemeClr w14:val="tx1"/>
                  </w14:solidFill>
                </w14:textFill>
              </w:rPr>
            </w:pPr>
            <w:r>
              <w:rPr>
                <w:b/>
                <w:bCs/>
                <w:color w:val="000000" w:themeColor="text1"/>
                <w:lang w:val="en-US"/>
                <w14:textFill>
                  <w14:solidFill>
                    <w14:schemeClr w14:val="tx1"/>
                  </w14:solidFill>
                </w14:textFill>
              </w:rPr>
              <w:t>R1-2002247</w:t>
            </w:r>
          </w:p>
          <w:p>
            <w:pPr>
              <w:rPr>
                <w:i/>
                <w:iCs/>
              </w:rPr>
            </w:pPr>
            <w:r>
              <w:rPr>
                <w:rFonts w:hint="eastAsia"/>
                <w:i/>
                <w:iCs/>
              </w:rPr>
              <w:t>I</w:t>
            </w:r>
            <w:r>
              <w:rPr>
                <w:i/>
                <w:iCs/>
              </w:rPr>
              <w:t>n the DL channel access procedures in a shared COT, from our understanding, gNB can perform a DL transmission following any UL transmission if the prior UL burst includes a PUSCH. However, in TS 37.213 Subclause 4.1.3, it may be misread that a DL transmission in a shared COT should directly follow a PUSCH after a gap with the PUSCH [1]. To be clearer, the following change is proposed.</w:t>
            </w:r>
          </w:p>
          <w:p>
            <w:pPr>
              <w:rPr>
                <w:lang w:val="en-US"/>
              </w:rPr>
            </w:pPr>
            <w:r>
              <w:rPr>
                <w:rFonts w:hint="eastAsia"/>
                <w:b/>
                <w:lang w:val="en-US"/>
              </w:rPr>
              <w:t>P</w:t>
            </w:r>
            <w:r>
              <w:rPr>
                <w:b/>
                <w:lang w:val="en-US"/>
              </w:rPr>
              <w:t>roposal 1</w:t>
            </w:r>
            <w:r>
              <w:rPr>
                <w:lang w:val="en-US"/>
              </w:rPr>
              <w:t>: Update TS 37.213 Subclause 4.1.3 based on the following TP.</w:t>
            </w:r>
          </w:p>
          <w:p>
            <w:r>
              <w:t>--------------</w:t>
            </w:r>
            <w:r>
              <w:rPr>
                <w:rFonts w:hint="eastAsia"/>
              </w:rPr>
              <w:t>-</w:t>
            </w:r>
            <w:r>
              <w:t>----------------------------------------- Start of TP #1 ----------------------------------------------------</w:t>
            </w:r>
          </w:p>
          <w:p>
            <w:pPr>
              <w:rPr>
                <w:color w:val="5B9BD5" w:themeColor="accent1"/>
                <w14:textFill>
                  <w14:solidFill>
                    <w14:schemeClr w14:val="accent1"/>
                  </w14:solidFill>
                </w14:textFill>
              </w:rPr>
            </w:pPr>
            <w:r>
              <w:rPr>
                <w:color w:val="5B9BD5" w:themeColor="accent1"/>
                <w:lang w:val="en-US" w:eastAsia="zh-CN"/>
                <w14:textFill>
                  <w14:solidFill>
                    <w14:schemeClr w14:val="accent1"/>
                  </w14:solidFill>
                </w14:textFill>
              </w:rPr>
              <w:t xml:space="preserve">If a gNB shares a channel occupancy initiated by a UE using the channel access procedures described in clause 4.2.1.1 on a channel, the gNB may </w:t>
            </w:r>
            <w:r>
              <w:rPr>
                <w:color w:val="5B9BD5" w:themeColor="accent1"/>
                <w:lang w:val="en-US"/>
                <w14:textFill>
                  <w14:solidFill>
                    <w14:schemeClr w14:val="accent1"/>
                  </w14:solidFill>
                </w14:textFill>
              </w:rPr>
              <w:t xml:space="preserve">transmit a transmission that follows </w:t>
            </w:r>
            <w:r>
              <w:rPr>
                <w:color w:val="FF0000"/>
                <w:lang w:val="en-US"/>
              </w:rPr>
              <w:t xml:space="preserve">a UL transmission including </w:t>
            </w:r>
            <w:r>
              <w:rPr>
                <w:color w:val="5B9BD5" w:themeColor="accent1"/>
                <w:lang w:val="en-US"/>
                <w14:textFill>
                  <w14:solidFill>
                    <w14:schemeClr w14:val="accent1"/>
                  </w14:solidFill>
                </w14:textFill>
              </w:rPr>
              <w:t>a</w:t>
            </w:r>
            <w:r>
              <w:rPr>
                <w:color w:val="5B9BD5" w:themeColor="accent1"/>
                <w:lang w:val="en-US" w:eastAsia="zh-CN"/>
                <w14:textFill>
                  <w14:solidFill>
                    <w14:schemeClr w14:val="accent1"/>
                  </w14:solidFill>
                </w14:textFill>
              </w:rPr>
              <w:t xml:space="preserve"> PUSCH transmission on scheduled or configured resources by the UE after a gap as follows:</w:t>
            </w:r>
            <w:r>
              <w:rPr>
                <w:color w:val="5B9BD5" w:themeColor="accent1"/>
                <w14:textFill>
                  <w14:solidFill>
                    <w14:schemeClr w14:val="accent1"/>
                  </w14:solidFill>
                </w14:textFill>
              </w:rPr>
              <w:t xml:space="preserve"> </w:t>
            </w:r>
          </w:p>
          <w:p>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pPr>
              <w:rPr>
                <w:color w:val="5B9BD5" w:themeColor="accent1"/>
                <w:lang w:val="en-US" w:eastAsia="zh-CN"/>
                <w14:textFill>
                  <w14:solidFill>
                    <w14:schemeClr w14:val="accent1"/>
                  </w14:solidFill>
                </w14:textFill>
              </w:rPr>
            </w:pPr>
            <w:r>
              <w:rPr>
                <w:color w:val="5B9BD5" w:themeColor="accent1"/>
                <w:lang w:val="en-US" w:eastAsia="zh-CN"/>
                <w14:textFill>
                  <w14:solidFill>
                    <w14:schemeClr w14:val="accent1"/>
                  </w14:solidFill>
                </w14:textFill>
              </w:rPr>
              <w:t xml:space="preserve">For the case where a gNB shares a channel occupancy initiated by a UE with configured grant PUSCH transmission, the gNB may </w:t>
            </w:r>
            <w:r>
              <w:rPr>
                <w:color w:val="5B9BD5" w:themeColor="accent1"/>
                <w:lang w:val="en-US"/>
                <w14:textFill>
                  <w14:solidFill>
                    <w14:schemeClr w14:val="accent1"/>
                  </w14:solidFill>
                </w14:textFill>
              </w:rPr>
              <w:t xml:space="preserve">transmit a transmission that follows </w:t>
            </w:r>
            <w:r>
              <w:rPr>
                <w:color w:val="FF0000"/>
                <w:lang w:val="en-US"/>
              </w:rPr>
              <w:t xml:space="preserve">a UL transmission including </w:t>
            </w:r>
            <w:r>
              <w:rPr>
                <w:color w:val="5B9BD5" w:themeColor="accent1"/>
                <w:lang w:val="en-US"/>
                <w14:textFill>
                  <w14:solidFill>
                    <w14:schemeClr w14:val="accent1"/>
                  </w14:solidFill>
                </w14:textFill>
              </w:rPr>
              <w:t xml:space="preserve">the configured grant </w:t>
            </w:r>
            <w:r>
              <w:rPr>
                <w:color w:val="5B9BD5" w:themeColor="accent1"/>
                <w:lang w:val="en-US" w:eastAsia="zh-CN"/>
                <w14:textFill>
                  <w14:solidFill>
                    <w14:schemeClr w14:val="accent1"/>
                  </w14:solidFill>
                </w14:textFill>
              </w:rPr>
              <w:t xml:space="preserve">PUSCH transmission by the UE as follows: </w:t>
            </w:r>
          </w:p>
          <w:p>
            <w:r>
              <w:t>--------------</w:t>
            </w:r>
            <w:r>
              <w:rPr>
                <w:rFonts w:hint="eastAsia"/>
              </w:rPr>
              <w:t>-</w:t>
            </w:r>
            <w:r>
              <w:t>----------------------------------------- End of TP #1 -----------------------------------------------------</w:t>
            </w:r>
          </w:p>
        </w:tc>
      </w:tr>
    </w:tbl>
    <w:p>
      <w:pPr>
        <w:rPr>
          <w:b/>
          <w:bCs/>
          <w:color w:val="000000" w:themeColor="text1"/>
          <w:lang w:val="en-US"/>
          <w14:textFill>
            <w14:solidFill>
              <w14:schemeClr w14:val="tx1"/>
            </w14:solidFill>
          </w14:textFill>
        </w:rPr>
      </w:pPr>
    </w:p>
    <w:p>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pPr>
        <w:rPr>
          <w:b/>
          <w:bCs/>
          <w:color w:val="000000" w:themeColor="text1"/>
          <w:lang w:val="en-US"/>
          <w14:textFill>
            <w14:solidFill>
              <w14:schemeClr w14:val="tx1"/>
            </w14:solidFill>
          </w14:textFill>
        </w:rPr>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r>
              <w:rPr>
                <w:color w:val="00B0F0"/>
              </w:rPr>
              <w:t>Intel</w:t>
            </w:r>
          </w:p>
        </w:tc>
        <w:tc>
          <w:tcPr>
            <w:tcW w:w="6799" w:type="dxa"/>
          </w:tcPr>
          <w:p>
            <w:r>
              <w:rPr>
                <w:color w:val="00B0F0"/>
              </w:rPr>
              <w:t xml:space="preserve">We believe the current specification text is already quite clear, and this text is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vAlign w:val="top"/>
          </w:tcPr>
          <w:p>
            <w:r>
              <w:rPr>
                <w:rFonts w:hint="eastAsia"/>
                <w:lang w:val="en-US" w:eastAsia="zh-CN"/>
              </w:rPr>
              <w:t>ZTE, Sanechips</w:t>
            </w:r>
          </w:p>
        </w:tc>
        <w:tc>
          <w:tcPr>
            <w:tcW w:w="6799" w:type="dxa"/>
            <w:vAlign w:val="top"/>
          </w:tcPr>
          <w:p>
            <w:pPr>
              <w:rPr>
                <w:rFonts w:hint="default" w:eastAsia="宋体"/>
                <w:lang w:val="en-US" w:eastAsia="zh-CN"/>
              </w:rPr>
            </w:pPr>
            <w:r>
              <w:rPr>
                <w:rFonts w:hint="eastAsia"/>
                <w:lang w:val="en-US" w:eastAsia="zh-CN"/>
              </w:rPr>
              <w:t>Share same views as Intel</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bl>
    <w:p>
      <w:pPr>
        <w:rPr>
          <w:lang w:val="en-US"/>
        </w:rPr>
      </w:pPr>
    </w:p>
    <w:p>
      <w:pPr>
        <w:pStyle w:val="2"/>
        <w:rPr>
          <w:color w:val="000000"/>
          <w:lang w:val="en-US"/>
        </w:rPr>
      </w:pPr>
      <w:r>
        <w:rPr>
          <w:color w:val="000000"/>
          <w:lang w:val="en-US"/>
        </w:rPr>
        <w:t>3. Conclusions</w:t>
      </w:r>
    </w:p>
    <w:p>
      <w:pPr>
        <w:rPr>
          <w:highlight w:val="cyan"/>
        </w:rPr>
      </w:pPr>
      <w:r>
        <w:rPr>
          <w:sz w:val="22"/>
          <w:lang w:val="en-US" w:eastAsia="fi-FI"/>
        </w:rPr>
        <w:t>TBA</w:t>
      </w:r>
    </w:p>
    <w:p>
      <w:pPr>
        <w:jc w:val="both"/>
        <w:rPr>
          <w:sz w:val="22"/>
          <w:lang w:val="en-US" w:eastAsia="fi-FI"/>
        </w:rPr>
      </w:pPr>
    </w:p>
    <w:p>
      <w:pPr>
        <w:pStyle w:val="2"/>
        <w:rPr>
          <w:lang w:val="en-US"/>
        </w:rPr>
      </w:pPr>
      <w:r>
        <w:rPr>
          <w:lang w:val="en-US"/>
        </w:rPr>
        <w:t xml:space="preserve">References </w:t>
      </w:r>
    </w:p>
    <w:tbl>
      <w:tblPr>
        <w:tblStyle w:val="46"/>
        <w:tblW w:w="9771" w:type="dxa"/>
        <w:tblInd w:w="0" w:type="dxa"/>
        <w:tblLayout w:type="fixed"/>
        <w:tblCellMar>
          <w:top w:w="0" w:type="dxa"/>
          <w:left w:w="108" w:type="dxa"/>
          <w:bottom w:w="0" w:type="dxa"/>
          <w:right w:w="108" w:type="dxa"/>
        </w:tblCellMar>
      </w:tblPr>
      <w:tblGrid>
        <w:gridCol w:w="419"/>
        <w:gridCol w:w="1135"/>
        <w:gridCol w:w="5530"/>
        <w:gridCol w:w="2687"/>
      </w:tblGrid>
      <w:tr>
        <w:tblPrEx>
          <w:tblLayout w:type="fixed"/>
          <w:tblCellMar>
            <w:top w:w="0" w:type="dxa"/>
            <w:left w:w="108" w:type="dxa"/>
            <w:bottom w:w="0" w:type="dxa"/>
            <w:right w:w="108" w:type="dxa"/>
          </w:tblCellMar>
        </w:tblPrEx>
        <w:trPr>
          <w:trHeight w:val="450" w:hRule="atLeast"/>
        </w:trPr>
        <w:tc>
          <w:tcPr>
            <w:tcW w:w="419" w:type="dxa"/>
            <w:tcBorders>
              <w:top w:val="single" w:color="A6A6A6" w:sz="4" w:space="0"/>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bookmarkStart w:id="7" w:name="_Hlk16843334"/>
            <w:r>
              <w:rPr>
                <w:rFonts w:ascii="Arial" w:hAnsi="Arial" w:eastAsia="Times New Roman" w:cs="Arial"/>
                <w:sz w:val="16"/>
                <w:szCs w:val="16"/>
                <w:lang w:val="en-US"/>
              </w:rPr>
              <w:t>1</w:t>
            </w:r>
          </w:p>
        </w:tc>
        <w:tc>
          <w:tcPr>
            <w:tcW w:w="1135"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"http://www.3gpp.org/ftp/TSG_RAN/WG1_RL1/TSGR1_100b_e/Docs/R1-2001534.zip" </w:instrText>
            </w:r>
            <w:r>
              <w:fldChar w:fldCharType="separate"/>
            </w:r>
            <w:r>
              <w:rPr>
                <w:rStyle w:val="51"/>
                <w:rFonts w:ascii="Arial" w:hAnsi="Arial" w:cs="Arial"/>
                <w:b/>
                <w:bCs/>
                <w:sz w:val="16"/>
                <w:szCs w:val="16"/>
                <w:lang w:val="en-US"/>
              </w:rPr>
              <w:t>R1-2001534</w:t>
            </w:r>
            <w:r>
              <w:rPr>
                <w:rStyle w:val="51"/>
                <w:rFonts w:ascii="Arial" w:hAnsi="Arial" w:cs="Arial"/>
                <w:b/>
                <w:bCs/>
                <w:sz w:val="16"/>
                <w:szCs w:val="16"/>
                <w:lang w:val="en-US"/>
              </w:rPr>
              <w:fldChar w:fldCharType="end"/>
            </w:r>
          </w:p>
        </w:tc>
        <w:tc>
          <w:tcPr>
            <w:tcW w:w="553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Maintainance on the channel access procedure</w:t>
            </w:r>
          </w:p>
        </w:tc>
        <w:tc>
          <w:tcPr>
            <w:tcW w:w="2687"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Huawei, HiSilicon</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2</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"http://www.3gpp.org/ftp/TSG_RAN/WG1_RL1/TSGR1_100b_e/Docs/R1-2001652.zip" </w:instrText>
            </w:r>
            <w:r>
              <w:fldChar w:fldCharType="separate"/>
            </w:r>
            <w:r>
              <w:rPr>
                <w:rStyle w:val="51"/>
                <w:rFonts w:ascii="Arial" w:hAnsi="Arial" w:cs="Arial"/>
                <w:b/>
                <w:bCs/>
                <w:sz w:val="16"/>
                <w:szCs w:val="16"/>
                <w:lang w:val="en-US"/>
              </w:rPr>
              <w:t>R1-2001652</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vivo</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3</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"http://www.3gpp.org/ftp/TSG_RAN/WG1_RL1/TSGR1_100b_e/Docs/R1-2001705.zip" </w:instrText>
            </w:r>
            <w:r>
              <w:fldChar w:fldCharType="separate"/>
            </w:r>
            <w:r>
              <w:rPr>
                <w:rStyle w:val="51"/>
                <w:rFonts w:ascii="Arial" w:hAnsi="Arial" w:cs="Arial"/>
                <w:b/>
                <w:bCs/>
                <w:sz w:val="16"/>
                <w:szCs w:val="16"/>
                <w:lang w:val="en-US"/>
              </w:rPr>
              <w:t>R1-2001705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ZTE, Sanechips</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4</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"http://www.3gpp.org/ftp/TSG_RAN/WG1_RL1/TSGR1_100b_e/Docs/R1-2001759.zip" </w:instrText>
            </w:r>
            <w:r>
              <w:fldChar w:fldCharType="separate"/>
            </w:r>
            <w:r>
              <w:rPr>
                <w:rStyle w:val="51"/>
                <w:rFonts w:ascii="Arial" w:hAnsi="Arial" w:cs="Arial"/>
                <w:b/>
                <w:bCs/>
                <w:sz w:val="16"/>
                <w:szCs w:val="16"/>
                <w:lang w:val="en-US"/>
              </w:rPr>
              <w:t>R1-2001759</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OPPO</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5</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"http://www.3gpp.org/ftp/TSG_RAN/WG1_RL1/TSGR1_100b_e/Docs/R1-2001935.zip" </w:instrText>
            </w:r>
            <w:r>
              <w:fldChar w:fldCharType="separate"/>
            </w:r>
            <w:r>
              <w:rPr>
                <w:rStyle w:val="51"/>
                <w:rFonts w:ascii="Arial" w:hAnsi="Arial" w:cs="Arial"/>
                <w:b/>
                <w:bCs/>
                <w:sz w:val="16"/>
                <w:szCs w:val="16"/>
                <w:lang w:val="en-US"/>
              </w:rPr>
              <w:t>R1-2001935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LG Electronics</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6</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"http://www.3gpp.org/ftp/TSG_RAN/WG1_RL1/TSGR1_100b_e/Docs/R1-2001987.zip" </w:instrText>
            </w:r>
            <w:r>
              <w:fldChar w:fldCharType="separate"/>
            </w:r>
            <w:r>
              <w:rPr>
                <w:rStyle w:val="51"/>
                <w:rFonts w:ascii="Arial" w:hAnsi="Arial" w:cs="Arial"/>
                <w:b/>
                <w:bCs/>
                <w:sz w:val="16"/>
                <w:szCs w:val="16"/>
                <w:lang w:val="en-US"/>
              </w:rPr>
              <w:t>R1-2001987</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Intel Corporation</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7</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"http://www.3gpp.org/ftp/TSG_RAN/WG1_RL1/TSGR1_100b_e/Docs/R1-2002031.zip" </w:instrText>
            </w:r>
            <w:r>
              <w:fldChar w:fldCharType="separate"/>
            </w:r>
            <w:r>
              <w:rPr>
                <w:rStyle w:val="51"/>
                <w:rFonts w:ascii="Arial" w:hAnsi="Arial" w:cs="Arial"/>
                <w:b/>
                <w:bCs/>
                <w:sz w:val="16"/>
                <w:szCs w:val="16"/>
                <w:lang w:val="en-US"/>
              </w:rPr>
              <w:t>R1-2002031</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Ericsson</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8</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"http://www.3gpp.org/ftp/TSG_RAN/WG1_RL1/TSGR1_100b_e/Docs/R1-2002117.zip" </w:instrText>
            </w:r>
            <w:r>
              <w:fldChar w:fldCharType="separate"/>
            </w:r>
            <w:r>
              <w:rPr>
                <w:rStyle w:val="51"/>
                <w:rFonts w:ascii="Arial" w:hAnsi="Arial" w:cs="Arial"/>
                <w:b/>
                <w:bCs/>
                <w:sz w:val="16"/>
                <w:szCs w:val="16"/>
                <w:lang w:val="en-US"/>
              </w:rPr>
              <w:t>R1-2002117</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Samsung</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9</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"http://www.3gpp.org/ftp/TSG_RAN/WG1_RL1/TSGR1_100b_e/Docs/R1-2002193.zip" </w:instrText>
            </w:r>
            <w:r>
              <w:fldChar w:fldCharType="separate"/>
            </w:r>
            <w:r>
              <w:rPr>
                <w:rStyle w:val="51"/>
                <w:rFonts w:ascii="Arial" w:hAnsi="Arial" w:cs="Arial"/>
                <w:b/>
                <w:bCs/>
                <w:sz w:val="16"/>
                <w:szCs w:val="16"/>
                <w:lang w:val="en-US"/>
              </w:rPr>
              <w:t>R1-2002193</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Nokia, Nokia Shanghai Bell</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10</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color w:val="000000"/>
                <w:sz w:val="16"/>
                <w:szCs w:val="16"/>
                <w:lang w:val="en-US"/>
              </w:rPr>
            </w:pPr>
            <w:r>
              <w:fldChar w:fldCharType="begin"/>
            </w:r>
            <w:r>
              <w:instrText xml:space="preserve"> HYPERLINK "http://www.3gpp.org/ftp/TSG_RAN/WG1_RL1/TSGR1_100b_e/Docs/R1-2002247.zip" </w:instrText>
            </w:r>
            <w:r>
              <w:fldChar w:fldCharType="separate"/>
            </w:r>
            <w:r>
              <w:rPr>
                <w:rStyle w:val="51"/>
                <w:rFonts w:ascii="Arial" w:hAnsi="Arial" w:cs="Arial"/>
                <w:b/>
                <w:bCs/>
                <w:sz w:val="16"/>
                <w:szCs w:val="16"/>
                <w:lang w:val="en-US"/>
              </w:rPr>
              <w:t>R1-2002247</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ETRI</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11</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"http://www.3gpp.org/ftp/TSG_RAN/WG1_RL1/TSGR1_100b_e/Docs/R1-2002383.zip" </w:instrText>
            </w:r>
            <w:r>
              <w:fldChar w:fldCharType="separate"/>
            </w:r>
            <w:r>
              <w:rPr>
                <w:rStyle w:val="51"/>
                <w:rFonts w:ascii="Arial" w:hAnsi="Arial" w:cs="Arial"/>
                <w:b/>
                <w:bCs/>
                <w:sz w:val="16"/>
                <w:szCs w:val="16"/>
                <w:lang w:val="en-US"/>
              </w:rPr>
              <w:t>R1-2002383</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Sharp</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12</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"http://www.3gpp.org/ftp/TSG_RAN/WG1_RL1/TSGR1_100b_e/Docs/R1-2002405.zip" </w:instrText>
            </w:r>
            <w:r>
              <w:fldChar w:fldCharType="separate"/>
            </w:r>
            <w:r>
              <w:rPr>
                <w:rStyle w:val="51"/>
                <w:rFonts w:ascii="Arial" w:hAnsi="Arial" w:cs="Arial"/>
                <w:b/>
                <w:bCs/>
                <w:sz w:val="16"/>
                <w:szCs w:val="16"/>
                <w:lang w:val="en-US"/>
              </w:rPr>
              <w:t>R1-2002405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MediaTek Inc.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13</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"http://www.3gpp.org/ftp/TSG_RAN/WG1_RL1/TSGR1_100b_e/Docs/R1-2002434.zip" </w:instrText>
            </w:r>
            <w:r>
              <w:fldChar w:fldCharType="separate"/>
            </w:r>
            <w:r>
              <w:rPr>
                <w:rStyle w:val="51"/>
                <w:rFonts w:ascii="Arial" w:hAnsi="Arial" w:cs="Arial"/>
                <w:b/>
                <w:bCs/>
                <w:sz w:val="16"/>
                <w:szCs w:val="16"/>
                <w:lang w:val="en-US"/>
              </w:rPr>
              <w:t>R1-2002434</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NTT DOCOMO, INC.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14</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"http://www.3gpp.org/ftp/TSG_RAN/WG1_RL1/TSGR1_100b_e/Docs/R1-2002465.zip" </w:instrText>
            </w:r>
            <w:r>
              <w:fldChar w:fldCharType="separate"/>
            </w:r>
            <w:r>
              <w:rPr>
                <w:rStyle w:val="51"/>
                <w:rFonts w:ascii="Arial" w:hAnsi="Arial" w:cs="Arial"/>
                <w:b/>
                <w:bCs/>
                <w:sz w:val="16"/>
                <w:szCs w:val="16"/>
                <w:lang w:val="en-US"/>
              </w:rPr>
              <w:t>R1-2002465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NEC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15</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"http://www.3gpp.org/ftp/TSG_RAN/WG1_RL1/TSGR1_100b_e/Docs/R1-2002530.zip" </w:instrText>
            </w:r>
            <w:r>
              <w:fldChar w:fldCharType="separate"/>
            </w:r>
            <w:r>
              <w:rPr>
                <w:rStyle w:val="51"/>
                <w:rFonts w:ascii="Arial" w:hAnsi="Arial" w:cs="Arial"/>
                <w:b/>
                <w:bCs/>
                <w:sz w:val="16"/>
                <w:szCs w:val="16"/>
                <w:lang w:val="en-US"/>
              </w:rPr>
              <w:t>R1-2002530</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Qualcomm Incorporated</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16</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"http://www.3gpp.org/ftp/TSG_RAN/WG1_RL1/TSGR1_100b_e/Docs/R1-2002632.zip" </w:instrText>
            </w:r>
            <w:r>
              <w:fldChar w:fldCharType="separate"/>
            </w:r>
            <w:r>
              <w:rPr>
                <w:rStyle w:val="51"/>
                <w:rFonts w:ascii="Arial" w:hAnsi="Arial" w:cs="Arial"/>
                <w:b/>
                <w:bCs/>
                <w:sz w:val="16"/>
                <w:szCs w:val="16"/>
                <w:lang w:val="en-US"/>
              </w:rPr>
              <w:t>R1-2002632</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WILUS Inc.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17</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"http://www.3gpp.org/ftp/TSG_RAN/WG1_RL1/TSGR1_100b_e/Docs/R1-2002684.zip" </w:instrText>
            </w:r>
            <w:r>
              <w:fldChar w:fldCharType="separate"/>
            </w:r>
            <w:r>
              <w:rPr>
                <w:rStyle w:val="51"/>
                <w:rFonts w:ascii="Arial" w:hAnsi="Arial" w:cs="Arial"/>
                <w:b/>
                <w:bCs/>
                <w:sz w:val="16"/>
                <w:szCs w:val="16"/>
                <w:lang w:val="en-US"/>
              </w:rPr>
              <w:t>R1-2002684</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Lenovo, Motorola Mobility</w:t>
            </w:r>
          </w:p>
        </w:tc>
      </w:tr>
    </w:tbl>
    <w:p>
      <w:pPr>
        <w:rPr>
          <w:lang w:val="en-US"/>
        </w:rPr>
      </w:pPr>
      <w:r>
        <w:rPr>
          <w:sz w:val="18"/>
          <w:szCs w:val="18"/>
          <w:lang w:val="en-US"/>
        </w:rPr>
        <w:t> </w:t>
      </w:r>
      <w:bookmarkEnd w:id="7"/>
    </w:p>
    <w:sectPr>
      <w:footnotePr>
        <w:numRestart w:val="eachSect"/>
      </w:footnotePr>
      <w:pgSz w:w="11907" w:h="16840"/>
      <w:pgMar w:top="1418" w:right="992"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83D92"/>
    <w:multiLevelType w:val="multilevel"/>
    <w:tmpl w:val="13183D92"/>
    <w:lvl w:ilvl="0" w:tentative="0">
      <w:start w:val="4"/>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DDF0E1C"/>
    <w:multiLevelType w:val="multilevel"/>
    <w:tmpl w:val="2DDF0E1C"/>
    <w:lvl w:ilvl="0" w:tentative="0">
      <w:start w:val="1"/>
      <w:numFmt w:val="bullet"/>
      <w:pStyle w:val="11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5823F8E"/>
    <w:multiLevelType w:val="multilevel"/>
    <w:tmpl w:val="45823F8E"/>
    <w:lvl w:ilvl="0" w:tentative="0">
      <w:start w:val="4"/>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0D94913"/>
    <w:multiLevelType w:val="multilevel"/>
    <w:tmpl w:val="50D94913"/>
    <w:lvl w:ilvl="0" w:tentative="0">
      <w:start w:val="1"/>
      <w:numFmt w:val="decimal"/>
      <w:pStyle w:val="109"/>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tentative="0">
      <w:start w:val="10"/>
      <w:numFmt w:val="decimal"/>
      <w:lvlRestart w:val="0"/>
      <w:pStyle w:val="110"/>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tentative="0">
      <w:start w:val="100"/>
      <w:numFmt w:val="decimal"/>
      <w:pStyle w:val="111"/>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tentative="0">
      <w:start w:val="1"/>
      <w:numFmt w:val="lowerLetter"/>
      <w:pStyle w:val="112"/>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tentative="0">
      <w:start w:val="1"/>
      <w:numFmt w:val="lowerRoman"/>
      <w:pStyle w:val="113"/>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tentative="0">
      <w:start w:val="1"/>
      <w:numFmt w:val="decimal"/>
      <w:pStyle w:val="114"/>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tentative="0">
      <w:start w:val="1"/>
      <w:numFmt w:val="lowerLetter"/>
      <w:pStyle w:val="115"/>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tentative="0">
      <w:start w:val="1"/>
      <w:numFmt w:val="lowerRoman"/>
      <w:pStyle w:val="116"/>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tentative="0">
      <w:start w:val="1"/>
      <w:numFmt w:val="decimal"/>
      <w:pStyle w:val="117"/>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nsid w:val="53593A84"/>
    <w:multiLevelType w:val="multilevel"/>
    <w:tmpl w:val="53593A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2540CC4"/>
    <w:multiLevelType w:val="multilevel"/>
    <w:tmpl w:val="62540CC4"/>
    <w:lvl w:ilvl="0" w:tentative="0">
      <w:start w:val="1"/>
      <w:numFmt w:val="bullet"/>
      <w:lvlText w:val=""/>
      <w:lvlJc w:val="left"/>
      <w:pPr>
        <w:ind w:left="910" w:hanging="400"/>
      </w:pPr>
      <w:rPr>
        <w:rFonts w:hint="default" w:ascii="Wingdings" w:hAnsi="Wingdings"/>
      </w:rPr>
    </w:lvl>
    <w:lvl w:ilvl="1" w:tentative="0">
      <w:start w:val="1"/>
      <w:numFmt w:val="bullet"/>
      <w:lvlText w:val="o"/>
      <w:lvlJc w:val="left"/>
      <w:pPr>
        <w:ind w:left="1310" w:hanging="400"/>
      </w:pPr>
      <w:rPr>
        <w:rFonts w:hint="default" w:ascii="Courier New" w:hAnsi="Courier New" w:cs="Courier New"/>
      </w:rPr>
    </w:lvl>
    <w:lvl w:ilvl="2" w:tentative="0">
      <w:start w:val="1"/>
      <w:numFmt w:val="bullet"/>
      <w:lvlText w:val=""/>
      <w:lvlJc w:val="left"/>
      <w:pPr>
        <w:ind w:left="1710" w:hanging="400"/>
      </w:pPr>
      <w:rPr>
        <w:rFonts w:hint="default" w:ascii="Wingdings" w:hAnsi="Wingdings"/>
      </w:rPr>
    </w:lvl>
    <w:lvl w:ilvl="3" w:tentative="0">
      <w:start w:val="1"/>
      <w:numFmt w:val="bullet"/>
      <w:lvlText w:val=""/>
      <w:lvlJc w:val="left"/>
      <w:pPr>
        <w:ind w:left="2110" w:hanging="400"/>
      </w:pPr>
      <w:rPr>
        <w:rFonts w:hint="default" w:ascii="Wingdings" w:hAnsi="Wingdings"/>
      </w:rPr>
    </w:lvl>
    <w:lvl w:ilvl="4" w:tentative="0">
      <w:start w:val="1"/>
      <w:numFmt w:val="bullet"/>
      <w:lvlText w:val=""/>
      <w:lvlJc w:val="left"/>
      <w:pPr>
        <w:ind w:left="2510" w:hanging="400"/>
      </w:pPr>
      <w:rPr>
        <w:rFonts w:hint="default" w:ascii="Wingdings" w:hAnsi="Wingdings"/>
      </w:rPr>
    </w:lvl>
    <w:lvl w:ilvl="5" w:tentative="0">
      <w:start w:val="1"/>
      <w:numFmt w:val="bullet"/>
      <w:lvlText w:val=""/>
      <w:lvlJc w:val="left"/>
      <w:pPr>
        <w:ind w:left="2910" w:hanging="400"/>
      </w:pPr>
      <w:rPr>
        <w:rFonts w:hint="default" w:ascii="Wingdings" w:hAnsi="Wingdings"/>
      </w:rPr>
    </w:lvl>
    <w:lvl w:ilvl="6" w:tentative="0">
      <w:start w:val="1"/>
      <w:numFmt w:val="bullet"/>
      <w:lvlText w:val=""/>
      <w:lvlJc w:val="left"/>
      <w:pPr>
        <w:ind w:left="3310" w:hanging="400"/>
      </w:pPr>
      <w:rPr>
        <w:rFonts w:hint="default" w:ascii="Wingdings" w:hAnsi="Wingdings"/>
      </w:rPr>
    </w:lvl>
    <w:lvl w:ilvl="7" w:tentative="0">
      <w:start w:val="1"/>
      <w:numFmt w:val="bullet"/>
      <w:lvlText w:val=""/>
      <w:lvlJc w:val="left"/>
      <w:pPr>
        <w:ind w:left="3710" w:hanging="400"/>
      </w:pPr>
      <w:rPr>
        <w:rFonts w:hint="default" w:ascii="Wingdings" w:hAnsi="Wingdings"/>
      </w:rPr>
    </w:lvl>
    <w:lvl w:ilvl="8" w:tentative="0">
      <w:start w:val="1"/>
      <w:numFmt w:val="bullet"/>
      <w:lvlText w:val=""/>
      <w:lvlJc w:val="left"/>
      <w:pPr>
        <w:ind w:left="4110" w:hanging="400"/>
      </w:pPr>
      <w:rPr>
        <w:rFonts w:hint="default" w:ascii="Wingdings" w:hAnsi="Wingdings"/>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CC: CR0005">
    <w15:presenceInfo w15:providerId="None" w15:userId="MCC: CR0005"/>
  </w15:person>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Yongjun">
    <w15:presenceInfo w15:providerId="None" w15:userId="Yongjun"/>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5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91"/>
    <w:qFormat/>
    <w:uiPriority w:val="0"/>
    <w:pPr>
      <w:spacing w:before="120" w:after="120"/>
    </w:pPr>
    <w:rPr>
      <w:b/>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99"/>
    <w:semiHidden/>
    <w:qFormat/>
    <w:uiPriority w:val="0"/>
    <w:pPr>
      <w:overflowPunct/>
      <w:autoSpaceDE/>
      <w:autoSpaceDN/>
      <w:adjustRightInd/>
      <w:textAlignment w:val="auto"/>
    </w:pPr>
    <w:rPr>
      <w:rFonts w:eastAsia="MS Mincho"/>
    </w:rPr>
  </w:style>
  <w:style w:type="paragraph" w:styleId="31">
    <w:name w:val="Body Text"/>
    <w:basedOn w:val="1"/>
    <w:link w:val="98"/>
    <w:uiPriority w:val="0"/>
    <w:pPr>
      <w:spacing w:after="120"/>
    </w:pPr>
  </w:style>
  <w:style w:type="paragraph" w:styleId="32">
    <w:name w:val="List Bullet 5"/>
    <w:basedOn w:val="24"/>
    <w:qFormat/>
    <w:uiPriority w:val="0"/>
    <w:pPr>
      <w:ind w:left="1702"/>
    </w:pPr>
  </w:style>
  <w:style w:type="paragraph" w:styleId="33">
    <w:name w:val="toc 8"/>
    <w:basedOn w:val="21"/>
    <w:next w:val="1"/>
    <w:semiHidden/>
    <w:uiPriority w:val="0"/>
    <w:pPr>
      <w:spacing w:before="180"/>
      <w:ind w:left="2693" w:hanging="2693"/>
    </w:pPr>
    <w:rPr>
      <w:b/>
    </w:rPr>
  </w:style>
  <w:style w:type="paragraph" w:styleId="34">
    <w:name w:val="Balloon Text"/>
    <w:basedOn w:val="1"/>
    <w:semiHidden/>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4"/>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7">
    <w:name w:val="footnote text"/>
    <w:basedOn w:val="1"/>
    <w:link w:val="96"/>
    <w:qFormat/>
    <w:uiPriority w:val="0"/>
    <w:pPr>
      <w:keepLines/>
      <w:spacing w:after="0"/>
      <w:ind w:left="454" w:hanging="454"/>
    </w:pPr>
    <w:rPr>
      <w:sz w:val="16"/>
    </w:rPr>
  </w:style>
  <w:style w:type="paragraph" w:styleId="38">
    <w:name w:val="List 5"/>
    <w:basedOn w:val="39"/>
    <w:uiPriority w:val="0"/>
    <w:pPr>
      <w:ind w:left="1702"/>
    </w:pPr>
  </w:style>
  <w:style w:type="paragraph" w:styleId="39">
    <w:name w:val="List 4"/>
    <w:basedOn w:val="12"/>
    <w:uiPriority w:val="0"/>
    <w:pPr>
      <w:ind w:left="1418"/>
    </w:pPr>
  </w:style>
  <w:style w:type="paragraph" w:styleId="40">
    <w:name w:val="toc 9"/>
    <w:basedOn w:val="33"/>
    <w:next w:val="1"/>
    <w:semiHidden/>
    <w:qFormat/>
    <w:uiPriority w:val="0"/>
    <w:pPr>
      <w:ind w:left="1418" w:hanging="1418"/>
    </w:pPr>
  </w:style>
  <w:style w:type="paragraph" w:styleId="41">
    <w:name w:val="Body Text 2"/>
    <w:basedOn w:val="1"/>
    <w:uiPriority w:val="0"/>
    <w:pPr>
      <w:overflowPunct/>
      <w:autoSpaceDE/>
      <w:autoSpaceDN/>
      <w:adjustRightInd/>
      <w:textAlignment w:val="auto"/>
    </w:pPr>
    <w:rPr>
      <w:rFonts w:eastAsia="MS Mincho"/>
      <w:color w:val="FFFF00"/>
      <w:lang w:eastAsia="ja-JP"/>
    </w:rPr>
  </w:style>
  <w:style w:type="paragraph" w:styleId="42">
    <w:name w:val="Normal (Web)"/>
    <w:basedOn w:val="1"/>
    <w:semiHidden/>
    <w:unhideWhenUsed/>
    <w:uiPriority w:val="99"/>
    <w:pPr>
      <w:overflowPunct/>
      <w:autoSpaceDE/>
      <w:autoSpaceDN/>
      <w:adjustRightInd/>
      <w:spacing w:before="100" w:beforeAutospacing="1" w:after="100" w:afterAutospacing="1"/>
      <w:textAlignment w:val="auto"/>
    </w:pPr>
    <w:rPr>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uiPriority w:val="0"/>
    <w:pPr>
      <w:overflowPunct w:val="0"/>
      <w:autoSpaceDE w:val="0"/>
      <w:autoSpaceDN w:val="0"/>
      <w:adjustRightInd w:val="0"/>
      <w:textAlignment w:val="baseline"/>
    </w:pPr>
    <w:rPr>
      <w:rFonts w:eastAsia="Times New Roman"/>
      <w:b/>
      <w:bC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semiHidden/>
    <w:unhideWhenUsed/>
    <w:qFormat/>
    <w:uiPriority w:val="0"/>
    <w:rPr>
      <w:color w:val="800080"/>
      <w:u w:val="single"/>
    </w:rPr>
  </w:style>
  <w:style w:type="character" w:styleId="50">
    <w:name w:val="Emphasis"/>
    <w:basedOn w:val="48"/>
    <w:qFormat/>
    <w:uiPriority w:val="20"/>
    <w:rPr>
      <w:b/>
      <w:bCs/>
    </w:rPr>
  </w:style>
  <w:style w:type="character" w:styleId="51">
    <w:name w:val="Hyperlink"/>
    <w:uiPriority w:val="99"/>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56">
    <w:name w:val="TT"/>
    <w:basedOn w:val="2"/>
    <w:next w:val="1"/>
    <w:qFormat/>
    <w:uiPriority w:val="0"/>
    <w:pPr>
      <w:outlineLvl w:val="9"/>
    </w:pPr>
  </w:style>
  <w:style w:type="paragraph" w:customStyle="1" w:styleId="57">
    <w:name w:val="TAH"/>
    <w:basedOn w:val="58"/>
    <w:link w:val="107"/>
    <w:qFormat/>
    <w:uiPriority w:val="0"/>
    <w:rPr>
      <w:b/>
    </w:rPr>
  </w:style>
  <w:style w:type="paragraph" w:customStyle="1" w:styleId="58">
    <w:name w:val="TAC"/>
    <w:basedOn w:val="59"/>
    <w:link w:val="106"/>
    <w:qFormat/>
    <w:uiPriority w:val="0"/>
    <w:pPr>
      <w:jc w:val="center"/>
    </w:pPr>
  </w:style>
  <w:style w:type="paragraph" w:customStyle="1" w:styleId="59">
    <w:name w:val="TAL"/>
    <w:basedOn w:val="1"/>
    <w:link w:val="123"/>
    <w:uiPriority w:val="0"/>
    <w:pPr>
      <w:keepNext/>
      <w:keepLines/>
      <w:spacing w:after="0"/>
    </w:pPr>
    <w:rPr>
      <w:rFonts w:ascii="Arial" w:hAnsi="Arial"/>
      <w:sz w:val="18"/>
    </w:rPr>
  </w:style>
  <w:style w:type="paragraph" w:customStyle="1" w:styleId="60">
    <w:name w:val="TF"/>
    <w:basedOn w:val="61"/>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uiPriority w:val="0"/>
    <w:pPr>
      <w:keepLines/>
      <w:ind w:left="1135" w:hanging="851"/>
    </w:pPr>
  </w:style>
  <w:style w:type="paragraph" w:customStyle="1" w:styleId="63">
    <w:name w:val="EX"/>
    <w:basedOn w:val="1"/>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6">
    <w:name w:val="NW"/>
    <w:basedOn w:val="62"/>
    <w:qFormat/>
    <w:uiPriority w:val="0"/>
    <w:pPr>
      <w:spacing w:after="0"/>
    </w:pPr>
  </w:style>
  <w:style w:type="paragraph" w:customStyle="1" w:styleId="67">
    <w:name w:val="EW"/>
    <w:basedOn w:val="63"/>
    <w:uiPriority w:val="0"/>
    <w:pPr>
      <w:spacing w:after="0"/>
    </w:pPr>
  </w:style>
  <w:style w:type="paragraph" w:customStyle="1" w:styleId="68">
    <w:name w:val="EQ"/>
    <w:basedOn w:val="1"/>
    <w:next w:val="1"/>
    <w:qFormat/>
    <w:uiPriority w:val="99"/>
    <w:pPr>
      <w:keepLines/>
      <w:tabs>
        <w:tab w:val="center" w:pos="4536"/>
        <w:tab w:val="right" w:pos="9072"/>
      </w:tabs>
    </w:pPr>
  </w:style>
  <w:style w:type="paragraph" w:customStyle="1" w:styleId="69">
    <w:name w:val="NF"/>
    <w:basedOn w:val="62"/>
    <w:uiPriority w:val="0"/>
    <w:pPr>
      <w:keepNext/>
      <w:spacing w:after="0"/>
    </w:pPr>
    <w:rPr>
      <w:rFonts w:ascii="Arial" w:hAnsi="Arial"/>
      <w:sz w:val="18"/>
    </w:rPr>
  </w:style>
  <w:style w:type="paragraph" w:customStyle="1" w:styleId="70">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1">
    <w:name w:val="TAR"/>
    <w:basedOn w:val="59"/>
    <w:uiPriority w:val="0"/>
    <w:pPr>
      <w:jc w:val="right"/>
    </w:pPr>
  </w:style>
  <w:style w:type="paragraph" w:customStyle="1" w:styleId="72">
    <w:name w:val="TAN"/>
    <w:basedOn w:val="59"/>
    <w:uiPriority w:val="0"/>
    <w:pPr>
      <w:ind w:left="851" w:hanging="851"/>
    </w:pPr>
  </w:style>
  <w:style w:type="paragraph" w:customStyle="1" w:styleId="73">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6">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77">
    <w:name w:val="ZV"/>
    <w:basedOn w:val="76"/>
    <w:uiPriority w:val="0"/>
    <w:pPr>
      <w:framePr w:y="16161"/>
    </w:pPr>
  </w:style>
  <w:style w:type="character" w:customStyle="1" w:styleId="78">
    <w:name w:val="ZGSM"/>
    <w:uiPriority w:val="0"/>
  </w:style>
  <w:style w:type="paragraph" w:customStyle="1" w:styleId="7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0">
    <w:name w:val="Editor's Note"/>
    <w:basedOn w:val="62"/>
    <w:uiPriority w:val="0"/>
    <w:rPr>
      <w:color w:val="FF0000"/>
    </w:rPr>
  </w:style>
  <w:style w:type="paragraph" w:customStyle="1" w:styleId="81">
    <w:name w:val="B1"/>
    <w:basedOn w:val="14"/>
    <w:link w:val="101"/>
    <w:qFormat/>
    <w:uiPriority w:val="0"/>
  </w:style>
  <w:style w:type="paragraph" w:customStyle="1" w:styleId="82">
    <w:name w:val="B2"/>
    <w:basedOn w:val="13"/>
    <w:link w:val="133"/>
    <w:qFormat/>
    <w:uiPriority w:val="0"/>
  </w:style>
  <w:style w:type="paragraph" w:customStyle="1" w:styleId="83">
    <w:name w:val="B3"/>
    <w:basedOn w:val="12"/>
    <w:link w:val="135"/>
    <w:qFormat/>
    <w:uiPriority w:val="0"/>
  </w:style>
  <w:style w:type="paragraph" w:customStyle="1" w:styleId="84">
    <w:name w:val="B4"/>
    <w:basedOn w:val="39"/>
    <w:uiPriority w:val="0"/>
  </w:style>
  <w:style w:type="paragraph" w:customStyle="1" w:styleId="85">
    <w:name w:val="B5"/>
    <w:basedOn w:val="38"/>
    <w:uiPriority w:val="0"/>
  </w:style>
  <w:style w:type="paragraph" w:customStyle="1" w:styleId="86">
    <w:name w:val="ZTD"/>
    <w:basedOn w:val="74"/>
    <w:uiPriority w:val="0"/>
    <w:pPr>
      <w:framePr w:hRule="auto" w:y="852"/>
    </w:pPr>
    <w:rPr>
      <w:i w:val="0"/>
      <w:sz w:val="40"/>
    </w:rPr>
  </w:style>
  <w:style w:type="paragraph" w:customStyle="1" w:styleId="87">
    <w:name w:val="CR Cover Page"/>
    <w:link w:val="130"/>
    <w:qFormat/>
    <w:uiPriority w:val="0"/>
    <w:pPr>
      <w:spacing w:after="120"/>
    </w:pPr>
    <w:rPr>
      <w:rFonts w:ascii="Arial" w:hAnsi="Arial" w:eastAsia="MS Mincho" w:cs="Times New Roman"/>
      <w:lang w:val="en-GB" w:eastAsia="en-US" w:bidi="ar-SA"/>
    </w:rPr>
  </w:style>
  <w:style w:type="paragraph" w:customStyle="1" w:styleId="88">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89">
    <w:name w:val="11 BodyText"/>
    <w:basedOn w:val="1"/>
    <w:uiPriority w:val="0"/>
    <w:pPr>
      <w:overflowPunct/>
      <w:autoSpaceDE/>
      <w:autoSpaceDN/>
      <w:adjustRightInd/>
      <w:spacing w:after="220"/>
      <w:ind w:left="1298"/>
      <w:textAlignment w:val="auto"/>
    </w:pPr>
    <w:rPr>
      <w:rFonts w:ascii="Arial" w:hAnsi="Arial"/>
      <w:sz w:val="22"/>
      <w:lang w:val="en-US"/>
    </w:rPr>
  </w:style>
  <w:style w:type="paragraph" w:customStyle="1" w:styleId="90">
    <w:name w:val="B6"/>
    <w:basedOn w:val="85"/>
    <w:uiPriority w:val="0"/>
  </w:style>
  <w:style w:type="character" w:customStyle="1" w:styleId="91">
    <w:name w:val="Caption Char1"/>
    <w:link w:val="28"/>
    <w:qFormat/>
    <w:uiPriority w:val="0"/>
    <w:rPr>
      <w:rFonts w:ascii="Times New Roman" w:hAnsi="Times New Roman"/>
      <w:b/>
    </w:rPr>
  </w:style>
  <w:style w:type="paragraph" w:customStyle="1" w:styleId="92">
    <w:name w:val="Doc-text2"/>
    <w:basedOn w:val="1"/>
    <w:link w:val="9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eastAsia="en-GB"/>
    </w:rPr>
  </w:style>
  <w:style w:type="paragraph" w:customStyle="1" w:styleId="94">
    <w:name w:val="Revision"/>
    <w:hidden/>
    <w:semiHidden/>
    <w:uiPriority w:val="99"/>
    <w:rPr>
      <w:rFonts w:ascii="Times New Roman" w:hAnsi="Times New Roman" w:eastAsia="宋体" w:cs="Times New Roman"/>
      <w:lang w:val="en-GB" w:eastAsia="en-US" w:bidi="ar-SA"/>
    </w:rPr>
  </w:style>
  <w:style w:type="paragraph" w:styleId="95">
    <w:name w:val="List Paragraph"/>
    <w:basedOn w:val="1"/>
    <w:link w:val="102"/>
    <w:qFormat/>
    <w:uiPriority w:val="34"/>
    <w:pPr>
      <w:overflowPunct/>
      <w:autoSpaceDE/>
      <w:autoSpaceDN/>
      <w:adjustRightInd/>
      <w:spacing w:after="0"/>
      <w:ind w:left="720"/>
      <w:contextualSpacing/>
      <w:textAlignment w:val="auto"/>
    </w:pPr>
    <w:rPr>
      <w:sz w:val="24"/>
      <w:szCs w:val="24"/>
      <w:lang w:val="fi-FI" w:eastAsia="zh-CN"/>
    </w:rPr>
  </w:style>
  <w:style w:type="character" w:customStyle="1" w:styleId="96">
    <w:name w:val="Footnote Text Char"/>
    <w:link w:val="37"/>
    <w:qFormat/>
    <w:uiPriority w:val="0"/>
    <w:rPr>
      <w:rFonts w:ascii="Times New Roman" w:hAnsi="Times New Roman"/>
      <w:sz w:val="16"/>
      <w:lang w:val="en-GB"/>
    </w:rPr>
  </w:style>
  <w:style w:type="paragraph" w:customStyle="1" w:styleId="97">
    <w:name w:val="owapara"/>
    <w:basedOn w:val="1"/>
    <w:qFormat/>
    <w:uiPriority w:val="0"/>
    <w:pPr>
      <w:overflowPunct/>
      <w:autoSpaceDE/>
      <w:autoSpaceDN/>
      <w:adjustRightInd/>
      <w:spacing w:after="0"/>
      <w:textAlignment w:val="auto"/>
    </w:pPr>
    <w:rPr>
      <w:rFonts w:eastAsia="Calibri"/>
      <w:sz w:val="24"/>
      <w:szCs w:val="24"/>
      <w:lang w:val="en-US"/>
    </w:rPr>
  </w:style>
  <w:style w:type="character" w:customStyle="1" w:styleId="98">
    <w:name w:val="Body Text Char"/>
    <w:link w:val="31"/>
    <w:qFormat/>
    <w:uiPriority w:val="0"/>
    <w:rPr>
      <w:rFonts w:ascii="Times New Roman" w:hAnsi="Times New Roman"/>
      <w:lang w:val="en-GB"/>
    </w:rPr>
  </w:style>
  <w:style w:type="character" w:customStyle="1" w:styleId="99">
    <w:name w:val="Comment Text Char"/>
    <w:link w:val="30"/>
    <w:semiHidden/>
    <w:qFormat/>
    <w:uiPriority w:val="0"/>
    <w:rPr>
      <w:rFonts w:ascii="Times New Roman" w:hAnsi="Times New Roman" w:eastAsia="MS Mincho"/>
      <w:lang w:val="en-GB"/>
    </w:rPr>
  </w:style>
  <w:style w:type="paragraph" w:customStyle="1" w:styleId="100">
    <w:name w:val="LGTdoc_본문"/>
    <w:basedOn w:val="1"/>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101">
    <w:name w:val="B1 Char"/>
    <w:link w:val="81"/>
    <w:locked/>
    <w:uiPriority w:val="0"/>
    <w:rPr>
      <w:rFonts w:ascii="Times New Roman" w:hAnsi="Times New Roman"/>
      <w:lang w:val="en-GB"/>
    </w:rPr>
  </w:style>
  <w:style w:type="character" w:customStyle="1" w:styleId="102">
    <w:name w:val="List Paragraph Char"/>
    <w:link w:val="95"/>
    <w:qFormat/>
    <w:locked/>
    <w:uiPriority w:val="34"/>
    <w:rPr>
      <w:rFonts w:ascii="Times New Roman" w:hAnsi="Times New Roman"/>
      <w:sz w:val="24"/>
      <w:szCs w:val="24"/>
      <w:lang w:val="fi-FI" w:eastAsia="zh-CN"/>
    </w:rPr>
  </w:style>
  <w:style w:type="character" w:styleId="103">
    <w:name w:val="Placeholder Text"/>
    <w:basedOn w:val="48"/>
    <w:semiHidden/>
    <w:uiPriority w:val="99"/>
    <w:rPr>
      <w:color w:val="808080"/>
    </w:rPr>
  </w:style>
  <w:style w:type="character" w:customStyle="1" w:styleId="104">
    <w:name w:val="Header Char"/>
    <w:basedOn w:val="48"/>
    <w:link w:val="36"/>
    <w:qFormat/>
    <w:uiPriority w:val="0"/>
    <w:rPr>
      <w:rFonts w:ascii="Arial" w:hAnsi="Arial"/>
      <w:b/>
      <w:sz w:val="18"/>
    </w:rPr>
  </w:style>
  <w:style w:type="character" w:customStyle="1" w:styleId="105">
    <w:name w:val="TH Char"/>
    <w:link w:val="61"/>
    <w:qFormat/>
    <w:uiPriority w:val="0"/>
    <w:rPr>
      <w:rFonts w:ascii="Arial" w:hAnsi="Arial"/>
      <w:b/>
      <w:lang w:val="en-GB"/>
    </w:rPr>
  </w:style>
  <w:style w:type="character" w:customStyle="1" w:styleId="106">
    <w:name w:val="TAC Char"/>
    <w:link w:val="58"/>
    <w:qFormat/>
    <w:locked/>
    <w:uiPriority w:val="0"/>
    <w:rPr>
      <w:rFonts w:ascii="Arial" w:hAnsi="Arial"/>
      <w:sz w:val="18"/>
      <w:lang w:val="en-GB"/>
    </w:rPr>
  </w:style>
  <w:style w:type="character" w:customStyle="1" w:styleId="107">
    <w:name w:val="TAH Car"/>
    <w:link w:val="57"/>
    <w:qFormat/>
    <w:uiPriority w:val="0"/>
    <w:rPr>
      <w:rFonts w:ascii="Arial" w:hAnsi="Arial"/>
      <w:b/>
      <w:sz w:val="18"/>
      <w:lang w:val="en-GB"/>
    </w:rPr>
  </w:style>
  <w:style w:type="character" w:customStyle="1" w:styleId="108">
    <w:name w:val="Heading 2 Char"/>
    <w:basedOn w:val="48"/>
    <w:link w:val="3"/>
    <w:qFormat/>
    <w:uiPriority w:val="0"/>
    <w:rPr>
      <w:rFonts w:ascii="Arial" w:hAnsi="Arial"/>
      <w:sz w:val="32"/>
      <w:lang w:val="en-GB"/>
    </w:rPr>
  </w:style>
  <w:style w:type="paragraph" w:customStyle="1" w:styleId="109">
    <w:name w:val="NewApplica_L1"/>
    <w:basedOn w:val="1"/>
    <w:next w:val="31"/>
    <w:qFormat/>
    <w:uiPriority w:val="0"/>
    <w:pPr>
      <w:widowControl w:val="0"/>
      <w:numPr>
        <w:ilvl w:val="0"/>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110">
    <w:name w:val="NewApplica_L2"/>
    <w:basedOn w:val="109"/>
    <w:next w:val="31"/>
    <w:qFormat/>
    <w:uiPriority w:val="0"/>
    <w:pPr>
      <w:widowControl/>
      <w:numPr>
        <w:ilvl w:val="1"/>
      </w:numPr>
      <w:outlineLvl w:val="1"/>
    </w:pPr>
  </w:style>
  <w:style w:type="paragraph" w:customStyle="1" w:styleId="111">
    <w:name w:val="NewApplica_L3"/>
    <w:basedOn w:val="110"/>
    <w:next w:val="31"/>
    <w:qFormat/>
    <w:uiPriority w:val="0"/>
    <w:pPr>
      <w:numPr>
        <w:ilvl w:val="2"/>
      </w:numPr>
      <w:outlineLvl w:val="2"/>
    </w:pPr>
  </w:style>
  <w:style w:type="paragraph" w:customStyle="1" w:styleId="112">
    <w:name w:val="NewApplica_L4"/>
    <w:basedOn w:val="111"/>
    <w:next w:val="31"/>
    <w:qFormat/>
    <w:uiPriority w:val="0"/>
    <w:pPr>
      <w:numPr>
        <w:ilvl w:val="3"/>
      </w:numPr>
      <w:spacing w:line="240" w:lineRule="auto"/>
      <w:jc w:val="left"/>
      <w:outlineLvl w:val="3"/>
    </w:pPr>
  </w:style>
  <w:style w:type="paragraph" w:customStyle="1" w:styleId="113">
    <w:name w:val="NewApplica_L5"/>
    <w:basedOn w:val="112"/>
    <w:next w:val="31"/>
    <w:qFormat/>
    <w:uiPriority w:val="0"/>
    <w:pPr>
      <w:numPr>
        <w:ilvl w:val="4"/>
      </w:numPr>
      <w:outlineLvl w:val="4"/>
    </w:pPr>
  </w:style>
  <w:style w:type="paragraph" w:customStyle="1" w:styleId="114">
    <w:name w:val="NewApplica_L6"/>
    <w:basedOn w:val="113"/>
    <w:next w:val="31"/>
    <w:qFormat/>
    <w:uiPriority w:val="0"/>
    <w:pPr>
      <w:numPr>
        <w:ilvl w:val="5"/>
      </w:numPr>
      <w:outlineLvl w:val="5"/>
    </w:pPr>
  </w:style>
  <w:style w:type="paragraph" w:customStyle="1" w:styleId="115">
    <w:name w:val="NewApplica_L7"/>
    <w:basedOn w:val="114"/>
    <w:next w:val="31"/>
    <w:qFormat/>
    <w:uiPriority w:val="0"/>
    <w:pPr>
      <w:numPr>
        <w:ilvl w:val="6"/>
      </w:numPr>
      <w:outlineLvl w:val="6"/>
    </w:pPr>
  </w:style>
  <w:style w:type="paragraph" w:customStyle="1" w:styleId="116">
    <w:name w:val="NewApplica_L8"/>
    <w:basedOn w:val="115"/>
    <w:next w:val="31"/>
    <w:qFormat/>
    <w:uiPriority w:val="0"/>
    <w:pPr>
      <w:numPr>
        <w:ilvl w:val="7"/>
      </w:numPr>
      <w:outlineLvl w:val="7"/>
    </w:pPr>
  </w:style>
  <w:style w:type="paragraph" w:customStyle="1" w:styleId="117">
    <w:name w:val="NewApplica_L9"/>
    <w:basedOn w:val="116"/>
    <w:next w:val="31"/>
    <w:qFormat/>
    <w:uiPriority w:val="0"/>
    <w:pPr>
      <w:numPr>
        <w:ilvl w:val="8"/>
      </w:numPr>
      <w:outlineLvl w:val="8"/>
    </w:pPr>
  </w:style>
  <w:style w:type="paragraph" w:customStyle="1" w:styleId="118">
    <w:name w:val="bullet"/>
    <w:basedOn w:val="95"/>
    <w:link w:val="119"/>
    <w:qFormat/>
    <w:uiPriority w:val="0"/>
    <w:pPr>
      <w:widowControl w:val="0"/>
      <w:numPr>
        <w:ilvl w:val="0"/>
        <w:numId w:val="2"/>
      </w:numPr>
      <w:spacing w:after="60"/>
      <w:jc w:val="both"/>
    </w:pPr>
    <w:rPr>
      <w:rFonts w:eastAsia="Times New Roman"/>
      <w:kern w:val="2"/>
      <w:sz w:val="20"/>
      <w:lang w:val="en-GB" w:eastAsia="en-US"/>
    </w:rPr>
  </w:style>
  <w:style w:type="character" w:customStyle="1" w:styleId="119">
    <w:name w:val="bullet Char"/>
    <w:link w:val="118"/>
    <w:qFormat/>
    <w:uiPriority w:val="0"/>
    <w:rPr>
      <w:rFonts w:ascii="Times New Roman" w:hAnsi="Times New Roman" w:eastAsia="Times New Roman"/>
      <w:kern w:val="2"/>
      <w:szCs w:val="24"/>
      <w:lang w:val="en-GB"/>
    </w:rPr>
  </w:style>
  <w:style w:type="character" w:customStyle="1" w:styleId="120">
    <w:name w:val="normaltextrun1"/>
    <w:basedOn w:val="48"/>
    <w:qFormat/>
    <w:uiPriority w:val="0"/>
  </w:style>
  <w:style w:type="paragraph" w:customStyle="1" w:styleId="121">
    <w:name w:val="paragraph"/>
    <w:basedOn w:val="1"/>
    <w:qFormat/>
    <w:uiPriority w:val="0"/>
    <w:pPr>
      <w:overflowPunct/>
      <w:autoSpaceDE/>
      <w:autoSpaceDN/>
      <w:adjustRightInd/>
      <w:spacing w:after="0"/>
      <w:textAlignment w:val="auto"/>
    </w:pPr>
    <w:rPr>
      <w:rFonts w:eastAsia="Times New Roman"/>
      <w:sz w:val="24"/>
      <w:szCs w:val="24"/>
      <w:lang w:val="fi-FI" w:eastAsia="fi-FI"/>
    </w:rPr>
  </w:style>
  <w:style w:type="character" w:customStyle="1" w:styleId="122">
    <w:name w:val="eop"/>
    <w:basedOn w:val="48"/>
    <w:qFormat/>
    <w:uiPriority w:val="0"/>
  </w:style>
  <w:style w:type="character" w:customStyle="1" w:styleId="123">
    <w:name w:val="TAL Car"/>
    <w:link w:val="59"/>
    <w:qFormat/>
    <w:uiPriority w:val="0"/>
    <w:rPr>
      <w:rFonts w:ascii="Arial" w:hAnsi="Arial"/>
      <w:sz w:val="18"/>
      <w:lang w:val="en-GB"/>
    </w:rPr>
  </w:style>
  <w:style w:type="character" w:customStyle="1" w:styleId="124">
    <w:name w:val="Heading 3 Char"/>
    <w:link w:val="4"/>
    <w:qFormat/>
    <w:uiPriority w:val="0"/>
    <w:rPr>
      <w:rFonts w:ascii="Arial" w:hAnsi="Arial"/>
      <w:sz w:val="28"/>
      <w:lang w:val="en-GB"/>
    </w:rPr>
  </w:style>
  <w:style w:type="character" w:customStyle="1" w:styleId="125">
    <w:name w:val="st1"/>
    <w:basedOn w:val="48"/>
    <w:qFormat/>
    <w:uiPriority w:val="0"/>
  </w:style>
  <w:style w:type="character" w:customStyle="1" w:styleId="126">
    <w:name w:val="spellingerror"/>
    <w:basedOn w:val="48"/>
    <w:qFormat/>
    <w:uiPriority w:val="0"/>
  </w:style>
  <w:style w:type="character" w:customStyle="1" w:styleId="127">
    <w:name w:val="advancedproofingissue"/>
    <w:basedOn w:val="48"/>
    <w:uiPriority w:val="0"/>
  </w:style>
  <w:style w:type="character" w:customStyle="1" w:styleId="128">
    <w:name w:val="B1 (文字)"/>
    <w:qFormat/>
    <w:locked/>
    <w:uiPriority w:val="0"/>
    <w:rPr>
      <w:lang w:val="en-GB"/>
    </w:rPr>
  </w:style>
  <w:style w:type="character" w:customStyle="1" w:styleId="129">
    <w:name w:val="Unresolved Mention1"/>
    <w:basedOn w:val="48"/>
    <w:semiHidden/>
    <w:unhideWhenUsed/>
    <w:qFormat/>
    <w:uiPriority w:val="99"/>
    <w:rPr>
      <w:color w:val="605E5C"/>
      <w:shd w:val="clear" w:color="auto" w:fill="E1DFDD"/>
    </w:rPr>
  </w:style>
  <w:style w:type="character" w:customStyle="1" w:styleId="130">
    <w:name w:val="CR Cover Page Zchn"/>
    <w:link w:val="87"/>
    <w:locked/>
    <w:uiPriority w:val="0"/>
    <w:rPr>
      <w:rFonts w:ascii="Arial" w:hAnsi="Arial" w:eastAsia="MS Mincho"/>
      <w:lang w:val="en-GB"/>
    </w:rPr>
  </w:style>
  <w:style w:type="paragraph" w:customStyle="1" w:styleId="131">
    <w:name w:val="main text"/>
    <w:basedOn w:val="1"/>
    <w:link w:val="132"/>
    <w:qFormat/>
    <w:uiPriority w:val="0"/>
    <w:pPr>
      <w:overflowPunct/>
      <w:autoSpaceDE/>
      <w:autoSpaceDN/>
      <w:adjustRightInd/>
      <w:spacing w:before="60" w:after="60" w:line="288" w:lineRule="auto"/>
      <w:ind w:firstLine="200" w:firstLineChars="200"/>
      <w:jc w:val="both"/>
      <w:textAlignment w:val="auto"/>
    </w:pPr>
    <w:rPr>
      <w:rFonts w:eastAsia="Malgun Gothic" w:cs="Batang"/>
      <w:lang w:eastAsia="ko-KR"/>
    </w:rPr>
  </w:style>
  <w:style w:type="character" w:customStyle="1" w:styleId="132">
    <w:name w:val="main text Char"/>
    <w:basedOn w:val="48"/>
    <w:link w:val="131"/>
    <w:qFormat/>
    <w:uiPriority w:val="0"/>
    <w:rPr>
      <w:rFonts w:ascii="Times New Roman" w:hAnsi="Times New Roman" w:eastAsia="Malgun Gothic" w:cs="Batang"/>
      <w:lang w:val="en-GB" w:eastAsia="ko-KR"/>
    </w:rPr>
  </w:style>
  <w:style w:type="character" w:customStyle="1" w:styleId="133">
    <w:name w:val="B2 Char"/>
    <w:link w:val="82"/>
    <w:qFormat/>
    <w:locked/>
    <w:uiPriority w:val="0"/>
    <w:rPr>
      <w:rFonts w:ascii="Times New Roman" w:hAnsi="Times New Roman"/>
      <w:lang w:val="en-GB"/>
    </w:rPr>
  </w:style>
  <w:style w:type="paragraph" w:customStyle="1" w:styleId="134">
    <w:name w:val="List Paragraph3"/>
    <w:basedOn w:val="1"/>
    <w:qFormat/>
    <w:uiPriority w:val="34"/>
    <w:pPr>
      <w:spacing w:line="256" w:lineRule="auto"/>
      <w:ind w:left="720"/>
      <w:contextualSpacing/>
      <w:textAlignment w:val="auto"/>
    </w:pPr>
    <w:rPr>
      <w:lang w:eastAsia="ja-JP"/>
    </w:rPr>
  </w:style>
  <w:style w:type="character" w:customStyle="1" w:styleId="135">
    <w:name w:val="B3 Char2"/>
    <w:link w:val="83"/>
    <w:qFormat/>
    <w:locked/>
    <w:uiPriority w:val="0"/>
    <w:rPr>
      <w:rFonts w:ascii="Times New Roman" w:hAnsi="Times New Roman"/>
      <w:lang w:val="en-GB"/>
    </w:rPr>
  </w:style>
  <w:style w:type="character" w:customStyle="1" w:styleId="136">
    <w:name w:val="colour"/>
    <w:basedOn w:val="48"/>
    <w:qFormat/>
    <w:uiPriority w:val="0"/>
  </w:style>
  <w:style w:type="character" w:customStyle="1" w:styleId="137">
    <w:name w:val="B1 Char1"/>
    <w:qFormat/>
    <w:uiPriority w:val="0"/>
    <w:rPr>
      <w:rFonts w:eastAsia="宋体"/>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E526D5-A935-4B5E-9904-EA29CD2547B4}">
  <ds:schemaRefs/>
</ds:datastoreItem>
</file>

<file path=customXml/itemProps3.xml><?xml version="1.0" encoding="utf-8"?>
<ds:datastoreItem xmlns:ds="http://schemas.openxmlformats.org/officeDocument/2006/customXml" ds:itemID="{3BFD651E-972C-4388-A87C-397D9E54527D}">
  <ds:schemaRefs/>
</ds:datastoreItem>
</file>

<file path=customXml/itemProps4.xml><?xml version="1.0" encoding="utf-8"?>
<ds:datastoreItem xmlns:ds="http://schemas.openxmlformats.org/officeDocument/2006/customXml" ds:itemID="{2CE66390-3D25-4CC2-8279-23A181FE6D0A}">
  <ds:schemaRefs/>
</ds:datastoreItem>
</file>

<file path=customXml/itemProps5.xml><?xml version="1.0" encoding="utf-8"?>
<ds:datastoreItem xmlns:ds="http://schemas.openxmlformats.org/officeDocument/2006/customXml" ds:itemID="{1369D201-B2C2-4DC8-A98A-70B6E586961D}">
  <ds:schemaRefs/>
</ds:datastoreItem>
</file>

<file path=customXml/itemProps6.xml><?xml version="1.0" encoding="utf-8"?>
<ds:datastoreItem xmlns:ds="http://schemas.openxmlformats.org/officeDocument/2006/customXml" ds:itemID="{75AE46C1-5939-424B-9C3C-66BF1C4F6A82}">
  <ds:schemaRefs/>
</ds:datastoreItem>
</file>

<file path=docProps/app.xml><?xml version="1.0" encoding="utf-8"?>
<Properties xmlns="http://schemas.openxmlformats.org/officeDocument/2006/extended-properties" xmlns:vt="http://schemas.openxmlformats.org/officeDocument/2006/docPropsVTypes">
  <Template>3GPP TDoc.dot</Template>
  <Company>Nokia &amp; NSN</Company>
  <Pages>10</Pages>
  <Words>4498</Words>
  <Characters>24435</Characters>
  <Lines>497</Lines>
  <Paragraphs>245</Paragraphs>
  <TotalTime>1</TotalTime>
  <ScaleCrop>false</ScaleCrop>
  <LinksUpToDate>false</LinksUpToDate>
  <CharactersWithSpaces>28736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2020-04-21T10:25:00Z</dcterms:created>
  <dc:creator>Nokia Networks</dc:creator>
  <cp:keywords>CTPClassification=CTP_NT</cp:keywords>
  <cp:lastModifiedBy>ZTE Yang Ling</cp:lastModifiedBy>
  <cp:lastPrinted>2016-06-20T11:35:00Z</cp:lastPrinted>
  <dcterms:modified xsi:type="dcterms:W3CDTF">2020-04-22T01:57:22Z</dcterms:modified>
  <dc:title>3GPP Contribution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