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5956242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A5BFF">
        <w:rPr>
          <w:rFonts w:ascii="Arial" w:hAnsi="Arial" w:cs="Arial"/>
          <w:b/>
          <w:bCs/>
          <w:sz w:val="28"/>
        </w:rPr>
        <w:t>02892</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06E7E33A"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w:t>
      </w:r>
      <w:r w:rsidR="00BA5BFF">
        <w:rPr>
          <w:sz w:val="24"/>
          <w:lang w:val="en-US"/>
        </w:rPr>
        <w:t>2</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3C90B1D5" w14:textId="77777777" w:rsidR="00BA5BFF" w:rsidRDefault="00BA5BFF" w:rsidP="00BA5BFF">
      <w:pPr>
        <w:rPr>
          <w:highlight w:val="cyan"/>
          <w:lang w:val="en-US" w:eastAsia="x-none"/>
        </w:rPr>
      </w:pPr>
      <w:r w:rsidRPr="00B52F62">
        <w:rPr>
          <w:highlight w:val="cyan"/>
          <w:lang w:val="en-US" w:eastAsia="x-none"/>
        </w:rPr>
        <w:t>[100b-e-NR-UEFeatures-Others-0</w:t>
      </w:r>
      <w:r>
        <w:rPr>
          <w:highlight w:val="cyan"/>
          <w:lang w:val="en-US" w:eastAsia="x-none"/>
        </w:rPr>
        <w:t>2</w:t>
      </w:r>
      <w:r w:rsidRPr="00B52F62">
        <w:rPr>
          <w:highlight w:val="cyan"/>
          <w:lang w:val="en-US" w:eastAsia="x-none"/>
        </w:rPr>
        <w:t>]: Email discussion/approval on general issues having capability signaling impact (dates TBD) – Hiroki (DCM)</w:t>
      </w:r>
    </w:p>
    <w:p w14:paraId="1602FFA3" w14:textId="05813F02" w:rsidR="00BA5BFF" w:rsidRPr="00BA5BFF" w:rsidRDefault="00BA5BFF" w:rsidP="00BA5BFF">
      <w:pPr>
        <w:numPr>
          <w:ilvl w:val="0"/>
          <w:numId w:val="49"/>
        </w:numPr>
        <w:rPr>
          <w:rFonts w:ascii="Calibri" w:hAnsi="Calibri"/>
          <w:szCs w:val="22"/>
          <w:highlight w:val="cyan"/>
        </w:rPr>
      </w:pPr>
      <w:r>
        <w:rPr>
          <w:highlight w:val="cyan"/>
        </w:rPr>
        <w:t>W</w:t>
      </w:r>
      <w:r w:rsidRPr="00B52F62">
        <w:rPr>
          <w:highlight w:val="cyan"/>
        </w:rPr>
        <w:t>hether to convert most per-UE capability to per-band capability</w:t>
      </w:r>
    </w:p>
    <w:p w14:paraId="4A5AE95B" w14:textId="78F8187C" w:rsidR="00BA5BFF" w:rsidRDefault="00BA5BFF" w:rsidP="00BA5BFF">
      <w:pPr>
        <w:rPr>
          <w:highlight w:val="cyan"/>
        </w:rPr>
      </w:pPr>
    </w:p>
    <w:p w14:paraId="60D04ADA" w14:textId="31D46623" w:rsidR="00BA5BFF" w:rsidRDefault="00BA5BFF" w:rsidP="00BA5BFF">
      <w:pPr>
        <w:rPr>
          <w:highlight w:val="cyan"/>
        </w:rPr>
      </w:pPr>
    </w:p>
    <w:p w14:paraId="27152141" w14:textId="436BF736"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Discussion</w:t>
      </w:r>
    </w:p>
    <w:p w14:paraId="70A98457" w14:textId="08F34021"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D</w:t>
      </w:r>
      <w:r>
        <w:rPr>
          <w:rFonts w:eastAsia="MS Mincho"/>
          <w:sz w:val="22"/>
          <w:szCs w:val="22"/>
          <w:lang w:val="en-US"/>
        </w:rPr>
        <w:t>uring the preparation phase email discussion [100b-e-Prep-NR-UEFeatures-Others], following input was provided.</w:t>
      </w:r>
      <w:r w:rsidR="007A62FD">
        <w:rPr>
          <w:rFonts w:eastAsia="MS Mincho"/>
          <w:sz w:val="22"/>
          <w:szCs w:val="22"/>
          <w:lang w:val="en-US"/>
        </w:rPr>
        <w:t xml:space="preserve"> The proposal is to convert most “per-UE” capability to “per-band” capability considering the unlicensed operation and IODT concern.</w:t>
      </w:r>
    </w:p>
    <w:tbl>
      <w:tblPr>
        <w:tblW w:w="0" w:type="auto"/>
        <w:tblCellMar>
          <w:left w:w="0" w:type="dxa"/>
          <w:right w:w="0" w:type="dxa"/>
        </w:tblCellMar>
        <w:tblLook w:val="04A0" w:firstRow="1" w:lastRow="0" w:firstColumn="1" w:lastColumn="0" w:noHBand="0" w:noVBand="1"/>
      </w:tblPr>
      <w:tblGrid>
        <w:gridCol w:w="1979"/>
        <w:gridCol w:w="7973"/>
      </w:tblGrid>
      <w:tr w:rsidR="00BA5BFF" w:rsidRPr="00BA5BFF" w14:paraId="4731A0CE" w14:textId="77777777" w:rsidTr="00BA5BFF">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25E1F" w14:textId="77777777" w:rsidR="00BA5BFF" w:rsidRPr="00BA5BFF" w:rsidRDefault="00BA5BFF" w:rsidP="007A62FD">
            <w:pPr>
              <w:overflowPunct w:val="0"/>
              <w:autoSpaceDE w:val="0"/>
              <w:autoSpaceDN w:val="0"/>
              <w:spacing w:before="100" w:beforeAutospacing="1" w:afterLines="50" w:after="120"/>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Qualcomm</w:t>
            </w:r>
          </w:p>
        </w:tc>
        <w:tc>
          <w:tcPr>
            <w:tcW w:w="7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1A9E5"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In general, we agree with the categorization. We have some proposed additions / clarifications as follows: </w:t>
            </w:r>
          </w:p>
          <w:p w14:paraId="00DF9FD8"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An important additional 1</w:t>
            </w:r>
            <w:r w:rsidRPr="00BA5BFF">
              <w:rPr>
                <w:rFonts w:ascii="Calibri" w:eastAsia="MS PGothic" w:hAnsi="Calibri" w:cs="Calibri"/>
                <w:sz w:val="22"/>
                <w:szCs w:val="22"/>
                <w:highlight w:val="yellow"/>
                <w:vertAlign w:val="superscript"/>
                <w:lang w:val="en-US"/>
              </w:rPr>
              <w:t>st</w:t>
            </w:r>
            <w:r w:rsidRPr="00BA5BFF">
              <w:rPr>
                <w:rFonts w:ascii="Calibri" w:eastAsia="MS PGothic" w:hAnsi="Calibri" w:cs="Calibri"/>
                <w:sz w:val="22"/>
                <w:szCs w:val="22"/>
                <w:highlight w:val="yellow"/>
                <w:lang w:val="en-US"/>
              </w:rPr>
              <w:t xml:space="preserve"> 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1E03D94B"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14B3D217"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highlight w:val="yellow"/>
                <w:lang w:val="en-US"/>
              </w:rPr>
              <w:t>In order to introduce the capability differentiation with the smallest possible change in the structure of the capability signaling, we propose to convert most per-UE capability to per-band capability. It would need further discussion how to do the same for Rel-15 features.</w:t>
            </w:r>
            <w:r w:rsidRPr="00BA5BFF">
              <w:rPr>
                <w:rFonts w:ascii="Calibri" w:eastAsia="MS PGothic" w:hAnsi="Calibri" w:cs="Calibri"/>
                <w:sz w:val="22"/>
                <w:szCs w:val="22"/>
                <w:lang w:val="en-US"/>
              </w:rPr>
              <w:t xml:space="preserve"> </w:t>
            </w:r>
          </w:p>
          <w:p w14:paraId="518F720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Regarding XDD/FRX differentiation, we think that a description will be need for each impacted FG that has some cross-carrier element. This is not to explain the rationale for the differentiation but rather to explain whether the differentiation is from the perspective of the cell delivering the control or the cell to which the control is applied, or some other interpretation. </w:t>
            </w:r>
          </w:p>
          <w:p w14:paraId="0716DC3D"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We don’t think that the topic of how to signal capability in FR1 TDD and incapability in both FR1 FDD and FR2 TDD at the same time needs further discussion in RAN1. </w:t>
            </w:r>
          </w:p>
          <w:p w14:paraId="130BCFD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lastRenderedPageBreak/>
              <w:t xml:space="preserve">As an additional topic, we would like to clarify whether or not FR1 and FR2 serving cells can be in the same TAG in UL CA. This clarification may impact Rel-15. </w:t>
            </w:r>
          </w:p>
        </w:tc>
      </w:tr>
    </w:tbl>
    <w:p w14:paraId="7E2B1677" w14:textId="77777777" w:rsidR="00BA5BFF" w:rsidRDefault="00BA5BFF" w:rsidP="00BA5BFF">
      <w:pPr>
        <w:spacing w:afterLines="50" w:after="120"/>
        <w:jc w:val="both"/>
        <w:rPr>
          <w:rFonts w:eastAsia="MS Mincho"/>
          <w:sz w:val="22"/>
          <w:szCs w:val="22"/>
          <w:lang w:val="en-US"/>
        </w:rPr>
      </w:pPr>
    </w:p>
    <w:p w14:paraId="67778AC4" w14:textId="192634BF" w:rsidR="007A62FD" w:rsidRPr="007E1B22" w:rsidRDefault="007A62FD" w:rsidP="007A62FD">
      <w:pPr>
        <w:spacing w:afterLines="50" w:after="120"/>
        <w:jc w:val="both"/>
        <w:rPr>
          <w:b/>
          <w:bCs/>
          <w:sz w:val="22"/>
          <w:lang w:val="en-US"/>
        </w:rPr>
      </w:pPr>
      <w:r w:rsidRPr="00832B47">
        <w:rPr>
          <w:rFonts w:hint="eastAsia"/>
          <w:b/>
          <w:bCs/>
          <w:sz w:val="22"/>
          <w:lang w:val="en-US"/>
        </w:rPr>
        <w:t>C</w:t>
      </w:r>
      <w:r w:rsidRPr="00832B47">
        <w:rPr>
          <w:b/>
          <w:bCs/>
          <w:sz w:val="22"/>
          <w:lang w:val="en-US"/>
        </w:rPr>
        <w:t>ompanies are encouraged to provide</w:t>
      </w:r>
      <w:r>
        <w:rPr>
          <w:b/>
          <w:bCs/>
          <w:sz w:val="22"/>
          <w:lang w:val="en-US"/>
        </w:rPr>
        <w:t xml:space="preserve"> views on the above proposal</w:t>
      </w:r>
      <w:r w:rsidRPr="00832B47">
        <w:rPr>
          <w:b/>
          <w:bCs/>
          <w:sz w:val="22"/>
          <w:lang w:val="en-US"/>
        </w:rPr>
        <w:t>.</w:t>
      </w:r>
    </w:p>
    <w:tbl>
      <w:tblPr>
        <w:tblStyle w:val="TableGrid"/>
        <w:tblW w:w="0" w:type="auto"/>
        <w:tblLook w:val="04A0" w:firstRow="1" w:lastRow="0" w:firstColumn="1" w:lastColumn="0" w:noHBand="0" w:noVBand="1"/>
      </w:tblPr>
      <w:tblGrid>
        <w:gridCol w:w="1980"/>
        <w:gridCol w:w="7982"/>
      </w:tblGrid>
      <w:tr w:rsidR="007A62FD" w14:paraId="4E600B9E" w14:textId="77777777" w:rsidTr="00C92CA9">
        <w:tc>
          <w:tcPr>
            <w:tcW w:w="1980" w:type="dxa"/>
            <w:shd w:val="clear" w:color="auto" w:fill="F2F2F2" w:themeFill="background1" w:themeFillShade="F2"/>
          </w:tcPr>
          <w:p w14:paraId="70137EB5" w14:textId="77777777" w:rsidR="007A62FD" w:rsidRDefault="007A62FD"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6F0C91C" w14:textId="77777777" w:rsidR="007A62FD" w:rsidRDefault="007A62FD" w:rsidP="00C92CA9">
            <w:pPr>
              <w:spacing w:afterLines="50" w:after="120"/>
              <w:jc w:val="both"/>
              <w:rPr>
                <w:sz w:val="22"/>
                <w:lang w:val="en-US"/>
              </w:rPr>
            </w:pPr>
            <w:r>
              <w:rPr>
                <w:rFonts w:hint="eastAsia"/>
                <w:sz w:val="22"/>
                <w:lang w:val="en-US"/>
              </w:rPr>
              <w:t>C</w:t>
            </w:r>
            <w:r>
              <w:rPr>
                <w:sz w:val="22"/>
                <w:lang w:val="en-US"/>
              </w:rPr>
              <w:t>omment</w:t>
            </w:r>
          </w:p>
        </w:tc>
      </w:tr>
      <w:tr w:rsidR="007A62FD" w14:paraId="275A5A10" w14:textId="77777777" w:rsidTr="00C92CA9">
        <w:tc>
          <w:tcPr>
            <w:tcW w:w="1980" w:type="dxa"/>
          </w:tcPr>
          <w:p w14:paraId="55AA7B12" w14:textId="0855046B" w:rsidR="007A62FD" w:rsidRDefault="003B738F" w:rsidP="00C92CA9">
            <w:pPr>
              <w:spacing w:after="0"/>
              <w:jc w:val="both"/>
              <w:rPr>
                <w:sz w:val="22"/>
                <w:lang w:val="en-US"/>
              </w:rPr>
            </w:pPr>
            <w:r>
              <w:rPr>
                <w:sz w:val="22"/>
                <w:lang w:val="en-US"/>
              </w:rPr>
              <w:t>Ericsson</w:t>
            </w:r>
          </w:p>
        </w:tc>
        <w:tc>
          <w:tcPr>
            <w:tcW w:w="7982" w:type="dxa"/>
          </w:tcPr>
          <w:p w14:paraId="0840571B" w14:textId="4EBA8700" w:rsidR="007A62FD" w:rsidRPr="003B738F" w:rsidRDefault="003B738F" w:rsidP="003B738F">
            <w:pPr>
              <w:spacing w:after="0"/>
              <w:rPr>
                <w:sz w:val="22"/>
                <w:lang w:val="en-US"/>
              </w:rPr>
            </w:pPr>
            <w:r>
              <w:rPr>
                <w:sz w:val="22"/>
                <w:lang w:val="en-US"/>
              </w:rPr>
              <w:t xml:space="preserve">According to </w:t>
            </w:r>
            <w:r w:rsidRPr="003B738F">
              <w:rPr>
                <w:sz w:val="22"/>
                <w:lang w:val="en-US"/>
              </w:rPr>
              <w:t>our understanding a proposal to convert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the signaling per band is already very large. I</w:t>
            </w:r>
            <w:r>
              <w:rPr>
                <w:sz w:val="22"/>
                <w:lang w:val="en-US"/>
              </w:rPr>
              <w:t>n</w:t>
            </w:r>
            <w:r w:rsidRPr="003B738F">
              <w:rPr>
                <w:sz w:val="22"/>
                <w:lang w:val="en-US"/>
              </w:rPr>
              <w:t xml:space="preserve">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tc>
      </w:tr>
      <w:tr w:rsidR="0026381F" w14:paraId="7DC0166A" w14:textId="77777777" w:rsidTr="00C92CA9">
        <w:tc>
          <w:tcPr>
            <w:tcW w:w="1980" w:type="dxa"/>
          </w:tcPr>
          <w:p w14:paraId="503DD494" w14:textId="4466A330" w:rsidR="0026381F" w:rsidRPr="0026381F" w:rsidRDefault="0026381F" w:rsidP="0026381F">
            <w:pPr>
              <w:spacing w:after="0"/>
              <w:jc w:val="both"/>
              <w:rPr>
                <w:sz w:val="22"/>
              </w:rPr>
            </w:pPr>
            <w:r w:rsidRPr="0026381F">
              <w:rPr>
                <w:sz w:val="21"/>
                <w:szCs w:val="21"/>
              </w:rPr>
              <w:t>Huawei, HiSi</w:t>
            </w:r>
          </w:p>
        </w:tc>
        <w:tc>
          <w:tcPr>
            <w:tcW w:w="7982" w:type="dxa"/>
          </w:tcPr>
          <w:p w14:paraId="308F4C05" w14:textId="1A89419F" w:rsidR="0026381F" w:rsidRPr="0026381F" w:rsidRDefault="0026381F" w:rsidP="0026381F">
            <w:pPr>
              <w:rPr>
                <w:sz w:val="22"/>
                <w:lang w:val="en-US"/>
              </w:rPr>
            </w:pPr>
            <w:r w:rsidRPr="0026381F">
              <w:rPr>
                <w:sz w:val="22"/>
                <w:lang w:val="en-US"/>
              </w:rPr>
              <w:t>We’d like to focus on the discussion to be for Rel-16 UE features.</w:t>
            </w:r>
          </w:p>
          <w:p w14:paraId="6F111784" w14:textId="373B445D" w:rsidR="0026381F" w:rsidRPr="0026381F" w:rsidRDefault="0026381F" w:rsidP="0026381F">
            <w:pPr>
              <w:rPr>
                <w:sz w:val="22"/>
                <w:lang w:val="en-US"/>
              </w:rPr>
            </w:pPr>
            <w:r w:rsidRPr="0026381F">
              <w:rPr>
                <w:sz w:val="22"/>
                <w:lang w:val="en-US"/>
              </w:rPr>
              <w:t>About converti</w:t>
            </w:r>
            <w:r>
              <w:rPr>
                <w:sz w:val="22"/>
                <w:lang w:val="en-US"/>
              </w:rPr>
              <w:t xml:space="preserve">ng FGs from per-UE to per-band, </w:t>
            </w:r>
            <w:r w:rsidRPr="0026381F">
              <w:rPr>
                <w:sz w:val="22"/>
                <w:lang w:val="en-US"/>
              </w:rPr>
              <w:t>such di</w:t>
            </w:r>
            <w:r>
              <w:rPr>
                <w:sz w:val="22"/>
                <w:lang w:val="en-US"/>
              </w:rPr>
              <w:t xml:space="preserve">fferentiated reporting may only </w:t>
            </w:r>
            <w:r w:rsidRPr="0026381F">
              <w:rPr>
                <w:sz w:val="22"/>
                <w:lang w:val="en-US"/>
              </w:rPr>
              <w:t>matter for a UE that reports supporting both licensed and unlicensed bands.</w:t>
            </w:r>
            <w:r>
              <w:rPr>
                <w:sz w:val="22"/>
                <w:lang w:val="en-US"/>
              </w:rPr>
              <w:t xml:space="preserve"> </w:t>
            </w:r>
            <w:r w:rsidRPr="0026381F">
              <w:rPr>
                <w:sz w:val="22"/>
                <w:lang w:val="en-US"/>
              </w:rPr>
              <w:t>If the technologies and UE implementation complexity</w:t>
            </w:r>
            <w:r>
              <w:rPr>
                <w:sz w:val="22"/>
                <w:lang w:val="en-US"/>
              </w:rPr>
              <w:t xml:space="preserve"> </w:t>
            </w:r>
            <w:r w:rsidRPr="0026381F">
              <w:rPr>
                <w:sz w:val="22"/>
                <w:lang w:val="en-US"/>
              </w:rPr>
              <w:t>for a per-UE reported feature is not differentiated by shared or non-shared spectrum or by the number of supported bands, the IODT does not seem to be a concern and the feature can be supported on all bands supported by the UE. If the market motivates a different timing between licensed and unlicensed band</w:t>
            </w:r>
            <w:r>
              <w:rPr>
                <w:sz w:val="22"/>
                <w:lang w:val="en-US"/>
              </w:rPr>
              <w:t xml:space="preserve"> </w:t>
            </w:r>
            <w:r w:rsidRPr="0026381F">
              <w:rPr>
                <w:sz w:val="22"/>
                <w:lang w:val="en-US"/>
              </w:rPr>
              <w:t>for implementing a</w:t>
            </w:r>
            <w:r>
              <w:rPr>
                <w:sz w:val="22"/>
                <w:lang w:val="en-US"/>
              </w:rPr>
              <w:t xml:space="preserve"> </w:t>
            </w:r>
            <w:r w:rsidRPr="0026381F">
              <w:rPr>
                <w:sz w:val="22"/>
                <w:lang w:val="en-US"/>
              </w:rPr>
              <w:t>feature for a particular type of UE, i.e. the UE is designed only</w:t>
            </w:r>
            <w:r>
              <w:rPr>
                <w:sz w:val="22"/>
                <w:lang w:val="en-US"/>
              </w:rPr>
              <w:t xml:space="preserve"> </w:t>
            </w:r>
            <w:r w:rsidRPr="0026381F">
              <w:rPr>
                <w:sz w:val="22"/>
                <w:lang w:val="en-US"/>
              </w:rPr>
              <w:t>for one or the other such as a standalone unlicensed UE that only supports one unlicensed band, then UE reporting support or not support of</w:t>
            </w:r>
            <w:r>
              <w:rPr>
                <w:sz w:val="22"/>
                <w:lang w:val="en-US"/>
              </w:rPr>
              <w:t xml:space="preserve"> </w:t>
            </w:r>
            <w:r w:rsidRPr="0026381F">
              <w:rPr>
                <w:sz w:val="22"/>
                <w:lang w:val="en-US"/>
              </w:rPr>
              <w:t>the feature can still be reported per-UE.</w:t>
            </w:r>
            <w:r>
              <w:rPr>
                <w:sz w:val="22"/>
                <w:lang w:val="en-US"/>
              </w:rPr>
              <w:t xml:space="preserve"> </w:t>
            </w:r>
            <w:r w:rsidRPr="0026381F">
              <w:rPr>
                <w:sz w:val="22"/>
                <w:lang w:val="en-US"/>
              </w:rPr>
              <w:t>It would be good to discuss</w:t>
            </w:r>
            <w:r>
              <w:rPr>
                <w:sz w:val="22"/>
                <w:lang w:val="en-US"/>
              </w:rPr>
              <w:t xml:space="preserve"> </w:t>
            </w:r>
            <w:r w:rsidRPr="0026381F">
              <w:rPr>
                <w:sz w:val="22"/>
                <w:lang w:val="en-US"/>
              </w:rPr>
              <w:t>case-by-case see which FG(s), if raised, may not be able to apply to NR-U.</w:t>
            </w:r>
          </w:p>
        </w:tc>
      </w:tr>
      <w:tr w:rsidR="007A62FD" w14:paraId="7DF932AB" w14:textId="77777777" w:rsidTr="00C92CA9">
        <w:tc>
          <w:tcPr>
            <w:tcW w:w="1980" w:type="dxa"/>
          </w:tcPr>
          <w:p w14:paraId="4D28DD43" w14:textId="097C9352" w:rsidR="007A62FD" w:rsidRPr="00E35784" w:rsidRDefault="0096072E" w:rsidP="00C92CA9">
            <w:pPr>
              <w:spacing w:after="0"/>
              <w:jc w:val="both"/>
              <w:rPr>
                <w:rFonts w:eastAsia="宋体"/>
                <w:sz w:val="22"/>
                <w:lang w:val="en-US" w:eastAsia="zh-CN"/>
              </w:rPr>
            </w:pPr>
            <w:r>
              <w:rPr>
                <w:rFonts w:eastAsia="宋体"/>
                <w:sz w:val="22"/>
                <w:lang w:val="en-US" w:eastAsia="zh-CN"/>
              </w:rPr>
              <w:t>Qualcomm</w:t>
            </w:r>
          </w:p>
        </w:tc>
        <w:tc>
          <w:tcPr>
            <w:tcW w:w="7982" w:type="dxa"/>
          </w:tcPr>
          <w:p w14:paraId="6C60C832" w14:textId="2B48597D" w:rsidR="0096072E" w:rsidRDefault="0096072E" w:rsidP="00C92CA9">
            <w:pPr>
              <w:spacing w:after="0"/>
              <w:jc w:val="both"/>
              <w:rPr>
                <w:sz w:val="22"/>
                <w:lang w:val="en-US"/>
              </w:rPr>
            </w:pPr>
            <w:r>
              <w:rPr>
                <w:sz w:val="22"/>
                <w:lang w:val="en-US"/>
              </w:rPr>
              <w:t xml:space="preserve">We are open to discussing other options, but so far band dependent capability seemed to be the best available. Yes, it could be discussed if exceptions are needed. </w:t>
            </w:r>
          </w:p>
          <w:p w14:paraId="3FF13561" w14:textId="77777777" w:rsidR="007A62FD" w:rsidRDefault="0096072E" w:rsidP="00C92CA9">
            <w:pPr>
              <w:spacing w:after="0"/>
              <w:jc w:val="both"/>
              <w:rPr>
                <w:sz w:val="22"/>
                <w:lang w:val="en-US"/>
              </w:rPr>
            </w:pPr>
            <w:r>
              <w:rPr>
                <w:sz w:val="22"/>
                <w:lang w:val="en-US"/>
              </w:rPr>
              <w:t xml:space="preserve">Regarding Rel-15, we cannot change the Rel-15 signaling, so yes, a Rel-16 version should be created for the applicable cases.  </w:t>
            </w:r>
          </w:p>
          <w:p w14:paraId="33BD3DD0" w14:textId="2336413C" w:rsidR="0096072E" w:rsidRPr="00131EE6" w:rsidRDefault="0096072E" w:rsidP="00C92CA9">
            <w:pPr>
              <w:spacing w:after="0"/>
              <w:jc w:val="both"/>
              <w:rPr>
                <w:sz w:val="22"/>
                <w:lang w:val="en-US"/>
              </w:rPr>
            </w:pPr>
            <w:r>
              <w:rPr>
                <w:sz w:val="22"/>
                <w:lang w:val="en-US"/>
              </w:rPr>
              <w:t xml:space="preserve">Regarding the UE that supports only standalone unlicensed in a single band, we agree that the proposal is not needed. However, some solution should be found for the other UEs. </w:t>
            </w:r>
          </w:p>
        </w:tc>
      </w:tr>
      <w:tr w:rsidR="007A62FD" w14:paraId="4731570A" w14:textId="77777777" w:rsidTr="00C92CA9">
        <w:trPr>
          <w:trHeight w:val="70"/>
        </w:trPr>
        <w:tc>
          <w:tcPr>
            <w:tcW w:w="1980" w:type="dxa"/>
          </w:tcPr>
          <w:p w14:paraId="5C19CFB8" w14:textId="6E938518" w:rsidR="007A62FD" w:rsidRPr="00131EE6" w:rsidRDefault="00091D23" w:rsidP="00C92CA9">
            <w:pPr>
              <w:spacing w:after="0"/>
              <w:jc w:val="both"/>
              <w:rPr>
                <w:rFonts w:eastAsiaTheme="minorEastAsia"/>
                <w:sz w:val="22"/>
              </w:rPr>
            </w:pPr>
            <w:r>
              <w:rPr>
                <w:rFonts w:eastAsiaTheme="minorEastAsia"/>
                <w:sz w:val="22"/>
              </w:rPr>
              <w:t>Intel</w:t>
            </w:r>
          </w:p>
        </w:tc>
        <w:tc>
          <w:tcPr>
            <w:tcW w:w="7982" w:type="dxa"/>
          </w:tcPr>
          <w:p w14:paraId="0FD8AEEC" w14:textId="45B9D779" w:rsidR="007A62FD" w:rsidRDefault="00893959" w:rsidP="003B738F">
            <w:pPr>
              <w:spacing w:after="0"/>
              <w:jc w:val="both"/>
              <w:rPr>
                <w:sz w:val="22"/>
                <w:lang w:val="en-US"/>
              </w:rPr>
            </w:pPr>
            <w:r>
              <w:rPr>
                <w:sz w:val="22"/>
                <w:lang w:val="en-US"/>
              </w:rPr>
              <w:t>In our view, converting all per-UE features to per-band is too much</w:t>
            </w:r>
            <w:r w:rsidR="003B2A1B">
              <w:rPr>
                <w:sz w:val="22"/>
                <w:lang w:val="en-US"/>
              </w:rPr>
              <w:t xml:space="preserve"> by increasing signaling overhead</w:t>
            </w:r>
            <w:r>
              <w:rPr>
                <w:sz w:val="22"/>
                <w:lang w:val="en-US"/>
              </w:rPr>
              <w:t xml:space="preserve">. Per-UE capability </w:t>
            </w:r>
            <w:r w:rsidR="005863D6">
              <w:rPr>
                <w:sz w:val="22"/>
                <w:lang w:val="en-US"/>
              </w:rPr>
              <w:t>explains baseband capability and there is no need to consider unlicensed operation.</w:t>
            </w:r>
          </w:p>
          <w:p w14:paraId="5D060D7D" w14:textId="77777777" w:rsidR="005863D6" w:rsidRDefault="005863D6" w:rsidP="003B738F">
            <w:pPr>
              <w:spacing w:after="0"/>
              <w:jc w:val="both"/>
              <w:rPr>
                <w:sz w:val="22"/>
                <w:lang w:val="en-US"/>
              </w:rPr>
            </w:pPr>
          </w:p>
          <w:p w14:paraId="65429A96" w14:textId="384276CB" w:rsidR="005863D6" w:rsidRPr="003B738F" w:rsidRDefault="005863D6" w:rsidP="003B738F">
            <w:pPr>
              <w:spacing w:after="0"/>
              <w:jc w:val="both"/>
              <w:rPr>
                <w:sz w:val="22"/>
                <w:lang w:val="en-US"/>
              </w:rPr>
            </w:pPr>
            <w:r>
              <w:rPr>
                <w:sz w:val="22"/>
                <w:lang w:val="en-US"/>
              </w:rPr>
              <w:t xml:space="preserve">If there is any need </w:t>
            </w:r>
            <w:r w:rsidR="003B2A1B">
              <w:rPr>
                <w:sz w:val="22"/>
                <w:lang w:val="en-US"/>
              </w:rPr>
              <w:t xml:space="preserve">to be distinguished, </w:t>
            </w:r>
            <w:r w:rsidR="001E4867">
              <w:rPr>
                <w:sz w:val="22"/>
                <w:lang w:val="en-US"/>
              </w:rPr>
              <w:t xml:space="preserve">we can discuss other option </w:t>
            </w:r>
            <w:r w:rsidR="003B2A1B">
              <w:rPr>
                <w:sz w:val="22"/>
                <w:lang w:val="en-US"/>
              </w:rPr>
              <w:t>(still not prefer</w:t>
            </w:r>
            <w:r w:rsidR="001E4867">
              <w:rPr>
                <w:sz w:val="22"/>
                <w:lang w:val="en-US"/>
              </w:rPr>
              <w:t>red</w:t>
            </w:r>
            <w:r w:rsidR="003B2A1B">
              <w:rPr>
                <w:sz w:val="22"/>
                <w:lang w:val="en-US"/>
              </w:rPr>
              <w:t xml:space="preserve"> though)</w:t>
            </w:r>
            <w:r w:rsidR="001E4867">
              <w:rPr>
                <w:sz w:val="22"/>
                <w:lang w:val="en-US"/>
              </w:rPr>
              <w:t xml:space="preserve"> – e.g. introducing licensed/unlicensed differentiation bit from Rel-16.</w:t>
            </w:r>
          </w:p>
        </w:tc>
      </w:tr>
      <w:tr w:rsidR="00B30458" w14:paraId="4AC493E2" w14:textId="77777777" w:rsidTr="00C92CA9">
        <w:trPr>
          <w:trHeight w:val="70"/>
        </w:trPr>
        <w:tc>
          <w:tcPr>
            <w:tcW w:w="1980" w:type="dxa"/>
          </w:tcPr>
          <w:p w14:paraId="411BED28" w14:textId="1883E220" w:rsidR="00B30458" w:rsidRDefault="00B30458" w:rsidP="00C92CA9">
            <w:pPr>
              <w:jc w:val="both"/>
              <w:rPr>
                <w:rFonts w:eastAsiaTheme="minorEastAsia"/>
                <w:sz w:val="22"/>
              </w:rPr>
            </w:pPr>
            <w:r>
              <w:rPr>
                <w:rFonts w:eastAsiaTheme="minorEastAsia"/>
                <w:sz w:val="22"/>
              </w:rPr>
              <w:t>FUTUREWEI</w:t>
            </w:r>
          </w:p>
        </w:tc>
        <w:tc>
          <w:tcPr>
            <w:tcW w:w="7982" w:type="dxa"/>
          </w:tcPr>
          <w:p w14:paraId="6765E30F" w14:textId="6355AF39" w:rsidR="00B30458" w:rsidRDefault="00B30458" w:rsidP="003B738F">
            <w:pPr>
              <w:jc w:val="both"/>
              <w:rPr>
                <w:sz w:val="22"/>
                <w:lang w:val="en-US"/>
              </w:rPr>
            </w:pPr>
            <w:r>
              <w:rPr>
                <w:sz w:val="22"/>
                <w:lang w:val="en-US"/>
              </w:rPr>
              <w:t>The proposal appears to have a lot of implications. Since it wasn’t in any of the contributions for this meeting and also was proposed after the end of the Prep discussion, our preference is to focus the rest of the April meeting on the other Rel-16 UE features discussions that are ongoing. For the May meeting, companies can take more time to analyze any issues for continuing to report “per UE” for a UE that adds support for unlicensed bands. Given the comments above on overhead with a “blanket” conversion from pre-UE to per-band, it would be better to look at these on a FG-by-FG basis. If there are some FGs that there could be a technical issue, it may be better to just note that those features are not expected to be supported in an unlicensed band.</w:t>
            </w:r>
          </w:p>
        </w:tc>
      </w:tr>
      <w:tr w:rsidR="00C527A5" w14:paraId="6DE505A9" w14:textId="77777777" w:rsidTr="00C92CA9">
        <w:trPr>
          <w:trHeight w:val="70"/>
        </w:trPr>
        <w:tc>
          <w:tcPr>
            <w:tcW w:w="1980" w:type="dxa"/>
          </w:tcPr>
          <w:p w14:paraId="0ED29C1A" w14:textId="50464523" w:rsidR="00C527A5" w:rsidRDefault="00C527A5" w:rsidP="00C92CA9">
            <w:pPr>
              <w:jc w:val="both"/>
              <w:rPr>
                <w:rFonts w:eastAsiaTheme="minorEastAsia"/>
                <w:sz w:val="22"/>
              </w:rPr>
            </w:pPr>
            <w:r>
              <w:rPr>
                <w:rFonts w:eastAsiaTheme="minorEastAsia"/>
                <w:sz w:val="22"/>
              </w:rPr>
              <w:t>Nokia, NSB</w:t>
            </w:r>
          </w:p>
        </w:tc>
        <w:tc>
          <w:tcPr>
            <w:tcW w:w="7982" w:type="dxa"/>
          </w:tcPr>
          <w:p w14:paraId="40BB5628" w14:textId="0AC05CC8" w:rsidR="00C527A5" w:rsidRDefault="00C527A5" w:rsidP="003B738F">
            <w:pPr>
              <w:jc w:val="both"/>
              <w:rPr>
                <w:sz w:val="22"/>
                <w:lang w:val="en-US"/>
              </w:rPr>
            </w:pPr>
            <w:r>
              <w:rPr>
                <w:sz w:val="22"/>
                <w:lang w:val="en-US"/>
              </w:rPr>
              <w:t xml:space="preserve">We agree with the statements above that the proposal has far reaching implications that have not been fully analyzed yet and which would demand substantial attention before </w:t>
            </w:r>
            <w:r>
              <w:rPr>
                <w:sz w:val="22"/>
                <w:lang w:val="en-US"/>
              </w:rPr>
              <w:lastRenderedPageBreak/>
              <w:t xml:space="preserve">they can be further considered. Moreover, this impacts RAN2 significantly and it is not a decision that should be taken by RAN1 alone in our view. The potential impact to Rel-15 signaling is yet another level of complication, with potential to lead to non-negligible overhead in the capability signaling in general, which sounds like an overkill for the purpose stated by the proponents. Hence it is our recommendation we do not pursue further this topic in this meeting. </w:t>
            </w:r>
          </w:p>
        </w:tc>
      </w:tr>
      <w:tr w:rsidR="009C48B0" w14:paraId="32207B76" w14:textId="77777777" w:rsidTr="00C92CA9">
        <w:trPr>
          <w:trHeight w:val="70"/>
        </w:trPr>
        <w:tc>
          <w:tcPr>
            <w:tcW w:w="1980" w:type="dxa"/>
          </w:tcPr>
          <w:p w14:paraId="15831771" w14:textId="727CDCFD" w:rsidR="009C48B0" w:rsidRPr="009C48B0" w:rsidRDefault="009C48B0" w:rsidP="00C92CA9">
            <w:pPr>
              <w:jc w:val="both"/>
              <w:rPr>
                <w:rFonts w:eastAsia="宋体"/>
                <w:sz w:val="22"/>
                <w:lang w:val="en-US" w:eastAsia="zh-CN"/>
              </w:rPr>
            </w:pPr>
            <w:r>
              <w:rPr>
                <w:rFonts w:eastAsia="宋体" w:hint="eastAsia"/>
                <w:sz w:val="22"/>
                <w:lang w:eastAsia="zh-CN"/>
              </w:rPr>
              <w:lastRenderedPageBreak/>
              <w:t>ZTE</w:t>
            </w:r>
            <w:r>
              <w:rPr>
                <w:rFonts w:eastAsia="宋体"/>
                <w:sz w:val="22"/>
                <w:lang w:val="en-US" w:eastAsia="zh-CN"/>
              </w:rPr>
              <w:t>, Sanechips</w:t>
            </w:r>
          </w:p>
        </w:tc>
        <w:tc>
          <w:tcPr>
            <w:tcW w:w="7982" w:type="dxa"/>
          </w:tcPr>
          <w:p w14:paraId="65451C27" w14:textId="1DC3E9BD" w:rsidR="009C48B0" w:rsidRDefault="008C4B54" w:rsidP="008C4B54">
            <w:pPr>
              <w:jc w:val="both"/>
              <w:rPr>
                <w:sz w:val="22"/>
                <w:lang w:val="en-US"/>
              </w:rPr>
            </w:pPr>
            <w:r>
              <w:rPr>
                <w:sz w:val="22"/>
                <w:lang w:val="en-US"/>
              </w:rPr>
              <w:t>I</w:t>
            </w:r>
            <w:r w:rsidRPr="008C4B54">
              <w:rPr>
                <w:sz w:val="22"/>
                <w:lang w:val="en-US"/>
              </w:rPr>
              <w:t xml:space="preserve">t might be ok if the reporting only matters for a UE that supporting both licensed and unlicensed bands. </w:t>
            </w:r>
            <w:r w:rsidR="009E6DD2">
              <w:rPr>
                <w:sz w:val="22"/>
                <w:lang w:val="en-US"/>
              </w:rPr>
              <w:t>We also</w:t>
            </w:r>
            <w:r>
              <w:rPr>
                <w:sz w:val="22"/>
                <w:lang w:val="en-US"/>
              </w:rPr>
              <w:t xml:space="preserve"> think</w:t>
            </w:r>
            <w:r w:rsidRPr="008C4B54">
              <w:rPr>
                <w:sz w:val="22"/>
                <w:lang w:val="en-US"/>
              </w:rPr>
              <w:t xml:space="preserve"> that a case-by-case analysis (on which features could be different for NR and NR-U) should be conducted before we rush to the conclusion.</w:t>
            </w:r>
            <w:r w:rsidR="009E6DD2">
              <w:rPr>
                <w:sz w:val="22"/>
                <w:lang w:val="en-US"/>
              </w:rPr>
              <w:t xml:space="preserve"> </w:t>
            </w:r>
            <w:bookmarkStart w:id="2" w:name="_GoBack"/>
            <w:bookmarkEnd w:id="2"/>
          </w:p>
          <w:p w14:paraId="61270CBC" w14:textId="18937988" w:rsidR="001A3915" w:rsidRDefault="008C4B54" w:rsidP="008C4B54">
            <w:pPr>
              <w:jc w:val="both"/>
              <w:rPr>
                <w:rFonts w:hint="eastAsia"/>
                <w:sz w:val="22"/>
                <w:lang w:val="en-US"/>
              </w:rPr>
            </w:pPr>
            <w:r>
              <w:rPr>
                <w:sz w:val="22"/>
                <w:lang w:val="en-US"/>
              </w:rPr>
              <w:t xml:space="preserve">To avoid any confusion and implications, at least we should say </w:t>
            </w:r>
            <w:r w:rsidRPr="008C4B54">
              <w:rPr>
                <w:sz w:val="22"/>
                <w:lang w:val="en-US"/>
              </w:rPr>
              <w:t xml:space="preserve">"UE that supports only standalone unlicensed in a single band, </w:t>
            </w:r>
            <w:r w:rsidRPr="008C4B54">
              <w:rPr>
                <w:color w:val="FF0000"/>
                <w:sz w:val="22"/>
                <w:lang w:val="en-US"/>
              </w:rPr>
              <w:t>or UE that supports only licensed band</w:t>
            </w:r>
            <w:r w:rsidRPr="008C4B54">
              <w:rPr>
                <w:sz w:val="22"/>
                <w:lang w:val="en-US"/>
              </w:rPr>
              <w:t>, the proposal is not needed"</w:t>
            </w:r>
            <w:r>
              <w:rPr>
                <w:sz w:val="22"/>
                <w:lang w:val="en-US"/>
              </w:rPr>
              <w:t>.</w:t>
            </w:r>
          </w:p>
        </w:tc>
      </w:tr>
    </w:tbl>
    <w:p w14:paraId="3C5F177E" w14:textId="0BFF4625" w:rsidR="00BA5BFF" w:rsidRDefault="00BA5BFF" w:rsidP="00BA5BFF">
      <w:pPr>
        <w:rPr>
          <w:highlight w:val="cyan"/>
        </w:rPr>
      </w:pPr>
    </w:p>
    <w:p w14:paraId="5B32B6F5" w14:textId="77777777" w:rsidR="00BA5BFF" w:rsidRDefault="00BA5BFF" w:rsidP="00BA5BFF">
      <w:pPr>
        <w:rPr>
          <w:highlight w:val="cyan"/>
        </w:rPr>
      </w:pPr>
    </w:p>
    <w:p w14:paraId="5E2B2A48" w14:textId="77777777"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39020218" w14:textId="77777777"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1D1728D0" w14:textId="77777777" w:rsidR="00BA5BFF" w:rsidRPr="00EF5EA0" w:rsidRDefault="00BA5BFF" w:rsidP="00BA5BFF">
      <w:pPr>
        <w:spacing w:afterLines="50" w:after="120"/>
        <w:jc w:val="both"/>
        <w:rPr>
          <w:sz w:val="22"/>
          <w:lang w:val="en-US"/>
        </w:rPr>
      </w:pPr>
    </w:p>
    <w:p w14:paraId="1C858217" w14:textId="77777777" w:rsidR="00BA5BFF" w:rsidRPr="00007CF6" w:rsidRDefault="00BA5BFF" w:rsidP="00BA5BFF">
      <w:pPr>
        <w:rPr>
          <w:sz w:val="22"/>
          <w:lang w:val="en-US"/>
        </w:rPr>
      </w:pPr>
    </w:p>
    <w:p w14:paraId="48DC6D9E" w14:textId="77777777" w:rsidR="00BA5BFF" w:rsidRPr="00EE092A" w:rsidRDefault="00BA5BFF" w:rsidP="00BA5BFF">
      <w:pPr>
        <w:pStyle w:val="Heading1"/>
        <w:spacing w:before="180" w:after="120"/>
        <w:rPr>
          <w:rFonts w:eastAsia="MS Mincho"/>
          <w:b/>
          <w:bCs/>
          <w:szCs w:val="24"/>
          <w:lang w:val="en-US"/>
        </w:rPr>
      </w:pPr>
      <w:r w:rsidRPr="00EE092A">
        <w:rPr>
          <w:rFonts w:eastAsia="MS Mincho"/>
          <w:b/>
          <w:bCs/>
          <w:szCs w:val="24"/>
          <w:lang w:val="en-US"/>
        </w:rPr>
        <w:t>References</w:t>
      </w:r>
    </w:p>
    <w:p w14:paraId="4B662841" w14:textId="77777777" w:rsidR="00BA5BFF" w:rsidRDefault="00BA5BFF" w:rsidP="00BA5BFF">
      <w:pPr>
        <w:spacing w:afterLines="50" w:after="120"/>
        <w:jc w:val="both"/>
        <w:rPr>
          <w:rFonts w:eastAsia="MS Mincho"/>
          <w:sz w:val="22"/>
        </w:rPr>
      </w:pPr>
      <w:r>
        <w:rPr>
          <w:rFonts w:eastAsia="MS Mincho" w:hint="eastAsia"/>
          <w:sz w:val="22"/>
        </w:rPr>
        <w:t>[1]</w:t>
      </w:r>
      <w:r>
        <w:rPr>
          <w:rFonts w:eastAsia="MS Mincho"/>
          <w:sz w:val="22"/>
        </w:rPr>
        <w:tab/>
        <w:t>R1-2001484</w:t>
      </w:r>
      <w:r>
        <w:rPr>
          <w:rFonts w:eastAsia="MS Mincho"/>
          <w:sz w:val="22"/>
        </w:rPr>
        <w:tab/>
      </w:r>
      <w:r w:rsidRPr="00F8330C">
        <w:rPr>
          <w:rFonts w:eastAsia="MS Mincho"/>
          <w:sz w:val="22"/>
        </w:rPr>
        <w:t>RAN1 UE features list for Rel-16 NR after RAN1#100-E</w:t>
      </w:r>
      <w:r>
        <w:rPr>
          <w:rFonts w:eastAsia="MS Mincho"/>
          <w:sz w:val="22"/>
        </w:rPr>
        <w:tab/>
      </w:r>
      <w:r w:rsidRPr="004C3CE1">
        <w:rPr>
          <w:rFonts w:eastAsia="MS Mincho"/>
          <w:sz w:val="22"/>
        </w:rPr>
        <w:t>Moderator (AT&amp;T, NTT DOCOMO, INC.)</w:t>
      </w:r>
    </w:p>
    <w:p w14:paraId="292327FF" w14:textId="77777777" w:rsidR="00BA5BFF" w:rsidRPr="00E42532" w:rsidRDefault="00BA5BFF" w:rsidP="00BA5BFF">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44C22812" w14:textId="77777777" w:rsidR="00BA5BFF" w:rsidRPr="00E42532" w:rsidRDefault="00BA5BFF" w:rsidP="00BA5BFF">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67880A7C" w14:textId="77777777" w:rsidR="00BA5BFF" w:rsidRPr="00E42532" w:rsidRDefault="00BA5BFF" w:rsidP="00BA5BFF">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69072FFB" w14:textId="77777777" w:rsidR="00BA5BFF" w:rsidRPr="00E42532" w:rsidRDefault="00BA5BFF" w:rsidP="00BA5BFF">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53C89077" w14:textId="77777777" w:rsidR="00BA5BFF" w:rsidRDefault="00BA5BFF" w:rsidP="00BA5BFF">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505B0EBB" w14:textId="77777777" w:rsidR="00BA5BFF" w:rsidRPr="00E42532" w:rsidRDefault="00BA5BFF" w:rsidP="00BA5BFF">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t>Futurewei</w:t>
      </w:r>
    </w:p>
    <w:p w14:paraId="5050EC2E" w14:textId="77777777" w:rsidR="00BA5BFF" w:rsidRPr="00E42532" w:rsidRDefault="00BA5BFF" w:rsidP="00BA5BFF">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4B818F28" w14:textId="77777777" w:rsidR="00BA5BFF" w:rsidRDefault="00BA5BFF" w:rsidP="00BA5BFF">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445DC154" w14:textId="77777777" w:rsidR="00BA5BFF" w:rsidRDefault="00BA5BFF" w:rsidP="00BA5BFF">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BA5BFF" w:rsidSect="00BA5BFF">
      <w:footerReference w:type="default" r:id="rId13"/>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CE55C" w14:textId="77777777" w:rsidR="002C66C8" w:rsidRDefault="002C66C8">
      <w:r>
        <w:separator/>
      </w:r>
    </w:p>
  </w:endnote>
  <w:endnote w:type="continuationSeparator" w:id="0">
    <w:p w14:paraId="7AE7628A" w14:textId="77777777" w:rsidR="002C66C8" w:rsidRDefault="002C66C8">
      <w:r>
        <w:continuationSeparator/>
      </w:r>
    </w:p>
  </w:endnote>
  <w:endnote w:type="continuationNotice" w:id="1">
    <w:p w14:paraId="654A12EB" w14:textId="77777777" w:rsidR="002C66C8" w:rsidRDefault="002C6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093A11B" w:rsidR="00F12E64" w:rsidRPr="00000924" w:rsidRDefault="00F12E64">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B13320">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B13320">
      <w:rPr>
        <w:rStyle w:val="PageNumber"/>
        <w:rFonts w:eastAsia="MS Gothic"/>
        <w:noProof/>
      </w:rPr>
      <w:t>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FC7FD" w14:textId="77777777" w:rsidR="002C66C8" w:rsidRDefault="002C66C8">
      <w:r>
        <w:separator/>
      </w:r>
    </w:p>
  </w:footnote>
  <w:footnote w:type="continuationSeparator" w:id="0">
    <w:p w14:paraId="6791C757" w14:textId="77777777" w:rsidR="002C66C8" w:rsidRDefault="002C66C8">
      <w:r>
        <w:continuationSeparator/>
      </w:r>
    </w:p>
  </w:footnote>
  <w:footnote w:type="continuationNotice" w:id="1">
    <w:p w14:paraId="3AFE3EE1" w14:textId="77777777" w:rsidR="002C66C8" w:rsidRDefault="002C66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EA60F14"/>
    <w:multiLevelType w:val="hybridMultilevel"/>
    <w:tmpl w:val="7FBE32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D55632"/>
    <w:multiLevelType w:val="hybridMultilevel"/>
    <w:tmpl w:val="055630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6"/>
  </w:num>
  <w:num w:numId="2">
    <w:abstractNumId w:val="20"/>
  </w:num>
  <w:num w:numId="3">
    <w:abstractNumId w:val="44"/>
  </w:num>
  <w:num w:numId="4">
    <w:abstractNumId w:val="29"/>
  </w:num>
  <w:num w:numId="5">
    <w:abstractNumId w:val="8"/>
  </w:num>
  <w:num w:numId="6">
    <w:abstractNumId w:val="16"/>
  </w:num>
  <w:num w:numId="7">
    <w:abstractNumId w:val="24"/>
  </w:num>
  <w:num w:numId="8">
    <w:abstractNumId w:val="27"/>
  </w:num>
  <w:num w:numId="9">
    <w:abstractNumId w:val="40"/>
  </w:num>
  <w:num w:numId="10">
    <w:abstractNumId w:val="2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2"/>
  </w:num>
  <w:num w:numId="18">
    <w:abstractNumId w:val="26"/>
  </w:num>
  <w:num w:numId="19">
    <w:abstractNumId w:val="21"/>
  </w:num>
  <w:num w:numId="20">
    <w:abstractNumId w:val="4"/>
  </w:num>
  <w:num w:numId="21">
    <w:abstractNumId w:val="5"/>
  </w:num>
  <w:num w:numId="22">
    <w:abstractNumId w:val="23"/>
  </w:num>
  <w:num w:numId="23">
    <w:abstractNumId w:val="7"/>
  </w:num>
  <w:num w:numId="24">
    <w:abstractNumId w:val="31"/>
  </w:num>
  <w:num w:numId="25">
    <w:abstractNumId w:val="0"/>
  </w:num>
  <w:num w:numId="26">
    <w:abstractNumId w:val="17"/>
  </w:num>
  <w:num w:numId="27">
    <w:abstractNumId w:val="45"/>
  </w:num>
  <w:num w:numId="28">
    <w:abstractNumId w:val="42"/>
  </w:num>
  <w:num w:numId="29">
    <w:abstractNumId w:val="33"/>
  </w:num>
  <w:num w:numId="30">
    <w:abstractNumId w:val="11"/>
  </w:num>
  <w:num w:numId="31">
    <w:abstractNumId w:val="6"/>
  </w:num>
  <w:num w:numId="32">
    <w:abstractNumId w:val="19"/>
  </w:num>
  <w:num w:numId="33">
    <w:abstractNumId w:val="6"/>
  </w:num>
  <w:num w:numId="34">
    <w:abstractNumId w:val="28"/>
  </w:num>
  <w:num w:numId="35">
    <w:abstractNumId w:val="38"/>
  </w:num>
  <w:num w:numId="36">
    <w:abstractNumId w:val="3"/>
  </w:num>
  <w:num w:numId="37">
    <w:abstractNumId w:val="39"/>
  </w:num>
  <w:num w:numId="38">
    <w:abstractNumId w:val="13"/>
  </w:num>
  <w:num w:numId="39">
    <w:abstractNumId w:val="12"/>
  </w:num>
  <w:num w:numId="40">
    <w:abstractNumId w:val="30"/>
  </w:num>
  <w:num w:numId="41">
    <w:abstractNumId w:val="18"/>
  </w:num>
  <w:num w:numId="42">
    <w:abstractNumId w:val="43"/>
  </w:num>
  <w:num w:numId="43">
    <w:abstractNumId w:val="34"/>
  </w:num>
  <w:num w:numId="44">
    <w:abstractNumId w:val="37"/>
  </w:num>
  <w:num w:numId="45">
    <w:abstractNumId w:val="10"/>
  </w:num>
  <w:num w:numId="46">
    <w:abstractNumId w:val="41"/>
  </w:num>
  <w:num w:numId="47">
    <w:abstractNumId w:val="22"/>
  </w:num>
  <w:num w:numId="48">
    <w:abstractNumId w:val="35"/>
  </w:num>
  <w:num w:numId="49">
    <w:abstractNumId w:val="15"/>
  </w:num>
  <w:num w:numId="5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1D23"/>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8D8"/>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915"/>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867"/>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1CBA"/>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81F"/>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A3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6C8"/>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A1B"/>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38F"/>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3D6"/>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303"/>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8B6"/>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2FD"/>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439"/>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CF2"/>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3959"/>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B54"/>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72E"/>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8B2"/>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8B0"/>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DD2"/>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0D"/>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320"/>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458"/>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BFF"/>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A5"/>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2A"/>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114"/>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3D8"/>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6B"/>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FF"/>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372191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47198001">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8ABB-99C7-4657-9CC1-AADB3F1CD007}">
  <ds:schemaRefs>
    <ds:schemaRef ds:uri="Microsoft.SharePoint.Taxonomy.ContentTypeSync"/>
  </ds:schemaRefs>
</ds:datastoreItem>
</file>

<file path=customXml/itemProps2.xml><?xml version="1.0" encoding="utf-8"?>
<ds:datastoreItem xmlns:ds="http://schemas.openxmlformats.org/officeDocument/2006/customXml" ds:itemID="{C5E6AB2A-4FC3-45CD-A8FF-5584BB377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1264D88-CAF9-4C28-A8EB-460A925FFA77}">
  <ds:schemaRefs>
    <ds:schemaRef ds:uri="http://schemas.microsoft.com/sharepoint/events"/>
  </ds:schemaRefs>
</ds:datastoreItem>
</file>

<file path=customXml/itemProps6.xml><?xml version="1.0" encoding="utf-8"?>
<ds:datastoreItem xmlns:ds="http://schemas.openxmlformats.org/officeDocument/2006/customXml" ds:itemID="{F2D8E919-A998-4FD3-8595-49684198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6671</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ZTE</cp:lastModifiedBy>
  <cp:revision>2</cp:revision>
  <cp:lastPrinted>2017-08-09T04:40:00Z</cp:lastPrinted>
  <dcterms:created xsi:type="dcterms:W3CDTF">2020-04-30T01:02:00Z</dcterms:created>
  <dcterms:modified xsi:type="dcterms:W3CDTF">2020-04-30T01:02:00Z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2015_ms_pID_725343">
    <vt:lpwstr>(3)gSqXg2DRlWWcRR10rPlpmtKAIMgtM6x0dmhUoYJnspdGm7cZyqJD2/b0qrBNtt0FipK2MWBW
zW150jS2KWLepWy0oUTvpQN9TeFlo0+oSbp2uR/gpqWbDwnxII35nA8CSeCrX+7tpJxcefes
HYmQI0OLqewlbGcv3BCa2ZK0jl9UZIvY+rlYbaHo4OfQcNw8FgrJ590XxZQ7pHybCDeOEKDP
zb8JjVA9SwSu9rpxvy</vt:lpwstr>
  </property>
  <property fmtid="{D5CDD505-2E9C-101B-9397-08002B2CF9AE}" pid="4" name="_2015_ms_pID_7253431">
    <vt:lpwstr>66iE35pxpY9E811kWYHOfeS6ZlJzQ56QNbVWxWvZYfBpp67ovUamuj
FNizJeyTovwpiyXmseQ2wv5H40WHuTXUumeq2pssqS6LQ+JH4Q7h3eQ/cBToMcpfZQcUw+YP
bv3QJrNXC6tZV2y7QzLx+MI3Kp7P3grGkBBfMXqhJjy2CS7r7QIf3+oZ0yOerGL6Wg4eRpiC
byMmO/VNWNIRilxzkA6SmaqoI2rtlqvwLyhe</vt:lpwstr>
  </property>
  <property fmtid="{D5CDD505-2E9C-101B-9397-08002B2CF9AE}" pid="5" name="_2015_ms_pID_7253432">
    <vt:lpwstr>iQ==</vt:lpwstr>
  </property>
</Properties>
</file>