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w:t>
            </w:r>
            <w:proofErr w:type="spellStart"/>
            <w:r w:rsidRPr="00BA5BFF">
              <w:rPr>
                <w:rFonts w:ascii="Calibri" w:eastAsia="MS PGothic" w:hAnsi="Calibri" w:cs="Calibri"/>
                <w:sz w:val="22"/>
                <w:szCs w:val="22"/>
                <w:highlight w:val="yellow"/>
                <w:lang w:val="en-US"/>
              </w:rPr>
              <w:t>mTRP</w:t>
            </w:r>
            <w:proofErr w:type="spellEnd"/>
            <w:r w:rsidRPr="00BA5BFF">
              <w:rPr>
                <w:rFonts w:ascii="Calibri" w:eastAsia="MS PGothic" w:hAnsi="Calibri" w:cs="Calibri"/>
                <w:sz w:val="22"/>
                <w:szCs w:val="22"/>
                <w:highlight w:val="yellow"/>
                <w:lang w:val="en-US"/>
              </w:rPr>
              <w:t xml:space="preserve">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t>
            </w:r>
            <w:proofErr w:type="gramStart"/>
            <w:r w:rsidRPr="00BA5BFF">
              <w:rPr>
                <w:rFonts w:ascii="Calibri" w:eastAsia="MS PGothic" w:hAnsi="Calibri" w:cs="Calibri"/>
                <w:sz w:val="22"/>
                <w:szCs w:val="22"/>
                <w:lang w:val="en-US"/>
              </w:rPr>
              <w:t>whether or not</w:t>
            </w:r>
            <w:proofErr w:type="gramEnd"/>
            <w:r w:rsidRPr="00BA5BFF">
              <w:rPr>
                <w:rFonts w:ascii="Calibri" w:eastAsia="MS PGothic" w:hAnsi="Calibri" w:cs="Calibri"/>
                <w:sz w:val="22"/>
                <w:szCs w:val="22"/>
                <w:lang w:val="en-US"/>
              </w:rPr>
              <w:t xml:space="preserve">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bookmarkStart w:id="2" w:name="_GoBack"/>
            <w:bookmarkEnd w:id="2"/>
          </w:p>
        </w:tc>
      </w:tr>
      <w:tr w:rsidR="007A62FD" w14:paraId="7DC0166A" w14:textId="77777777" w:rsidTr="00C92CA9">
        <w:tc>
          <w:tcPr>
            <w:tcW w:w="1980" w:type="dxa"/>
          </w:tcPr>
          <w:p w14:paraId="503DD494" w14:textId="77777777" w:rsidR="007A62FD" w:rsidRDefault="007A62FD" w:rsidP="00C92CA9">
            <w:pPr>
              <w:spacing w:after="0"/>
              <w:jc w:val="both"/>
              <w:rPr>
                <w:sz w:val="22"/>
                <w:lang w:val="en-US"/>
              </w:rPr>
            </w:pPr>
          </w:p>
        </w:tc>
        <w:tc>
          <w:tcPr>
            <w:tcW w:w="7982" w:type="dxa"/>
          </w:tcPr>
          <w:p w14:paraId="6F111784" w14:textId="77777777" w:rsidR="007A62FD" w:rsidRPr="003B738F" w:rsidRDefault="007A62FD" w:rsidP="003B738F">
            <w:pPr>
              <w:spacing w:after="0"/>
              <w:jc w:val="both"/>
              <w:rPr>
                <w:sz w:val="22"/>
                <w:lang w:val="en-US"/>
              </w:rPr>
            </w:pPr>
          </w:p>
        </w:tc>
      </w:tr>
      <w:tr w:rsidR="007A62FD" w14:paraId="7DF932AB" w14:textId="77777777" w:rsidTr="00C92CA9">
        <w:tc>
          <w:tcPr>
            <w:tcW w:w="1980" w:type="dxa"/>
          </w:tcPr>
          <w:p w14:paraId="4D28DD43" w14:textId="77777777" w:rsidR="007A62FD" w:rsidRPr="00E35784" w:rsidRDefault="007A62FD" w:rsidP="00C92CA9">
            <w:pPr>
              <w:spacing w:after="0"/>
              <w:jc w:val="both"/>
              <w:rPr>
                <w:rFonts w:eastAsia="SimSun"/>
                <w:sz w:val="22"/>
                <w:lang w:val="en-US" w:eastAsia="zh-CN"/>
              </w:rPr>
            </w:pPr>
          </w:p>
        </w:tc>
        <w:tc>
          <w:tcPr>
            <w:tcW w:w="7982" w:type="dxa"/>
          </w:tcPr>
          <w:p w14:paraId="33BD3DD0" w14:textId="77777777" w:rsidR="007A62FD" w:rsidRPr="00131EE6" w:rsidRDefault="007A62FD" w:rsidP="00C92CA9">
            <w:pPr>
              <w:spacing w:after="0"/>
              <w:jc w:val="both"/>
              <w:rPr>
                <w:sz w:val="22"/>
                <w:lang w:val="en-US"/>
              </w:rPr>
            </w:pPr>
          </w:p>
        </w:tc>
      </w:tr>
      <w:tr w:rsidR="007A62FD" w14:paraId="4731570A" w14:textId="77777777" w:rsidTr="00C92CA9">
        <w:trPr>
          <w:trHeight w:val="70"/>
        </w:trPr>
        <w:tc>
          <w:tcPr>
            <w:tcW w:w="1980" w:type="dxa"/>
          </w:tcPr>
          <w:p w14:paraId="5C19CFB8" w14:textId="77777777" w:rsidR="007A62FD" w:rsidRPr="00131EE6" w:rsidRDefault="007A62FD" w:rsidP="00C92CA9">
            <w:pPr>
              <w:spacing w:after="0"/>
              <w:jc w:val="both"/>
              <w:rPr>
                <w:rFonts w:eastAsiaTheme="minorEastAsia"/>
                <w:sz w:val="22"/>
              </w:rPr>
            </w:pPr>
          </w:p>
        </w:tc>
        <w:tc>
          <w:tcPr>
            <w:tcW w:w="7982" w:type="dxa"/>
          </w:tcPr>
          <w:p w14:paraId="65429A96" w14:textId="77777777" w:rsidR="007A62FD" w:rsidRPr="003B738F" w:rsidRDefault="007A62FD" w:rsidP="003B738F">
            <w:pPr>
              <w:spacing w:after="0"/>
              <w:jc w:val="both"/>
              <w:rPr>
                <w:sz w:val="22"/>
                <w:lang w:val="en-US"/>
              </w:rPr>
            </w:pP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A842E" w14:textId="77777777" w:rsidR="00D4092A" w:rsidRDefault="00D4092A">
      <w:r>
        <w:separator/>
      </w:r>
    </w:p>
  </w:endnote>
  <w:endnote w:type="continuationSeparator" w:id="0">
    <w:p w14:paraId="260AC962" w14:textId="77777777" w:rsidR="00D4092A" w:rsidRDefault="00D4092A">
      <w:r>
        <w:continuationSeparator/>
      </w:r>
    </w:p>
  </w:endnote>
  <w:endnote w:type="continuationNotice" w:id="1">
    <w:p w14:paraId="55FB1A9A" w14:textId="77777777" w:rsidR="00D4092A" w:rsidRDefault="00D40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16</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559F" w14:textId="77777777" w:rsidR="00D4092A" w:rsidRDefault="00D4092A">
      <w:r>
        <w:separator/>
      </w:r>
    </w:p>
  </w:footnote>
  <w:footnote w:type="continuationSeparator" w:id="0">
    <w:p w14:paraId="5E9C9FD4" w14:textId="77777777" w:rsidR="00D4092A" w:rsidRDefault="00D4092A">
      <w:r>
        <w:continuationSeparator/>
      </w:r>
    </w:p>
  </w:footnote>
  <w:footnote w:type="continuationNotice" w:id="1">
    <w:p w14:paraId="259A5B94" w14:textId="77777777" w:rsidR="00D4092A" w:rsidRDefault="00D40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3"/>
  </w:num>
  <w:num w:numId="4">
    <w:abstractNumId w:val="28"/>
  </w:num>
  <w:num w:numId="5">
    <w:abstractNumId w:val="8"/>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1"/>
  </w:num>
  <w:num w:numId="18">
    <w:abstractNumId w:val="25"/>
  </w:num>
  <w:num w:numId="19">
    <w:abstractNumId w:val="20"/>
  </w:num>
  <w:num w:numId="20">
    <w:abstractNumId w:val="4"/>
  </w:num>
  <w:num w:numId="21">
    <w:abstractNumId w:val="5"/>
  </w:num>
  <w:num w:numId="22">
    <w:abstractNumId w:val="22"/>
  </w:num>
  <w:num w:numId="23">
    <w:abstractNumId w:val="7"/>
  </w:num>
  <w:num w:numId="24">
    <w:abstractNumId w:val="30"/>
  </w:num>
  <w:num w:numId="25">
    <w:abstractNumId w:val="0"/>
  </w:num>
  <w:num w:numId="26">
    <w:abstractNumId w:val="16"/>
  </w:num>
  <w:num w:numId="27">
    <w:abstractNumId w:val="44"/>
  </w:num>
  <w:num w:numId="28">
    <w:abstractNumId w:val="41"/>
  </w:num>
  <w:num w:numId="29">
    <w:abstractNumId w:val="32"/>
  </w:num>
  <w:num w:numId="30">
    <w:abstractNumId w:val="11"/>
  </w:num>
  <w:num w:numId="31">
    <w:abstractNumId w:val="6"/>
  </w:num>
  <w:num w:numId="32">
    <w:abstractNumId w:val="18"/>
  </w:num>
  <w:num w:numId="33">
    <w:abstractNumId w:val="6"/>
  </w:num>
  <w:num w:numId="34">
    <w:abstractNumId w:val="27"/>
  </w:num>
  <w:num w:numId="35">
    <w:abstractNumId w:val="37"/>
  </w:num>
  <w:num w:numId="36">
    <w:abstractNumId w:val="3"/>
  </w:num>
  <w:num w:numId="37">
    <w:abstractNumId w:val="38"/>
  </w:num>
  <w:num w:numId="38">
    <w:abstractNumId w:val="13"/>
  </w:num>
  <w:num w:numId="39">
    <w:abstractNumId w:val="12"/>
  </w:num>
  <w:num w:numId="40">
    <w:abstractNumId w:val="29"/>
  </w:num>
  <w:num w:numId="41">
    <w:abstractNumId w:val="17"/>
  </w:num>
  <w:num w:numId="42">
    <w:abstractNumId w:val="42"/>
  </w:num>
  <w:num w:numId="43">
    <w:abstractNumId w:val="33"/>
  </w:num>
  <w:num w:numId="44">
    <w:abstractNumId w:val="36"/>
  </w:num>
  <w:num w:numId="45">
    <w:abstractNumId w:val="10"/>
  </w:num>
  <w:num w:numId="46">
    <w:abstractNumId w:val="40"/>
  </w:num>
  <w:num w:numId="47">
    <w:abstractNumId w:val="21"/>
  </w:num>
  <w:num w:numId="48">
    <w:abstractNumId w:val="34"/>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985EBC65-6253-41AC-B242-2A4627DF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Asbjörn Grövlen</cp:lastModifiedBy>
  <cp:revision>3</cp:revision>
  <cp:lastPrinted>2017-08-09T04:40:00Z</cp:lastPrinted>
  <dcterms:created xsi:type="dcterms:W3CDTF">2020-04-27T12:54:00Z</dcterms:created>
  <dcterms:modified xsi:type="dcterms:W3CDTF">2020-04-27T12:56:00Z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