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CB41F0" w14:textId="315FB2C5" w:rsidR="00531B7F" w:rsidRPr="000E284C" w:rsidRDefault="00531B7F" w:rsidP="00531B7F">
      <w:pPr>
        <w:pStyle w:val="Header"/>
        <w:tabs>
          <w:tab w:val="center" w:pos="4536"/>
          <w:tab w:val="right" w:pos="9356"/>
          <w:tab w:val="right" w:pos="9781"/>
        </w:tabs>
        <w:ind w:right="-58"/>
        <w:rPr>
          <w:rFonts w:cs="Arial"/>
          <w:bCs/>
          <w:sz w:val="28"/>
          <w:szCs w:val="24"/>
          <w:lang w:eastAsia="zh-TW"/>
        </w:rPr>
      </w:pPr>
      <w:r w:rsidRPr="006517D0">
        <w:rPr>
          <w:rFonts w:eastAsia="MS Mincho" w:cs="Arial"/>
          <w:bCs/>
          <w:sz w:val="28"/>
          <w:szCs w:val="24"/>
          <w:lang w:eastAsia="ko-KR"/>
        </w:rPr>
        <mc:AlternateContent>
          <mc:Choice Requires="wps">
            <w:drawing>
              <wp:anchor distT="0" distB="0" distL="114300" distR="114300" simplePos="0" relativeHeight="251659264" behindDoc="0" locked="1" layoutInCell="0" allowOverlap="1" wp14:anchorId="61E83ED6" wp14:editId="25BF7BF6">
                <wp:simplePos x="0" y="0"/>
                <wp:positionH relativeFrom="page">
                  <wp:posOffset>0</wp:posOffset>
                </wp:positionH>
                <wp:positionV relativeFrom="page">
                  <wp:posOffset>0</wp:posOffset>
                </wp:positionV>
                <wp:extent cx="635" cy="635"/>
                <wp:effectExtent l="0" t="0" r="0" b="0"/>
                <wp:wrapNone/>
                <wp:docPr id="48" name="DtsShapeName"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5" cy="635"/>
                        </a:xfrm>
                        <a:custGeom>
                          <a:avLst/>
                          <a:gdLst>
                            <a:gd name="T0" fmla="*/ 10860 w 21600"/>
                            <a:gd name="T1" fmla="*/ 2187 h 21600"/>
                            <a:gd name="T2" fmla="*/ 2928 w 21600"/>
                            <a:gd name="T3" fmla="*/ 10800 h 21600"/>
                            <a:gd name="T4" fmla="*/ 10860 w 21600"/>
                            <a:gd name="T5" fmla="*/ 21600 h 21600"/>
                            <a:gd name="T6" fmla="*/ 18672 w 21600"/>
                            <a:gd name="T7" fmla="*/ 10800 h 21600"/>
                            <a:gd name="T8" fmla="*/ 17694720 60000 65536"/>
                            <a:gd name="T9" fmla="*/ 11796480 60000 65536"/>
                            <a:gd name="T10" fmla="*/ 5898240 60000 65536"/>
                            <a:gd name="T11" fmla="*/ 0 60000 65536"/>
                            <a:gd name="T12" fmla="*/ 5037 w 21600"/>
                            <a:gd name="T13" fmla="*/ 2277 h 21600"/>
                            <a:gd name="T14" fmla="*/ 16557 w 21600"/>
                            <a:gd name="T15" fmla="*/ 13677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shape w14:anchorId="0CED6A5B" id="DtsShapeName" o:spid="_x0000_s1026" alt="E15342G@835955749B6E11EC749357G609;;=683@CYV41043!!!!!!BIHO@]v41043!!!!@7G01C71102E29E17G3S0,18yyyy!It`vdh!Bnoushctuhno!Udlqm`ud/enb!!!!!!!!!!!!!!!!!!!!!!!!!!!!!!!!!!!!!!!!!!!!!!!!!!!!!!!!!!!!!!!!!!!!!!!!!!!!!!!!!!!!!!!!!!!!!!!!!!!!!!!!!!!!!!!!!!!!!!!!!!!!!!!!!!!!!!!!!!!!!!!!!!!!!!!!!!!!!!!!!!!!!!!!!!!!!!!!!!!!!!!!!!!!!!!!!!!!!!!!!!!!!!!!!!!!!!!!!!!!!!!!!!!!!!!!!!!!!!!!!!!!!!!!!!!!!!!!!!!!!!!!!!!!!!!!!!!!!!!!!!!!!!!!!!!!!!!!!!!!!!!!!!!!!!!!!!!!!!!!!!!!!!!!!!!!!!!!!!!!!!!!!!!!!!!!!!!!!!!!!!!!!!!!!!!!!!!!!!!!!!!!!!!!!!!!!!!!!!!!!!!!!!!!!!!!!!!!!!!!!!!!!!!!!!!!!!!!!!!!!!!!!!!!!!!!!!!!!!!!!!!!!!!!!!!!!!!!!!!!!!!!!!!!!!!!!!!!!!!!!!!!!!!!!!!!!!!!!!!!!!!!!!!!!!!!!!!!!!!!!!!!!!!!!!!!!!!!!!!!!!!!!!!!!!!!!!!!!!!!!!!!!!!!!!!!!!!!!!!!!!!!!!!!!!!!!!!!!!!!!!!!!!!!!!!!!!!!!!!!!!!!!!!!!!!!!!!!!!!!!!!!!!!!!!!!!!!!!!!!!!!!!!!!!!!!!!!!!!!!!!!!!!!!!!!!!!!!!!!!!!!!!!!!!!!!!!!!!!!!!!!!!!!!!!!!!!!!!!!!!!!!!!!!!!!!!!!!!!!!!!!!!!!!!!!!!!!!!!!!!!!!!!!!!!!!!!!!!!!!!!!!!!!!!!!!!!!!!!!!!!!!!!!!!!!!!!!!!!!!!!!!!!!!!!!!!!!!!!!!!!!!!!!!!!!!!!!!!!!!!!!!!!!!!!!!!!!!!!!!!!!!!!!!!!!!!!!!!!!!!!!!!!!!!!!!!!!!!!!!!!!!!!!!!!!!!!!!!!!!!!!!!!!!!!!!!!!!!!!!!!!!!!!!!!!!!!!!!!!!!!!!!!!!!!!!!!!!!!!!!!!!!!!!!!!!!!!!!!!!!!!!!!!!!!!!!!!!!!!!!!!!!!!!!!!!!!!!!!!!!!!!!!!!!!!!!!!!!!!!!!!!!!!!!!!!!!!!!!!!!!!!!!!!!!!!!!!!!!!!!!!!!!!!!!!!!!!!!!!!!!!!!!!!!!!!!!!!!!!!!!!!!!!!!!!!!!!!!!!!!!!!!!!!!!!!!!!!!!!!!!!!!!!!!!!!!!!!!!!!!!!!!!!!!!!!!!!!!!!!!!!!!!!!!!!!!!!!!!!!!!!!!!!!!!!!!!!!!!!!!!!!!!!!!!!!!!!!!!!!!!!!!!!!!!!!!!!!!!!!!!!!!!!!!!!!!!!!!!!!!!!!!!!!!!!!!!!!!!!!!!!!!!!!!!!!!!!!!!!!!!!!!!!!!!!!!!!!!!!!!!!!!!!!!!!!!!!!!!!!!!!!!!!!!!!!!!!!!!!!!!!!!!!!!!!!!!!!!!!!!!!!!!!!!!!!!!!!!!!!!!!!!!!!!!!!!!!!!!!!!!!!!!!!!!!!!!!!!!!!!!!!!!!!!!!!!!!!!!!!!!!!!!!!!!!!!!!!!!!!!!!!!!!!!!!!!!!!!!!!!!!!!!!!!!!!!!!!!!!!!!!!!!!!!!!!!!!!!!!!!!!!!!!!!!!!!!!!!!!!!!!!!!!!!!!!!!!!!!!!!!!!!!!!!!!!!!!!!!!!!!!!!!!!!!!!!!!!!!!!!!!!!!!!!!!!!!!!!!!!!!!!!!!!!!!!!!!!!!!!!!!!!!!!!!!!!!!!!!!!!!!!!!!!!!!!!!!!!!!!!!!!!!!!!!!!!!!!!!!!!!!!!!!!!!!!!!!!!!!!!!!!!!!!!!!!!!!!!!!!!!!!!!!!!!!!!!!!!!!!!!!!!!!!!!!!!!!!!!!!!!!!!!!!!!!!!!!!!!!!!!!!!!!!!!!!!!!!!!!!!!!!!!!!!!!!!!!!!!!!!!!!!!!!!!!!!!!!!!!!!!!!!!!!!!!!!!!!!!!!!!!!!!!!!!!!!!!!!!!!!!!!!!!!!!!!!!!!!!!!!!!!!!!!!!!!!!!!!!!!!!!!!!!!!!!!!!!!!!!!!!!!!!!!!!!!!!!!!!!!!!!!!!!!!!!!!!!!!!!!!!!!!!!!!!!!!!!!!!!!!!!!!!!!!!!!!!!!!!!!!!!!!!!!!!!!!!!!!!!!!!!!!!!!!!!!!!!!!!!!!!!!!!!!!!!!!!!!!!!!!!!!!!!!!!!!!!!!!!!!!!!!!!!!!!!!!!!!!!!!!!!!!!!!!!!!!!!!!!!!!!!!!!!!!!!!!!!!!!!!!1!^" style="position:absolute;margin-left:0;margin-top:0;width:.05pt;height:.05pt;z-index:251659264;visibility:hidden;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" o:allowincell="f"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arrowok="t" o:connecttype="custom" o:connectlocs="319,64;86,318;319,635;549,318" o:connectangles="270,180,90,0" textboxrect="5034,2279,16566,13674"/>
                <w10:wrap anchorx="page" anchory="page"/>
                <w10:anchorlock/>
              </v:shape>
            </w:pict>
          </mc:Fallback>
        </mc:AlternateContent>
      </w:r>
      <w:r w:rsidRPr="006517D0">
        <w:rPr>
          <w:rFonts w:eastAsia="MS Mincho" w:cs="Arial"/>
          <w:bCs/>
          <w:sz w:val="28"/>
          <w:szCs w:val="24"/>
        </w:rPr>
        <w:t>3GPP TSG RAN WG1</w:t>
      </w:r>
      <w:r>
        <w:rPr>
          <w:rFonts w:cs="Arial"/>
          <w:bCs/>
          <w:sz w:val="28"/>
          <w:szCs w:val="24"/>
          <w:lang w:eastAsia="zh-TW"/>
        </w:rPr>
        <w:t xml:space="preserve"> Meeting </w:t>
      </w:r>
      <w:r>
        <w:rPr>
          <w:rFonts w:cs="Arial" w:hint="eastAsia"/>
          <w:bCs/>
          <w:sz w:val="28"/>
          <w:szCs w:val="24"/>
          <w:lang w:eastAsia="zh-TW"/>
        </w:rPr>
        <w:t>#100</w:t>
      </w:r>
      <w:r>
        <w:rPr>
          <w:rFonts w:cs="Arial"/>
          <w:bCs/>
          <w:sz w:val="28"/>
          <w:szCs w:val="24"/>
          <w:lang w:eastAsia="zh-TW"/>
        </w:rPr>
        <w:t>bis</w:t>
      </w:r>
      <w:r>
        <w:rPr>
          <w:rFonts w:cs="Arial" w:hint="eastAsia"/>
          <w:bCs/>
          <w:sz w:val="28"/>
          <w:szCs w:val="24"/>
          <w:lang w:eastAsia="zh-TW"/>
        </w:rPr>
        <w:t xml:space="preserve"> </w:t>
      </w:r>
      <w:r>
        <w:rPr>
          <w:rFonts w:cs="Arial" w:hint="eastAsia"/>
          <w:bCs/>
          <w:sz w:val="28"/>
          <w:szCs w:val="24"/>
          <w:lang w:eastAsia="zh-TW"/>
        </w:rPr>
        <w:tab/>
      </w:r>
      <w:r w:rsidRPr="006517D0">
        <w:rPr>
          <w:rFonts w:eastAsia="MS Mincho" w:cs="Arial"/>
          <w:bCs/>
          <w:sz w:val="28"/>
          <w:szCs w:val="24"/>
        </w:rPr>
        <w:t>R1-</w:t>
      </w:r>
      <w:r w:rsidRPr="00531B7F">
        <w:rPr>
          <w:rFonts w:eastAsia="MS Mincho" w:cs="Arial"/>
          <w:bCs/>
          <w:sz w:val="28"/>
          <w:szCs w:val="24"/>
        </w:rPr>
        <w:t>200</w:t>
      </w:r>
      <w:r w:rsidR="00DA132A">
        <w:rPr>
          <w:rFonts w:eastAsia="MS Mincho" w:cs="Arial"/>
          <w:bCs/>
          <w:sz w:val="28"/>
          <w:szCs w:val="24"/>
        </w:rPr>
        <w:t>xxxx</w:t>
      </w:r>
    </w:p>
    <w:p w14:paraId="10AD42CC" w14:textId="77777777" w:rsidR="00531B7F" w:rsidRPr="000E284C" w:rsidRDefault="00531B7F" w:rsidP="00531B7F">
      <w:pPr>
        <w:pStyle w:val="Header"/>
        <w:tabs>
          <w:tab w:val="center" w:pos="4536"/>
          <w:tab w:val="right" w:pos="8280"/>
          <w:tab w:val="right" w:pos="9781"/>
        </w:tabs>
        <w:spacing w:after="240"/>
        <w:ind w:right="-58"/>
        <w:rPr>
          <w:rFonts w:cs="Arial"/>
          <w:bCs/>
          <w:sz w:val="28"/>
          <w:szCs w:val="24"/>
          <w:lang w:eastAsia="zh-TW"/>
        </w:rPr>
      </w:pPr>
      <w:r>
        <w:rPr>
          <w:rFonts w:cs="Arial"/>
          <w:bCs/>
          <w:sz w:val="28"/>
          <w:szCs w:val="24"/>
          <w:lang w:eastAsia="zh-TW"/>
        </w:rPr>
        <w:t>e-Meeting</w:t>
      </w:r>
      <w:r>
        <w:rPr>
          <w:rFonts w:eastAsia="MS Mincho" w:cs="Arial"/>
          <w:bCs/>
          <w:sz w:val="28"/>
          <w:szCs w:val="24"/>
        </w:rPr>
        <w:t>, April 20</w:t>
      </w:r>
      <w:r w:rsidRPr="00682557">
        <w:rPr>
          <w:rFonts w:eastAsia="MS Mincho" w:cs="Arial"/>
          <w:bCs/>
          <w:sz w:val="28"/>
          <w:szCs w:val="24"/>
          <w:vertAlign w:val="superscript"/>
        </w:rPr>
        <w:t>th</w:t>
      </w:r>
      <w:r>
        <w:rPr>
          <w:rFonts w:eastAsia="MS Mincho" w:cs="Arial"/>
          <w:bCs/>
          <w:sz w:val="28"/>
          <w:szCs w:val="24"/>
        </w:rPr>
        <w:t xml:space="preserve"> – 30</w:t>
      </w:r>
      <w:r w:rsidRPr="00682557">
        <w:rPr>
          <w:rFonts w:eastAsia="MS Mincho" w:cs="Arial"/>
          <w:bCs/>
          <w:sz w:val="28"/>
          <w:szCs w:val="24"/>
          <w:vertAlign w:val="superscript"/>
        </w:rPr>
        <w:t>th</w:t>
      </w:r>
      <w:r>
        <w:rPr>
          <w:rFonts w:cs="Arial" w:hint="eastAsia"/>
          <w:bCs/>
          <w:sz w:val="28"/>
          <w:szCs w:val="24"/>
          <w:lang w:eastAsia="zh-TW"/>
        </w:rPr>
        <w:t>,</w:t>
      </w:r>
      <w:r>
        <w:rPr>
          <w:rFonts w:eastAsia="MS Mincho" w:cs="Arial"/>
          <w:bCs/>
          <w:sz w:val="28"/>
          <w:szCs w:val="24"/>
        </w:rPr>
        <w:t xml:space="preserve"> 2020</w:t>
      </w:r>
    </w:p>
    <w:p w14:paraId="6F927895" w14:textId="1D1CE223" w:rsidR="008F0F7D" w:rsidRPr="001678ED" w:rsidRDefault="008F0F7D" w:rsidP="00191132">
      <w:pPr>
        <w:tabs>
          <w:tab w:val="left" w:pos="1985"/>
        </w:tabs>
        <w:jc w:val="both"/>
        <w:rPr>
          <w:rFonts w:ascii="Arial" w:hAnsi="Arial" w:cs="Arial"/>
          <w:highlight w:val="yellow"/>
        </w:rPr>
      </w:pPr>
    </w:p>
    <w:p w14:paraId="6128DF71" w14:textId="380793D3" w:rsidR="001E105C" w:rsidRPr="00152053" w:rsidRDefault="001E105C" w:rsidP="00594882">
      <w:pPr>
        <w:tabs>
          <w:tab w:val="left" w:pos="1985"/>
        </w:tabs>
        <w:ind w:left="1983" w:hangingChars="823" w:hanging="1983"/>
        <w:rPr>
          <w:rFonts w:ascii="Arial" w:hAnsi="Arial" w:cs="Arial"/>
          <w:b/>
        </w:rPr>
      </w:pPr>
      <w:r w:rsidRPr="00152053">
        <w:rPr>
          <w:rFonts w:ascii="Arial" w:hAnsi="Arial" w:cs="Arial"/>
          <w:b/>
        </w:rPr>
        <w:t>Agenda item:</w:t>
      </w:r>
      <w:r w:rsidRPr="00152053">
        <w:rPr>
          <w:rFonts w:ascii="Arial" w:hAnsi="Arial" w:cs="Arial"/>
          <w:b/>
        </w:rPr>
        <w:tab/>
      </w:r>
      <w:bookmarkStart w:id="0" w:name="Source"/>
      <w:bookmarkEnd w:id="0"/>
      <w:r w:rsidR="00AB5819">
        <w:rPr>
          <w:rFonts w:ascii="Arial" w:hAnsi="Arial" w:cs="Arial"/>
          <w:b/>
        </w:rPr>
        <w:t>7</w:t>
      </w:r>
      <w:r w:rsidR="00315744">
        <w:rPr>
          <w:rFonts w:ascii="Arial" w:hAnsi="Arial" w:cs="Arial"/>
          <w:b/>
        </w:rPr>
        <w:t>.2.1</w:t>
      </w:r>
      <w:r w:rsidR="0099551F">
        <w:rPr>
          <w:rFonts w:ascii="Arial" w:hAnsi="Arial" w:cs="Arial"/>
          <w:b/>
        </w:rPr>
        <w:t>0</w:t>
      </w:r>
      <w:r w:rsidR="00AB5819">
        <w:rPr>
          <w:rFonts w:ascii="Arial" w:hAnsi="Arial" w:cs="Arial"/>
          <w:b/>
        </w:rPr>
        <w:t>.</w:t>
      </w:r>
      <w:r w:rsidR="00F0080F">
        <w:rPr>
          <w:rFonts w:ascii="Arial" w:hAnsi="Arial" w:cs="Arial"/>
          <w:b/>
        </w:rPr>
        <w:t>2</w:t>
      </w:r>
    </w:p>
    <w:p w14:paraId="7810E0DE" w14:textId="77777777" w:rsidR="001E105C" w:rsidRPr="001D139F" w:rsidRDefault="001E105C" w:rsidP="00594882">
      <w:pPr>
        <w:tabs>
          <w:tab w:val="left" w:pos="1985"/>
        </w:tabs>
        <w:ind w:left="1985" w:hanging="1985"/>
        <w:rPr>
          <w:rFonts w:ascii="Arial" w:hAnsi="Arial" w:cs="Arial"/>
          <w:b/>
        </w:rPr>
      </w:pPr>
      <w:r w:rsidRPr="008F6D5B">
        <w:rPr>
          <w:rFonts w:ascii="Arial" w:hAnsi="Arial" w:cs="Arial"/>
          <w:b/>
        </w:rPr>
        <w:t>Source:</w:t>
      </w:r>
      <w:r w:rsidRPr="008F6D5B">
        <w:rPr>
          <w:rFonts w:ascii="Arial" w:hAnsi="Arial" w:cs="Arial"/>
          <w:b/>
        </w:rPr>
        <w:tab/>
      </w:r>
      <w:r w:rsidR="00181722">
        <w:rPr>
          <w:rFonts w:ascii="Arial" w:hAnsi="Arial" w:cs="Arial"/>
          <w:b/>
        </w:rPr>
        <w:t>Apple</w:t>
      </w:r>
      <w:r w:rsidR="00DC3B0D">
        <w:rPr>
          <w:rFonts w:ascii="Arial" w:hAnsi="Arial" w:cs="Arial"/>
          <w:b/>
        </w:rPr>
        <w:t xml:space="preserve"> Inc</w:t>
      </w:r>
      <w:r w:rsidR="00191132">
        <w:rPr>
          <w:rFonts w:ascii="Arial" w:hAnsi="Arial" w:cs="Arial"/>
          <w:b/>
        </w:rPr>
        <w:t>.</w:t>
      </w:r>
    </w:p>
    <w:p w14:paraId="3A8F974A" w14:textId="5639BE29" w:rsidR="001E105C" w:rsidRPr="00152053" w:rsidRDefault="001E105C" w:rsidP="003B1600">
      <w:pPr>
        <w:tabs>
          <w:tab w:val="left" w:pos="1985"/>
        </w:tabs>
        <w:ind w:left="1983" w:hangingChars="823" w:hanging="1983"/>
        <w:rPr>
          <w:rFonts w:ascii="Arial" w:hAnsi="Arial" w:cs="Arial"/>
          <w:b/>
        </w:rPr>
      </w:pPr>
      <w:r w:rsidRPr="008F6D5B">
        <w:rPr>
          <w:rFonts w:ascii="Arial" w:hAnsi="Arial" w:cs="Arial"/>
          <w:b/>
        </w:rPr>
        <w:t>Title:</w:t>
      </w:r>
      <w:r w:rsidRPr="008F6D5B">
        <w:rPr>
          <w:rFonts w:ascii="Arial" w:hAnsi="Arial" w:cs="Arial"/>
          <w:b/>
        </w:rPr>
        <w:tab/>
      </w:r>
      <w:bookmarkStart w:id="1" w:name="OLE_LINK1"/>
      <w:r w:rsidR="0099551F">
        <w:rPr>
          <w:rFonts w:ascii="Arial" w:hAnsi="Arial" w:cs="Arial"/>
          <w:b/>
        </w:rPr>
        <w:t>FL s</w:t>
      </w:r>
      <w:r w:rsidR="00DA7D8E">
        <w:rPr>
          <w:rFonts w:ascii="Arial" w:hAnsi="Arial" w:cs="Arial"/>
          <w:b/>
        </w:rPr>
        <w:t xml:space="preserve">ummary of </w:t>
      </w:r>
      <w:r w:rsidR="007712B7">
        <w:rPr>
          <w:rFonts w:ascii="Arial" w:hAnsi="Arial" w:cs="Arial"/>
          <w:b/>
        </w:rPr>
        <w:t>r</w:t>
      </w:r>
      <w:r w:rsidR="006F305E">
        <w:rPr>
          <w:rFonts w:ascii="Arial" w:hAnsi="Arial" w:cs="Arial"/>
          <w:b/>
        </w:rPr>
        <w:t xml:space="preserve">emaining issues </w:t>
      </w:r>
      <w:r w:rsidR="007712B7">
        <w:rPr>
          <w:rFonts w:ascii="Arial" w:hAnsi="Arial" w:cs="Arial"/>
          <w:b/>
        </w:rPr>
        <w:t xml:space="preserve">on enhancements </w:t>
      </w:r>
      <w:r w:rsidR="0099551F">
        <w:rPr>
          <w:rFonts w:ascii="Arial" w:hAnsi="Arial" w:cs="Arial"/>
          <w:b/>
        </w:rPr>
        <w:t>for</w:t>
      </w:r>
      <w:r w:rsidR="00A5232D">
        <w:rPr>
          <w:rFonts w:ascii="Arial" w:hAnsi="Arial" w:cs="Arial"/>
          <w:b/>
        </w:rPr>
        <w:t xml:space="preserve"> single Tx </w:t>
      </w:r>
      <w:r w:rsidR="0099551F">
        <w:rPr>
          <w:rFonts w:ascii="Arial" w:hAnsi="Arial" w:cs="Arial"/>
          <w:b/>
        </w:rPr>
        <w:t>transmission in</w:t>
      </w:r>
      <w:r w:rsidR="00A5232D">
        <w:rPr>
          <w:rFonts w:ascii="Arial" w:hAnsi="Arial" w:cs="Arial"/>
          <w:b/>
        </w:rPr>
        <w:t xml:space="preserve"> EN-DC</w:t>
      </w:r>
      <w:bookmarkEnd w:id="1"/>
    </w:p>
    <w:p w14:paraId="31ABC86D" w14:textId="5F7F2FF9" w:rsidR="001E105C" w:rsidRPr="004C132F" w:rsidRDefault="001E105C" w:rsidP="00594882">
      <w:pPr>
        <w:tabs>
          <w:tab w:val="left" w:pos="1985"/>
        </w:tabs>
        <w:ind w:left="1983" w:hangingChars="823" w:hanging="1983"/>
        <w:rPr>
          <w:rFonts w:ascii="Arial" w:hAnsi="Arial" w:cs="Arial"/>
          <w:b/>
        </w:rPr>
      </w:pPr>
      <w:r w:rsidRPr="00152053">
        <w:rPr>
          <w:rFonts w:ascii="Arial" w:hAnsi="Arial" w:cs="Arial"/>
          <w:b/>
        </w:rPr>
        <w:t>Document for:</w:t>
      </w:r>
      <w:r w:rsidRPr="00152053">
        <w:rPr>
          <w:rFonts w:ascii="Arial" w:hAnsi="Arial" w:cs="Arial"/>
          <w:b/>
        </w:rPr>
        <w:tab/>
      </w:r>
      <w:bookmarkStart w:id="2" w:name="DocumentFor"/>
      <w:bookmarkEnd w:id="2"/>
      <w:r w:rsidR="00AB5819">
        <w:rPr>
          <w:rFonts w:ascii="Arial" w:hAnsi="Arial" w:cs="Arial"/>
          <w:b/>
        </w:rPr>
        <w:t>Decision</w:t>
      </w:r>
    </w:p>
    <w:p w14:paraId="798C3643" w14:textId="39002182" w:rsidR="00487A13" w:rsidRPr="00487A13" w:rsidRDefault="006B6A1A" w:rsidP="00487A13">
      <w:pPr>
        <w:pStyle w:val="Heading1"/>
      </w:pPr>
      <w:r>
        <w:t>Introduction</w:t>
      </w:r>
      <w:r w:rsidR="002A4603">
        <w:t xml:space="preserve"> and Proposals</w:t>
      </w:r>
    </w:p>
    <w:p w14:paraId="49ADB559" w14:textId="77777777" w:rsidR="00DA132A" w:rsidRPr="00DA132A" w:rsidRDefault="00DA132A" w:rsidP="00DA132A">
      <w:pPr>
        <w:jc w:val="both"/>
        <w:rPr>
          <w:sz w:val="20"/>
          <w:szCs w:val="20"/>
          <w:lang w:eastAsia="ja-JP" w:bidi="hi-IN"/>
        </w:rPr>
      </w:pPr>
      <w:r w:rsidRPr="00DA132A">
        <w:rPr>
          <w:sz w:val="20"/>
          <w:szCs w:val="20"/>
          <w:lang w:eastAsia="ja-JP" w:bidi="hi-IN"/>
        </w:rPr>
        <w:t>Per chairman’s guidance, I’d like to kick off the email discussion on following issue:</w:t>
      </w:r>
    </w:p>
    <w:p w14:paraId="2812F8E4" w14:textId="77777777" w:rsidR="00DA132A" w:rsidRPr="00DA132A" w:rsidRDefault="00DA132A" w:rsidP="00DA132A">
      <w:pPr>
        <w:jc w:val="both"/>
        <w:rPr>
          <w:sz w:val="20"/>
          <w:szCs w:val="20"/>
          <w:lang w:eastAsia="ja-JP" w:bidi="hi-IN"/>
        </w:rPr>
      </w:pPr>
    </w:p>
    <w:p w14:paraId="7AE30955" w14:textId="77777777" w:rsidR="00DA132A" w:rsidRPr="00DA132A" w:rsidRDefault="00DA132A" w:rsidP="00DA132A">
      <w:pPr>
        <w:jc w:val="both"/>
        <w:rPr>
          <w:sz w:val="20"/>
          <w:szCs w:val="20"/>
          <w:highlight w:val="cyan"/>
          <w:lang w:eastAsia="ja-JP" w:bidi="hi-IN"/>
        </w:rPr>
      </w:pPr>
      <w:r w:rsidRPr="00DA132A">
        <w:rPr>
          <w:sz w:val="20"/>
          <w:szCs w:val="20"/>
          <w:highlight w:val="cyan"/>
          <w:lang w:eastAsia="ja-JP" w:bidi="hi-IN"/>
        </w:rPr>
        <w:t>[100b-e-NR- LTE_NR_DC_CA-SingleTx-01] Email discussion/approval regarding the following issues:</w:t>
      </w:r>
    </w:p>
    <w:p w14:paraId="72E9FF28" w14:textId="77777777" w:rsidR="00DA132A" w:rsidRPr="00DA132A" w:rsidRDefault="00DA132A" w:rsidP="00DA132A">
      <w:pPr>
        <w:pStyle w:val="ListParagraph"/>
        <w:numPr>
          <w:ilvl w:val="0"/>
          <w:numId w:val="29"/>
        </w:numPr>
        <w:jc w:val="both"/>
        <w:rPr>
          <w:sz w:val="20"/>
          <w:szCs w:val="20"/>
          <w:highlight w:val="cyan"/>
        </w:rPr>
      </w:pPr>
      <w:r w:rsidRPr="00DA132A">
        <w:rPr>
          <w:sz w:val="20"/>
          <w:szCs w:val="20"/>
          <w:highlight w:val="cyan"/>
        </w:rPr>
        <w:t>Issue 1 on type 1 UE hailing of colliding UL in single Tx operation, as described in section 2 of </w:t>
      </w:r>
      <w:hyperlink r:id="rId12" w:history="1">
        <w:r w:rsidRPr="00DA132A">
          <w:rPr>
            <w:sz w:val="20"/>
            <w:szCs w:val="20"/>
            <w:highlight w:val="cyan"/>
          </w:rPr>
          <w:t>R1-2002348</w:t>
        </w:r>
      </w:hyperlink>
    </w:p>
    <w:p w14:paraId="15EE9659" w14:textId="77777777" w:rsidR="00DA132A" w:rsidRPr="00DA132A" w:rsidRDefault="00DA132A" w:rsidP="00DA132A">
      <w:pPr>
        <w:pStyle w:val="ListParagraph"/>
        <w:numPr>
          <w:ilvl w:val="0"/>
          <w:numId w:val="29"/>
        </w:numPr>
        <w:jc w:val="both"/>
        <w:rPr>
          <w:sz w:val="20"/>
          <w:szCs w:val="20"/>
          <w:highlight w:val="cyan"/>
        </w:rPr>
      </w:pPr>
      <w:r w:rsidRPr="00DA132A">
        <w:rPr>
          <w:sz w:val="20"/>
          <w:szCs w:val="20"/>
          <w:highlight w:val="cyan"/>
        </w:rPr>
        <w:t>Issue 2 on type 1 UE capability with semi-static UL transmission, as described in section 3 of </w:t>
      </w:r>
      <w:hyperlink r:id="rId13" w:history="1">
        <w:r w:rsidRPr="00DA132A">
          <w:rPr>
            <w:sz w:val="20"/>
            <w:szCs w:val="20"/>
            <w:highlight w:val="cyan"/>
          </w:rPr>
          <w:t>R1-2002348</w:t>
        </w:r>
      </w:hyperlink>
    </w:p>
    <w:p w14:paraId="7D0A8EB3" w14:textId="77777777" w:rsidR="00DA132A" w:rsidRPr="00DA132A" w:rsidRDefault="00DA132A" w:rsidP="00DA132A">
      <w:pPr>
        <w:pStyle w:val="ListParagraph"/>
        <w:numPr>
          <w:ilvl w:val="1"/>
          <w:numId w:val="29"/>
        </w:numPr>
        <w:jc w:val="both"/>
        <w:rPr>
          <w:sz w:val="20"/>
          <w:szCs w:val="20"/>
          <w:highlight w:val="cyan"/>
        </w:rPr>
      </w:pPr>
      <w:r w:rsidRPr="00DA132A">
        <w:rPr>
          <w:sz w:val="20"/>
          <w:szCs w:val="20"/>
          <w:highlight w:val="cyan"/>
        </w:rPr>
        <w:t>Discussion of the TP is delayed until the corresponding UE feature discussions finish.</w:t>
      </w:r>
    </w:p>
    <w:p w14:paraId="191155FA" w14:textId="77777777" w:rsidR="00DA132A" w:rsidRPr="00DA132A" w:rsidRDefault="00DA132A" w:rsidP="00DA132A">
      <w:pPr>
        <w:pStyle w:val="ListParagraph"/>
        <w:numPr>
          <w:ilvl w:val="0"/>
          <w:numId w:val="30"/>
        </w:numPr>
        <w:jc w:val="both"/>
        <w:rPr>
          <w:sz w:val="20"/>
          <w:szCs w:val="20"/>
          <w:highlight w:val="cyan"/>
        </w:rPr>
      </w:pPr>
      <w:r w:rsidRPr="00DA132A">
        <w:rPr>
          <w:sz w:val="20"/>
          <w:szCs w:val="20"/>
          <w:highlight w:val="cyan"/>
        </w:rPr>
        <w:t>Issue 3a and 3b on clarification of Type 2 UE behavior, as described in sections 4.1 and 4.2 of </w:t>
      </w:r>
      <w:hyperlink r:id="rId14" w:history="1">
        <w:r w:rsidRPr="00DA132A">
          <w:rPr>
            <w:sz w:val="20"/>
            <w:szCs w:val="20"/>
            <w:highlight w:val="cyan"/>
          </w:rPr>
          <w:t>R1-2002348</w:t>
        </w:r>
      </w:hyperlink>
      <w:r w:rsidRPr="00DA132A">
        <w:rPr>
          <w:sz w:val="20"/>
          <w:szCs w:val="20"/>
          <w:highlight w:val="cyan"/>
        </w:rPr>
        <w:t>, respectively.</w:t>
      </w:r>
    </w:p>
    <w:p w14:paraId="491C0F7E" w14:textId="77777777" w:rsidR="00DA132A" w:rsidRPr="00DA132A" w:rsidRDefault="00DA132A" w:rsidP="00DA132A">
      <w:pPr>
        <w:jc w:val="both"/>
        <w:rPr>
          <w:sz w:val="20"/>
          <w:szCs w:val="20"/>
          <w:lang w:eastAsia="ja-JP" w:bidi="hi-IN"/>
        </w:rPr>
      </w:pPr>
      <w:r w:rsidRPr="00DA132A">
        <w:rPr>
          <w:sz w:val="20"/>
          <w:szCs w:val="20"/>
          <w:highlight w:val="cyan"/>
          <w:lang w:eastAsia="ja-JP" w:bidi="hi-IN"/>
        </w:rPr>
        <w:t>till 4/23, with potential TPs for approval till 4/28 – (Apple, Wei)</w:t>
      </w:r>
    </w:p>
    <w:p w14:paraId="0DE89DE6" w14:textId="5F7FB00B" w:rsidR="00650D8D" w:rsidRDefault="00F87160" w:rsidP="005773FD">
      <w:pPr>
        <w:pStyle w:val="Heading1"/>
        <w:numPr>
          <w:ilvl w:val="0"/>
          <w:numId w:val="0"/>
        </w:numPr>
      </w:pPr>
      <w:r>
        <w:t>Type 1 UE handling of colliding</w:t>
      </w:r>
      <w:r w:rsidR="00DD1CA1">
        <w:t xml:space="preserve"> </w:t>
      </w:r>
      <w:r>
        <w:t>UL in</w:t>
      </w:r>
      <w:r w:rsidR="00DD1CA1">
        <w:t xml:space="preserve"> 1Tx operation</w:t>
      </w:r>
    </w:p>
    <w:p w14:paraId="3EA3A2EF" w14:textId="0EE11AB6" w:rsidR="00510185" w:rsidRDefault="00650D8D" w:rsidP="009B492A">
      <w:pPr>
        <w:jc w:val="both"/>
        <w:rPr>
          <w:sz w:val="20"/>
          <w:szCs w:val="20"/>
          <w:lang w:eastAsia="ja-JP" w:bidi="hi-IN"/>
        </w:rPr>
      </w:pPr>
      <w:r w:rsidRPr="002B4208">
        <w:rPr>
          <w:b/>
          <w:bCs/>
          <w:sz w:val="20"/>
          <w:szCs w:val="20"/>
          <w:lang w:eastAsia="ja-JP" w:bidi="hi-IN"/>
        </w:rPr>
        <w:t>Background</w:t>
      </w:r>
      <w:r w:rsidRPr="00BE64B9">
        <w:rPr>
          <w:sz w:val="20"/>
          <w:szCs w:val="20"/>
          <w:lang w:eastAsia="ja-JP" w:bidi="hi-IN"/>
        </w:rPr>
        <w:t xml:space="preserve">: </w:t>
      </w:r>
      <w:r w:rsidR="009B492A">
        <w:rPr>
          <w:sz w:val="20"/>
          <w:szCs w:val="20"/>
          <w:lang w:eastAsia="ja-JP" w:bidi="hi-IN"/>
        </w:rPr>
        <w:t xml:space="preserve">It was discussed in RAN1 #100e </w:t>
      </w:r>
      <w:r w:rsidR="00510185">
        <w:rPr>
          <w:sz w:val="20"/>
          <w:szCs w:val="20"/>
          <w:lang w:eastAsia="ja-JP" w:bidi="hi-IN"/>
        </w:rPr>
        <w:t>that the current</w:t>
      </w:r>
      <w:r w:rsidR="009B492A">
        <w:rPr>
          <w:sz w:val="20"/>
          <w:szCs w:val="20"/>
          <w:lang w:eastAsia="ja-JP" w:bidi="hi-IN"/>
        </w:rPr>
        <w:t xml:space="preserve"> description in</w:t>
      </w:r>
      <w:r w:rsidR="00510185">
        <w:rPr>
          <w:sz w:val="20"/>
          <w:szCs w:val="20"/>
          <w:lang w:eastAsia="ja-JP" w:bidi="hi-IN"/>
        </w:rPr>
        <w:t xml:space="preserve"> 38.213 </w:t>
      </w:r>
      <w:r w:rsidR="00510185" w:rsidRPr="00510185">
        <w:rPr>
          <w:sz w:val="20"/>
          <w:szCs w:val="20"/>
          <w:lang w:eastAsia="ja-JP" w:bidi="hi-IN"/>
        </w:rPr>
        <w:t xml:space="preserve">does not </w:t>
      </w:r>
      <w:r w:rsidR="009B492A">
        <w:rPr>
          <w:sz w:val="20"/>
          <w:szCs w:val="20"/>
          <w:lang w:eastAsia="ja-JP" w:bidi="hi-IN"/>
        </w:rPr>
        <w:t xml:space="preserve">capture type 1 UE behavior </w:t>
      </w:r>
      <w:r w:rsidR="00510185" w:rsidRPr="00510185">
        <w:rPr>
          <w:sz w:val="20"/>
          <w:szCs w:val="20"/>
          <w:lang w:eastAsia="ja-JP" w:bidi="hi-IN"/>
        </w:rPr>
        <w:t>for ‘single-</w:t>
      </w:r>
      <w:proofErr w:type="spellStart"/>
      <w:r w:rsidR="00510185" w:rsidRPr="00510185">
        <w:rPr>
          <w:sz w:val="20"/>
          <w:szCs w:val="20"/>
          <w:lang w:eastAsia="ja-JP" w:bidi="hi-IN"/>
        </w:rPr>
        <w:t>tx</w:t>
      </w:r>
      <w:proofErr w:type="spellEnd"/>
      <w:r w:rsidR="00510185" w:rsidRPr="00510185">
        <w:rPr>
          <w:sz w:val="20"/>
          <w:szCs w:val="20"/>
          <w:lang w:eastAsia="ja-JP" w:bidi="hi-IN"/>
        </w:rPr>
        <w:t>’ case</w:t>
      </w:r>
      <w:r w:rsidR="009B492A">
        <w:rPr>
          <w:sz w:val="20"/>
          <w:szCs w:val="20"/>
          <w:lang w:eastAsia="ja-JP" w:bidi="hi-IN"/>
        </w:rPr>
        <w:t>,</w:t>
      </w:r>
      <w:r w:rsidR="00510185" w:rsidRPr="00510185">
        <w:rPr>
          <w:sz w:val="20"/>
          <w:szCs w:val="20"/>
          <w:lang w:eastAsia="ja-JP" w:bidi="hi-IN"/>
        </w:rPr>
        <w:t xml:space="preserve"> as the </w:t>
      </w:r>
      <w:r w:rsidR="009B492A">
        <w:rPr>
          <w:sz w:val="20"/>
          <w:szCs w:val="20"/>
          <w:lang w:eastAsia="ja-JP" w:bidi="hi-IN"/>
        </w:rPr>
        <w:t xml:space="preserve">corresponding </w:t>
      </w:r>
      <w:r w:rsidR="00510185" w:rsidRPr="00510185">
        <w:rPr>
          <w:sz w:val="20"/>
          <w:szCs w:val="20"/>
          <w:lang w:eastAsia="ja-JP" w:bidi="hi-IN"/>
        </w:rPr>
        <w:t>text is under the condition “</w:t>
      </w:r>
      <w:r w:rsidR="00510185" w:rsidRPr="00510185">
        <w:rPr>
          <w:i/>
          <w:iCs/>
          <w:sz w:val="20"/>
          <w:szCs w:val="15"/>
          <w:lang w:val="en-GB" w:eastAsia="ja-JP"/>
        </w:rPr>
        <w:t xml:space="preserve">If a UE is configured with </w:t>
      </w:r>
      <w:r w:rsidR="00510185" w:rsidRPr="00194614">
        <w:rPr>
          <w:i/>
          <w:iCs/>
          <w:noProof/>
          <w:position w:val="-10"/>
          <w:szCs w:val="20"/>
          <w:lang w:eastAsia="ko-KR"/>
        </w:rPr>
        <w:drawing>
          <wp:inline distT="0" distB="0" distL="0" distR="0" wp14:anchorId="0EEB33E7" wp14:editId="7032D94A">
            <wp:extent cx="1009650" cy="184785"/>
            <wp:effectExtent l="0" t="0" r="0" b="5715"/>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9"/>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009650" cy="184785"/>
                    </a:xfrm>
                    <a:prstGeom prst="rect">
                      <a:avLst/>
                    </a:prstGeom>
                    <a:noFill/>
                    <a:ln>
                      <a:noFill/>
                    </a:ln>
                  </pic:spPr>
                </pic:pic>
              </a:graphicData>
            </a:graphic>
          </wp:inline>
        </w:drawing>
      </w:r>
      <w:r w:rsidR="00510185">
        <w:rPr>
          <w:i/>
          <w:iCs/>
          <w:szCs w:val="20"/>
          <w:lang w:val="en-GB" w:eastAsia="ja-JP"/>
        </w:rPr>
        <w:t>…</w:t>
      </w:r>
      <w:r w:rsidR="00510185" w:rsidRPr="00510185">
        <w:rPr>
          <w:sz w:val="20"/>
          <w:szCs w:val="20"/>
          <w:lang w:eastAsia="ja-JP" w:bidi="hi-IN"/>
        </w:rPr>
        <w:t>”. For single-</w:t>
      </w:r>
      <w:proofErr w:type="spellStart"/>
      <w:r w:rsidR="00510185" w:rsidRPr="00510185">
        <w:rPr>
          <w:sz w:val="20"/>
          <w:szCs w:val="20"/>
          <w:lang w:eastAsia="ja-JP" w:bidi="hi-IN"/>
        </w:rPr>
        <w:t>tx</w:t>
      </w:r>
      <w:proofErr w:type="spellEnd"/>
      <w:r w:rsidR="00510185" w:rsidRPr="00510185">
        <w:rPr>
          <w:sz w:val="20"/>
          <w:szCs w:val="20"/>
          <w:lang w:eastAsia="ja-JP" w:bidi="hi-IN"/>
        </w:rPr>
        <w:t xml:space="preserve"> case, the UE cannot transmit simultaneously on LTE and NR regardless of  </w:t>
      </w:r>
      <w:r w:rsidR="00510185" w:rsidRPr="00510185">
        <w:rPr>
          <w:i/>
          <w:noProof/>
          <w:position w:val="-10"/>
          <w:sz w:val="20"/>
          <w:szCs w:val="20"/>
          <w:lang w:eastAsia="ko-KR"/>
        </w:rPr>
        <w:drawing>
          <wp:inline distT="0" distB="0" distL="0" distR="0" wp14:anchorId="20C951BC" wp14:editId="665156F6">
            <wp:extent cx="280035" cy="184785"/>
            <wp:effectExtent l="0" t="0" r="0" b="5715"/>
            <wp:docPr id="160" name="Picture 1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80035" cy="184785"/>
                    </a:xfrm>
                    <a:prstGeom prst="rect">
                      <a:avLst/>
                    </a:prstGeom>
                    <a:noFill/>
                    <a:ln>
                      <a:noFill/>
                    </a:ln>
                  </pic:spPr>
                </pic:pic>
              </a:graphicData>
            </a:graphic>
          </wp:inline>
        </w:drawing>
      </w:r>
      <w:r w:rsidR="00510185" w:rsidRPr="00510185">
        <w:rPr>
          <w:rFonts w:eastAsia="MS Mincho"/>
          <w:i/>
          <w:sz w:val="20"/>
          <w:szCs w:val="20"/>
        </w:rPr>
        <w:t xml:space="preserve">,  </w:t>
      </w:r>
      <w:r w:rsidR="00510185" w:rsidRPr="00510185">
        <w:rPr>
          <w:i/>
          <w:noProof/>
          <w:position w:val="-10"/>
          <w:sz w:val="20"/>
          <w:szCs w:val="20"/>
          <w:lang w:eastAsia="ko-KR"/>
        </w:rPr>
        <w:drawing>
          <wp:inline distT="0" distB="0" distL="0" distR="0" wp14:anchorId="59820803" wp14:editId="6C7A4376">
            <wp:extent cx="280035" cy="184785"/>
            <wp:effectExtent l="0" t="0" r="0" b="5715"/>
            <wp:docPr id="162" name="Picture 1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6"/>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80035" cy="184785"/>
                    </a:xfrm>
                    <a:prstGeom prst="rect">
                      <a:avLst/>
                    </a:prstGeom>
                    <a:noFill/>
                    <a:ln>
                      <a:noFill/>
                    </a:ln>
                  </pic:spPr>
                </pic:pic>
              </a:graphicData>
            </a:graphic>
          </wp:inline>
        </w:drawing>
      </w:r>
      <w:r w:rsidR="00510185">
        <w:rPr>
          <w:rFonts w:eastAsia="MS Mincho"/>
          <w:iCs/>
          <w:sz w:val="20"/>
          <w:szCs w:val="20"/>
        </w:rPr>
        <w:t xml:space="preserve"> </w:t>
      </w:r>
      <w:r w:rsidR="00510185" w:rsidRPr="00510185">
        <w:rPr>
          <w:sz w:val="20"/>
          <w:szCs w:val="20"/>
          <w:lang w:eastAsia="ja-JP" w:bidi="hi-IN"/>
        </w:rPr>
        <w:t xml:space="preserve">settings. So, the behavior of dropping NR should be specified outside the  </w:t>
      </w:r>
      <w:r w:rsidR="00510185" w:rsidRPr="00194614">
        <w:rPr>
          <w:i/>
          <w:iCs/>
          <w:noProof/>
          <w:position w:val="-10"/>
          <w:szCs w:val="20"/>
          <w:lang w:eastAsia="ko-KR"/>
        </w:rPr>
        <w:drawing>
          <wp:inline distT="0" distB="0" distL="0" distR="0" wp14:anchorId="3BE495E2" wp14:editId="4B56E5E7">
            <wp:extent cx="1009650" cy="184785"/>
            <wp:effectExtent l="0" t="0" r="0" b="5715"/>
            <wp:docPr id="163" name="Picture 1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9"/>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009650" cy="184785"/>
                    </a:xfrm>
                    <a:prstGeom prst="rect">
                      <a:avLst/>
                    </a:prstGeom>
                    <a:noFill/>
                    <a:ln>
                      <a:noFill/>
                    </a:ln>
                  </pic:spPr>
                </pic:pic>
              </a:graphicData>
            </a:graphic>
          </wp:inline>
        </w:drawing>
      </w:r>
      <w:r w:rsidR="00510185" w:rsidRPr="00510185">
        <w:rPr>
          <w:sz w:val="20"/>
          <w:szCs w:val="20"/>
          <w:lang w:eastAsia="ja-JP" w:bidi="hi-IN"/>
        </w:rPr>
        <w:t xml:space="preserve">  restriction.</w:t>
      </w:r>
    </w:p>
    <w:p w14:paraId="6CCA818B" w14:textId="2FD8B200" w:rsidR="009B492A" w:rsidRDefault="009B492A" w:rsidP="009B492A">
      <w:pPr>
        <w:jc w:val="both"/>
        <w:rPr>
          <w:sz w:val="20"/>
          <w:szCs w:val="20"/>
          <w:lang w:eastAsia="ja-JP" w:bidi="hi-IN"/>
        </w:rPr>
      </w:pPr>
    </w:p>
    <w:p w14:paraId="27317142" w14:textId="6C3975E8" w:rsidR="009B492A" w:rsidRPr="009B492A" w:rsidRDefault="009B492A" w:rsidP="009B492A">
      <w:pPr>
        <w:jc w:val="both"/>
        <w:rPr>
          <w:sz w:val="20"/>
          <w:szCs w:val="20"/>
          <w:lang w:eastAsia="ja-JP" w:bidi="hi-IN"/>
        </w:rPr>
      </w:pPr>
      <w:r>
        <w:rPr>
          <w:sz w:val="20"/>
          <w:szCs w:val="20"/>
          <w:lang w:eastAsia="ja-JP" w:bidi="hi-IN"/>
        </w:rPr>
        <w:t xml:space="preserve">This issue was brought up and discussed in RAN1 #100e, and two alternative TP’s were proposed. </w:t>
      </w:r>
      <w:proofErr w:type="gramStart"/>
      <w:r>
        <w:rPr>
          <w:sz w:val="20"/>
          <w:szCs w:val="20"/>
          <w:lang w:eastAsia="ja-JP" w:bidi="hi-IN"/>
        </w:rPr>
        <w:t>However</w:t>
      </w:r>
      <w:proofErr w:type="gramEnd"/>
      <w:r>
        <w:rPr>
          <w:sz w:val="20"/>
          <w:szCs w:val="20"/>
          <w:lang w:eastAsia="ja-JP" w:bidi="hi-IN"/>
        </w:rPr>
        <w:t xml:space="preserve"> no consensus was reached. For this meeting, a 3</w:t>
      </w:r>
      <w:r w:rsidRPr="009B492A">
        <w:rPr>
          <w:sz w:val="20"/>
          <w:szCs w:val="20"/>
          <w:vertAlign w:val="superscript"/>
          <w:lang w:eastAsia="ja-JP" w:bidi="hi-IN"/>
        </w:rPr>
        <w:t>rd</w:t>
      </w:r>
      <w:r>
        <w:rPr>
          <w:sz w:val="20"/>
          <w:szCs w:val="20"/>
          <w:lang w:eastAsia="ja-JP" w:bidi="hi-IN"/>
        </w:rPr>
        <w:t xml:space="preserve"> TP was also proposed by Qualcomm </w:t>
      </w:r>
      <w:r w:rsidR="00E82C7D">
        <w:rPr>
          <w:sz w:val="20"/>
          <w:szCs w:val="20"/>
          <w:lang w:eastAsia="ja-JP" w:bidi="hi-IN"/>
        </w:rPr>
        <w:fldChar w:fldCharType="begin"/>
      </w:r>
      <w:r w:rsidR="00E82C7D">
        <w:rPr>
          <w:sz w:val="20"/>
          <w:szCs w:val="20"/>
          <w:lang w:eastAsia="ja-JP" w:bidi="hi-IN"/>
        </w:rPr>
        <w:instrText xml:space="preserve"> REF _Ref37764295 \r \h </w:instrText>
      </w:r>
      <w:r w:rsidR="00E82C7D">
        <w:rPr>
          <w:sz w:val="20"/>
          <w:szCs w:val="20"/>
          <w:lang w:eastAsia="ja-JP" w:bidi="hi-IN"/>
        </w:rPr>
      </w:r>
      <w:r w:rsidR="00E82C7D">
        <w:rPr>
          <w:sz w:val="20"/>
          <w:szCs w:val="20"/>
          <w:lang w:eastAsia="ja-JP" w:bidi="hi-IN"/>
        </w:rPr>
        <w:fldChar w:fldCharType="separate"/>
      </w:r>
      <w:r w:rsidR="00E82C7D">
        <w:rPr>
          <w:sz w:val="20"/>
          <w:szCs w:val="20"/>
          <w:lang w:eastAsia="ja-JP" w:bidi="hi-IN"/>
        </w:rPr>
        <w:t>[6]</w:t>
      </w:r>
      <w:r w:rsidR="00E82C7D">
        <w:rPr>
          <w:sz w:val="20"/>
          <w:szCs w:val="20"/>
          <w:lang w:eastAsia="ja-JP" w:bidi="hi-IN"/>
        </w:rPr>
        <w:fldChar w:fldCharType="end"/>
      </w:r>
      <w:r w:rsidR="00E82C7D">
        <w:rPr>
          <w:sz w:val="20"/>
          <w:szCs w:val="20"/>
          <w:lang w:eastAsia="ja-JP" w:bidi="hi-IN"/>
        </w:rPr>
        <w:t>. These 3 proposed TP are listed below:</w:t>
      </w:r>
    </w:p>
    <w:p w14:paraId="4971D88E" w14:textId="77777777" w:rsidR="00695ED9" w:rsidRDefault="00695ED9" w:rsidP="00510185">
      <w:pPr>
        <w:rPr>
          <w:b/>
          <w:bCs/>
          <w:sz w:val="20"/>
          <w:szCs w:val="20"/>
          <w:lang w:eastAsia="ja-JP" w:bidi="hi-IN"/>
        </w:rPr>
      </w:pPr>
    </w:p>
    <w:p w14:paraId="05CCE281" w14:textId="77777777" w:rsidR="00510185" w:rsidRPr="00510185" w:rsidRDefault="00510185" w:rsidP="00510185">
      <w:pPr>
        <w:rPr>
          <w:sz w:val="20"/>
          <w:szCs w:val="20"/>
          <w:lang w:eastAsia="ja-JP" w:bidi="hi-IN"/>
        </w:rPr>
      </w:pPr>
    </w:p>
    <w:tbl>
      <w:tblPr>
        <w:tblStyle w:val="TableGrid"/>
        <w:tblW w:w="0" w:type="auto"/>
        <w:tblLook w:val="04A0" w:firstRow="1" w:lastRow="0" w:firstColumn="1" w:lastColumn="0" w:noHBand="0" w:noVBand="1"/>
      </w:tblPr>
      <w:tblGrid>
        <w:gridCol w:w="9629"/>
      </w:tblGrid>
      <w:tr w:rsidR="008138CD" w14:paraId="7D7C1622" w14:textId="77777777" w:rsidTr="006A334D">
        <w:tc>
          <w:tcPr>
            <w:tcW w:w="9629" w:type="dxa"/>
          </w:tcPr>
          <w:p w14:paraId="11AF03F4" w14:textId="77777777" w:rsidR="008138CD" w:rsidRPr="007F0A97" w:rsidRDefault="008138CD" w:rsidP="006A334D">
            <w:pPr>
              <w:spacing w:after="100" w:afterAutospacing="1"/>
              <w:rPr>
                <w:rFonts w:ascii="Helvetica" w:hAnsi="Helvetica"/>
                <w:color w:val="000000"/>
              </w:rPr>
            </w:pPr>
            <w:r>
              <w:rPr>
                <w:rFonts w:ascii="Helvetica" w:hAnsi="Helvetica"/>
                <w:color w:val="000000"/>
                <w:sz w:val="20"/>
                <w:szCs w:val="20"/>
              </w:rPr>
              <w:t>          </w:t>
            </w:r>
            <w:r>
              <w:rPr>
                <w:rFonts w:ascii="Helvetica" w:hAnsi="Helvetica"/>
                <w:b/>
                <w:bCs/>
                <w:color w:val="FF0000"/>
                <w:sz w:val="27"/>
                <w:szCs w:val="27"/>
              </w:rPr>
              <w:t>TP option 1</w:t>
            </w:r>
            <w:r>
              <w:rPr>
                <w:rFonts w:ascii="Helvetica" w:hAnsi="Helvetica"/>
                <w:color w:val="000000"/>
                <w:sz w:val="20"/>
                <w:szCs w:val="20"/>
              </w:rPr>
              <w:t> </w:t>
            </w:r>
            <w:r>
              <w:rPr>
                <w:sz w:val="20"/>
                <w:szCs w:val="20"/>
                <w:lang w:eastAsia="ja-JP" w:bidi="hi-IN"/>
              </w:rPr>
              <w:tab/>
            </w:r>
          </w:p>
          <w:p w14:paraId="0237543A" w14:textId="768800F7" w:rsidR="008138CD" w:rsidRPr="00510185" w:rsidRDefault="008138CD" w:rsidP="006A334D">
            <w:pPr>
              <w:rPr>
                <w:sz w:val="20"/>
                <w:szCs w:val="20"/>
              </w:rPr>
            </w:pPr>
            <w:r w:rsidRPr="00510185">
              <w:rPr>
                <w:sz w:val="20"/>
                <w:szCs w:val="20"/>
              </w:rPr>
              <w:t>---------------------------- start TP1 to sub clause 7.6.1 of 38.213v16.</w:t>
            </w:r>
            <w:r w:rsidR="00B260D2">
              <w:rPr>
                <w:sz w:val="20"/>
                <w:szCs w:val="20"/>
              </w:rPr>
              <w:t>1</w:t>
            </w:r>
            <w:r w:rsidRPr="00510185">
              <w:rPr>
                <w:sz w:val="20"/>
                <w:szCs w:val="20"/>
              </w:rPr>
              <w:t>.0 --------------------------------------</w:t>
            </w:r>
          </w:p>
          <w:p w14:paraId="1FA6EB78" w14:textId="77777777" w:rsidR="008138CD" w:rsidRPr="00510185" w:rsidRDefault="008138CD" w:rsidP="006A334D">
            <w:pPr>
              <w:rPr>
                <w:sz w:val="20"/>
                <w:szCs w:val="20"/>
              </w:rPr>
            </w:pPr>
          </w:p>
          <w:p w14:paraId="61A42F7D" w14:textId="77777777" w:rsidR="008138CD" w:rsidRPr="00510185" w:rsidRDefault="008138CD" w:rsidP="006A334D">
            <w:pPr>
              <w:spacing w:after="180"/>
              <w:ind w:left="720"/>
              <w:rPr>
                <w:rFonts w:ascii="Arial" w:hAnsi="Arial" w:cs="Arial"/>
                <w:sz w:val="20"/>
                <w:szCs w:val="20"/>
                <w:lang w:val="en-GB"/>
              </w:rPr>
            </w:pPr>
            <w:r w:rsidRPr="00510185">
              <w:rPr>
                <w:rFonts w:ascii="Arial" w:hAnsi="Arial" w:cs="Arial"/>
                <w:sz w:val="20"/>
                <w:szCs w:val="20"/>
                <w:lang w:val="en-GB"/>
              </w:rPr>
              <w:t>7.6.1</w:t>
            </w:r>
            <w:r w:rsidRPr="00510185">
              <w:rPr>
                <w:rFonts w:ascii="Arial" w:hAnsi="Arial" w:cs="Arial"/>
                <w:sz w:val="20"/>
                <w:szCs w:val="20"/>
                <w:lang w:val="en-GB"/>
              </w:rPr>
              <w:tab/>
              <w:t>EN-DC</w:t>
            </w:r>
          </w:p>
          <w:p w14:paraId="72BEB788" w14:textId="77777777" w:rsidR="008138CD" w:rsidRPr="00510185" w:rsidRDefault="008138CD" w:rsidP="006A334D">
            <w:pPr>
              <w:spacing w:after="180"/>
              <w:ind w:left="720"/>
              <w:rPr>
                <w:sz w:val="20"/>
                <w:szCs w:val="20"/>
                <w:lang w:val="en-GB" w:eastAsia="ja-JP"/>
              </w:rPr>
            </w:pPr>
            <w:r w:rsidRPr="00510185">
              <w:rPr>
                <w:sz w:val="20"/>
                <w:szCs w:val="20"/>
                <w:lang w:val="en-GB"/>
              </w:rPr>
              <w:t xml:space="preserve">If a UE is configured with a MCG using E-UTRA radio access and with a SCG using </w:t>
            </w:r>
            <w:r w:rsidRPr="00510185">
              <w:rPr>
                <w:sz w:val="20"/>
                <w:szCs w:val="20"/>
                <w:lang w:val="en-GB" w:eastAsia="ja-JP"/>
              </w:rPr>
              <w:t xml:space="preserve">NR radio access, the UE is configured a maximum power </w:t>
            </w:r>
            <w:r w:rsidRPr="00510185">
              <w:rPr>
                <w:noProof/>
                <w:position w:val="-10"/>
                <w:sz w:val="20"/>
                <w:szCs w:val="20"/>
                <w:lang w:eastAsia="ko-KR"/>
              </w:rPr>
              <w:drawing>
                <wp:inline distT="0" distB="0" distL="0" distR="0" wp14:anchorId="1C6A21A5" wp14:editId="2E998432">
                  <wp:extent cx="280035" cy="184785"/>
                  <wp:effectExtent l="0" t="0" r="0" b="5715"/>
                  <wp:docPr id="137" name="Picture 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5"/>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80035" cy="184785"/>
                          </a:xfrm>
                          <a:prstGeom prst="rect">
                            <a:avLst/>
                          </a:prstGeom>
                          <a:noFill/>
                          <a:ln>
                            <a:noFill/>
                          </a:ln>
                        </pic:spPr>
                      </pic:pic>
                    </a:graphicData>
                  </a:graphic>
                </wp:inline>
              </w:drawing>
            </w:r>
            <w:r w:rsidRPr="00510185">
              <w:rPr>
                <w:sz w:val="20"/>
                <w:szCs w:val="20"/>
                <w:lang w:val="en-GB" w:eastAsia="ja-JP"/>
              </w:rPr>
              <w:t xml:space="preserve"> for transmissions on the MCG by </w:t>
            </w:r>
            <w:r w:rsidRPr="00510185">
              <w:rPr>
                <w:i/>
                <w:sz w:val="20"/>
                <w:szCs w:val="20"/>
                <w:lang w:val="en-GB" w:eastAsia="ja-JP"/>
              </w:rPr>
              <w:t>p-</w:t>
            </w:r>
            <w:proofErr w:type="spellStart"/>
            <w:r w:rsidRPr="00510185">
              <w:rPr>
                <w:i/>
                <w:sz w:val="20"/>
                <w:szCs w:val="20"/>
                <w:lang w:val="en-GB" w:eastAsia="ja-JP"/>
              </w:rPr>
              <w:t>MaxEUTRA</w:t>
            </w:r>
            <w:proofErr w:type="spellEnd"/>
            <w:r w:rsidRPr="00510185">
              <w:rPr>
                <w:sz w:val="20"/>
                <w:szCs w:val="20"/>
                <w:lang w:val="en-GB" w:eastAsia="ja-JP"/>
              </w:rPr>
              <w:t xml:space="preserve"> and a maximum power </w:t>
            </w:r>
            <w:r w:rsidRPr="00510185">
              <w:rPr>
                <w:noProof/>
                <w:position w:val="-10"/>
                <w:sz w:val="20"/>
                <w:szCs w:val="20"/>
                <w:lang w:eastAsia="ko-KR"/>
              </w:rPr>
              <w:drawing>
                <wp:inline distT="0" distB="0" distL="0" distR="0" wp14:anchorId="5271300E" wp14:editId="5B4D6446">
                  <wp:extent cx="280035" cy="184785"/>
                  <wp:effectExtent l="0" t="0" r="0" b="5715"/>
                  <wp:docPr id="138" name="Picture 1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6"/>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80035" cy="184785"/>
                          </a:xfrm>
                          <a:prstGeom prst="rect">
                            <a:avLst/>
                          </a:prstGeom>
                          <a:noFill/>
                          <a:ln>
                            <a:noFill/>
                          </a:ln>
                        </pic:spPr>
                      </pic:pic>
                    </a:graphicData>
                  </a:graphic>
                </wp:inline>
              </w:drawing>
            </w:r>
            <w:r w:rsidRPr="00510185">
              <w:rPr>
                <w:sz w:val="20"/>
                <w:szCs w:val="20"/>
                <w:lang w:val="en-GB"/>
              </w:rPr>
              <w:t xml:space="preserve"> </w:t>
            </w:r>
            <w:r w:rsidRPr="00510185">
              <w:rPr>
                <w:sz w:val="20"/>
                <w:szCs w:val="20"/>
                <w:lang w:val="en-GB" w:eastAsia="ja-JP"/>
              </w:rPr>
              <w:t xml:space="preserve">for transmissions in FR1 on the SCG by </w:t>
            </w:r>
            <w:r w:rsidRPr="00510185">
              <w:rPr>
                <w:i/>
                <w:sz w:val="20"/>
                <w:szCs w:val="20"/>
                <w:lang w:val="en-GB" w:eastAsia="ja-JP"/>
              </w:rPr>
              <w:t>p-NR-FR1</w:t>
            </w:r>
            <w:r w:rsidRPr="00510185">
              <w:rPr>
                <w:sz w:val="20"/>
                <w:szCs w:val="20"/>
                <w:lang w:val="en-GB" w:eastAsia="ja-JP"/>
              </w:rPr>
              <w:t xml:space="preserve">. </w:t>
            </w:r>
          </w:p>
          <w:p w14:paraId="1993D68B" w14:textId="77777777" w:rsidR="008138CD" w:rsidRPr="00510185" w:rsidRDefault="008138CD" w:rsidP="006A334D">
            <w:pPr>
              <w:spacing w:after="180"/>
              <w:ind w:left="720"/>
              <w:rPr>
                <w:sz w:val="20"/>
                <w:szCs w:val="20"/>
                <w:lang w:val="en-GB" w:eastAsia="ja-JP"/>
              </w:rPr>
            </w:pPr>
            <w:r w:rsidRPr="00510185">
              <w:rPr>
                <w:sz w:val="20"/>
                <w:szCs w:val="20"/>
              </w:rPr>
              <w:t>T</w:t>
            </w:r>
            <w:r w:rsidRPr="00510185">
              <w:rPr>
                <w:sz w:val="20"/>
                <w:szCs w:val="20"/>
                <w:lang w:val="en-GB"/>
              </w:rPr>
              <w:t xml:space="preserve">he UE determines a transmission power for the MCG as described in [13, TS 36.213] </w:t>
            </w:r>
            <w:r w:rsidRPr="00510185">
              <w:rPr>
                <w:sz w:val="20"/>
                <w:szCs w:val="20"/>
              </w:rPr>
              <w:t xml:space="preserve">using </w:t>
            </w:r>
            <w:r w:rsidRPr="00510185">
              <w:rPr>
                <w:noProof/>
                <w:position w:val="-10"/>
                <w:sz w:val="20"/>
                <w:szCs w:val="20"/>
                <w:lang w:eastAsia="ko-KR"/>
              </w:rPr>
              <w:drawing>
                <wp:inline distT="0" distB="0" distL="0" distR="0" wp14:anchorId="430CAD71" wp14:editId="5866A3FD">
                  <wp:extent cx="280035" cy="184785"/>
                  <wp:effectExtent l="0" t="0" r="0" b="5715"/>
                  <wp:docPr id="139" name="Picture 1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7"/>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80035" cy="184785"/>
                          </a:xfrm>
                          <a:prstGeom prst="rect">
                            <a:avLst/>
                          </a:prstGeom>
                          <a:noFill/>
                          <a:ln>
                            <a:noFill/>
                          </a:ln>
                        </pic:spPr>
                      </pic:pic>
                    </a:graphicData>
                  </a:graphic>
                </wp:inline>
              </w:drawing>
            </w:r>
            <w:r w:rsidRPr="00510185">
              <w:rPr>
                <w:sz w:val="20"/>
                <w:szCs w:val="20"/>
              </w:rPr>
              <w:t xml:space="preserve"> as the maximum transmission power. The UE determines</w:t>
            </w:r>
            <w:r w:rsidRPr="00510185">
              <w:rPr>
                <w:sz w:val="20"/>
                <w:szCs w:val="20"/>
                <w:lang w:val="en-GB"/>
              </w:rPr>
              <w:t xml:space="preserve"> transmission power for the SCG </w:t>
            </w:r>
            <w:r w:rsidRPr="00510185">
              <w:rPr>
                <w:sz w:val="20"/>
                <w:szCs w:val="20"/>
                <w:lang w:val="en-GB" w:eastAsia="ja-JP"/>
              </w:rPr>
              <w:t>in FR1</w:t>
            </w:r>
            <w:r w:rsidRPr="00510185">
              <w:rPr>
                <w:sz w:val="20"/>
                <w:szCs w:val="20"/>
                <w:lang w:val="en-GB"/>
              </w:rPr>
              <w:t xml:space="preserve"> as described Clauses 7.1 through 7.5</w:t>
            </w:r>
            <w:r w:rsidRPr="00510185">
              <w:rPr>
                <w:sz w:val="20"/>
                <w:szCs w:val="20"/>
              </w:rPr>
              <w:t xml:space="preserve"> using </w:t>
            </w:r>
            <w:r w:rsidRPr="00510185">
              <w:rPr>
                <w:noProof/>
                <w:position w:val="-10"/>
                <w:sz w:val="20"/>
                <w:szCs w:val="20"/>
                <w:lang w:eastAsia="ko-KR"/>
              </w:rPr>
              <w:drawing>
                <wp:inline distT="0" distB="0" distL="0" distR="0" wp14:anchorId="74ADF5E0" wp14:editId="50BE91D4">
                  <wp:extent cx="280035" cy="184785"/>
                  <wp:effectExtent l="0" t="0" r="0" b="5715"/>
                  <wp:docPr id="140" name="Picture 1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8"/>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80035" cy="184785"/>
                          </a:xfrm>
                          <a:prstGeom prst="rect">
                            <a:avLst/>
                          </a:prstGeom>
                          <a:noFill/>
                          <a:ln>
                            <a:noFill/>
                          </a:ln>
                        </pic:spPr>
                      </pic:pic>
                    </a:graphicData>
                  </a:graphic>
                </wp:inline>
              </w:drawing>
            </w:r>
            <w:r w:rsidRPr="00510185">
              <w:rPr>
                <w:sz w:val="20"/>
                <w:szCs w:val="20"/>
              </w:rPr>
              <w:t xml:space="preserve"> as the maximum transmission power. The UE determines</w:t>
            </w:r>
            <w:r w:rsidRPr="00510185">
              <w:rPr>
                <w:sz w:val="20"/>
                <w:szCs w:val="20"/>
                <w:lang w:val="en-GB"/>
              </w:rPr>
              <w:t xml:space="preserve"> transmission power for the SCG in </w:t>
            </w:r>
            <w:r w:rsidRPr="00510185">
              <w:rPr>
                <w:sz w:val="20"/>
                <w:szCs w:val="20"/>
                <w:lang w:val="en-GB" w:eastAsia="ja-JP"/>
              </w:rPr>
              <w:t>FR</w:t>
            </w:r>
            <w:r w:rsidRPr="00510185">
              <w:rPr>
                <w:sz w:val="20"/>
                <w:szCs w:val="20"/>
                <w:lang w:val="en-GB"/>
              </w:rPr>
              <w:t>2 as described Clauses 7.1 through 7.5.</w:t>
            </w:r>
          </w:p>
          <w:p w14:paraId="579A48F8" w14:textId="77777777" w:rsidR="008138CD" w:rsidRPr="00510185" w:rsidRDefault="008138CD" w:rsidP="006A334D">
            <w:pPr>
              <w:spacing w:after="180"/>
              <w:ind w:left="720"/>
              <w:rPr>
                <w:sz w:val="20"/>
                <w:szCs w:val="20"/>
                <w:lang w:val="en-GB" w:eastAsia="ja-JP"/>
              </w:rPr>
            </w:pPr>
            <w:r w:rsidRPr="00510185">
              <w:rPr>
                <w:sz w:val="20"/>
                <w:szCs w:val="20"/>
                <w:lang w:val="en-GB" w:eastAsia="ja-JP"/>
              </w:rPr>
              <w:t xml:space="preserve">A UE </w:t>
            </w:r>
            <w:r w:rsidRPr="00510185">
              <w:rPr>
                <w:sz w:val="20"/>
                <w:szCs w:val="20"/>
                <w:lang w:val="en-GB" w:eastAsia="x-none"/>
              </w:rPr>
              <w:t xml:space="preserve">does not expect to be configured </w:t>
            </w:r>
            <w:r w:rsidRPr="00510185">
              <w:rPr>
                <w:sz w:val="20"/>
                <w:szCs w:val="20"/>
                <w:lang w:val="en-GB"/>
              </w:rPr>
              <w:t xml:space="preserve">for operation with shortened TTI and/or processing time [13, TS 36.213] </w:t>
            </w:r>
            <w:r w:rsidRPr="00510185">
              <w:rPr>
                <w:sz w:val="20"/>
                <w:szCs w:val="20"/>
                <w:lang w:val="en-GB" w:eastAsia="x-none"/>
              </w:rPr>
              <w:t>on a cell that is included in an EN-DC configuration.</w:t>
            </w:r>
          </w:p>
          <w:p w14:paraId="54EE2DF4" w14:textId="77777777" w:rsidR="008138CD" w:rsidRPr="007F0A97" w:rsidRDefault="008138CD" w:rsidP="006A334D">
            <w:pPr>
              <w:spacing w:after="180"/>
              <w:ind w:left="720"/>
              <w:rPr>
                <w:color w:val="FF0000"/>
                <w:sz w:val="20"/>
                <w:szCs w:val="20"/>
                <w:lang w:eastAsia="ja-JP"/>
              </w:rPr>
            </w:pPr>
            <w:r w:rsidRPr="007F0A97">
              <w:rPr>
                <w:color w:val="FF0000"/>
                <w:sz w:val="20"/>
                <w:szCs w:val="20"/>
                <w:u w:val="single"/>
                <w:lang w:val="en-GB" w:eastAsia="ja-JP"/>
              </w:rPr>
              <w:lastRenderedPageBreak/>
              <w:t>If the UE indicates </w:t>
            </w:r>
            <w:r w:rsidRPr="007F0A97">
              <w:rPr>
                <w:color w:val="FF0000"/>
                <w:sz w:val="20"/>
                <w:szCs w:val="20"/>
                <w:u w:val="single"/>
                <w:lang w:val="x-none" w:eastAsia="ja-JP"/>
              </w:rPr>
              <w:t>capability for dynamic power sharing</w:t>
            </w:r>
            <w:r w:rsidRPr="007F0A97">
              <w:rPr>
                <w:color w:val="FF0000"/>
                <w:sz w:val="20"/>
                <w:szCs w:val="20"/>
                <w:u w:val="single"/>
                <w:lang w:eastAsia="ja-JP"/>
              </w:rPr>
              <w:t> between E-UTRA and NR for EN-DC, and if the UE is configured with </w:t>
            </w:r>
            <w:r w:rsidRPr="007F0A97">
              <w:rPr>
                <w:i/>
                <w:iCs/>
                <w:color w:val="FF0000"/>
                <w:sz w:val="20"/>
                <w:szCs w:val="20"/>
                <w:u w:val="single"/>
                <w:lang w:eastAsia="ja-JP"/>
              </w:rPr>
              <w:t>tdm-PatternConfig-r16</w:t>
            </w:r>
            <w:r w:rsidRPr="007F0A97">
              <w:rPr>
                <w:color w:val="FF0000"/>
                <w:sz w:val="20"/>
                <w:szCs w:val="20"/>
                <w:u w:val="single"/>
                <w:lang w:eastAsia="ja-JP"/>
              </w:rPr>
              <w:t>, then for the band combinations for which the UE indicates using </w:t>
            </w:r>
            <w:proofErr w:type="spellStart"/>
            <w:r w:rsidRPr="007F0A97">
              <w:rPr>
                <w:i/>
                <w:iCs/>
                <w:color w:val="FF0000"/>
                <w:sz w:val="20"/>
                <w:szCs w:val="20"/>
                <w:u w:val="single"/>
                <w:lang w:eastAsia="ja-JP"/>
              </w:rPr>
              <w:t>singleUL</w:t>
            </w:r>
            <w:proofErr w:type="spellEnd"/>
            <w:r w:rsidRPr="007F0A97">
              <w:rPr>
                <w:i/>
                <w:iCs/>
                <w:color w:val="FF0000"/>
                <w:sz w:val="20"/>
                <w:szCs w:val="20"/>
                <w:u w:val="single"/>
                <w:lang w:eastAsia="ja-JP"/>
              </w:rPr>
              <w:t>-Transmission</w:t>
            </w:r>
            <w:r w:rsidRPr="007F0A97">
              <w:rPr>
                <w:color w:val="FF0000"/>
                <w:sz w:val="20"/>
                <w:szCs w:val="20"/>
                <w:u w:val="single"/>
                <w:lang w:eastAsia="ja-JP"/>
              </w:rPr>
              <w:t> that it does not support simultaneous  UL transmissions (as defined in TS 38.101-3 [8-3]), the UE does not transmit on the SCG in FR1 when the UE has overlapped transmission on a subframe on the MCG.</w:t>
            </w:r>
          </w:p>
          <w:p w14:paraId="5065DE01" w14:textId="77777777" w:rsidR="008138CD" w:rsidRPr="00510185" w:rsidRDefault="008138CD" w:rsidP="006A334D">
            <w:pPr>
              <w:spacing w:after="180"/>
              <w:ind w:left="720"/>
              <w:rPr>
                <w:sz w:val="20"/>
                <w:szCs w:val="20"/>
                <w:lang w:val="en-GB" w:eastAsia="ja-JP"/>
              </w:rPr>
            </w:pPr>
            <w:r w:rsidRPr="00510185">
              <w:rPr>
                <w:sz w:val="20"/>
                <w:szCs w:val="20"/>
                <w:lang w:val="en-GB" w:eastAsia="ja-JP"/>
              </w:rPr>
              <w:t xml:space="preserve">If a UE is configured with </w:t>
            </w:r>
            <w:r w:rsidRPr="00510185">
              <w:rPr>
                <w:noProof/>
                <w:position w:val="-10"/>
                <w:sz w:val="20"/>
                <w:szCs w:val="20"/>
                <w:lang w:eastAsia="ko-KR"/>
              </w:rPr>
              <w:drawing>
                <wp:inline distT="0" distB="0" distL="0" distR="0" wp14:anchorId="39ED4ACE" wp14:editId="5F5BA40A">
                  <wp:extent cx="1009650" cy="184785"/>
                  <wp:effectExtent l="0" t="0" r="0" b="5715"/>
                  <wp:docPr id="141" name="Picture 1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9"/>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009650" cy="184785"/>
                          </a:xfrm>
                          <a:prstGeom prst="rect">
                            <a:avLst/>
                          </a:prstGeom>
                          <a:noFill/>
                          <a:ln>
                            <a:noFill/>
                          </a:ln>
                        </pic:spPr>
                      </pic:pic>
                    </a:graphicData>
                  </a:graphic>
                </wp:inline>
              </w:drawing>
            </w:r>
            <w:r w:rsidRPr="00510185">
              <w:rPr>
                <w:sz w:val="20"/>
                <w:szCs w:val="20"/>
                <w:lang w:val="en-GB"/>
              </w:rPr>
              <w:t xml:space="preserve">, where </w:t>
            </w:r>
            <w:r w:rsidRPr="00510185">
              <w:rPr>
                <w:noProof/>
                <w:position w:val="-10"/>
                <w:sz w:val="20"/>
                <w:szCs w:val="20"/>
                <w:lang w:eastAsia="ko-KR"/>
              </w:rPr>
              <w:drawing>
                <wp:inline distT="0" distB="0" distL="0" distR="0" wp14:anchorId="59B1005A" wp14:editId="76676C09">
                  <wp:extent cx="280035" cy="184785"/>
                  <wp:effectExtent l="0" t="0" r="5715" b="5715"/>
                  <wp:docPr id="142" name="Picture 1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0"/>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280035" cy="184785"/>
                          </a:xfrm>
                          <a:prstGeom prst="rect">
                            <a:avLst/>
                          </a:prstGeom>
                          <a:noFill/>
                          <a:ln>
                            <a:noFill/>
                          </a:ln>
                        </pic:spPr>
                      </pic:pic>
                    </a:graphicData>
                  </a:graphic>
                </wp:inline>
              </w:drawing>
            </w:r>
            <w:r w:rsidRPr="00510185">
              <w:rPr>
                <w:sz w:val="20"/>
                <w:szCs w:val="20"/>
                <w:lang w:val="en-GB"/>
              </w:rPr>
              <w:t xml:space="preserve"> is the linear value</w:t>
            </w:r>
            <w:r w:rsidRPr="00510185">
              <w:rPr>
                <w:sz w:val="20"/>
                <w:szCs w:val="20"/>
                <w:lang w:val="en-GB" w:eastAsia="ja-JP"/>
              </w:rPr>
              <w:t xml:space="preserve"> of </w:t>
            </w:r>
            <w:r w:rsidRPr="00510185">
              <w:rPr>
                <w:noProof/>
                <w:position w:val="-10"/>
                <w:sz w:val="20"/>
                <w:szCs w:val="20"/>
                <w:lang w:eastAsia="ko-KR"/>
              </w:rPr>
              <w:drawing>
                <wp:inline distT="0" distB="0" distL="0" distR="0" wp14:anchorId="78A89252" wp14:editId="76025A22">
                  <wp:extent cx="280035" cy="184785"/>
                  <wp:effectExtent l="0" t="0" r="0" b="5715"/>
                  <wp:docPr id="143" name="Picture 1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80035" cy="184785"/>
                          </a:xfrm>
                          <a:prstGeom prst="rect">
                            <a:avLst/>
                          </a:prstGeom>
                          <a:noFill/>
                          <a:ln>
                            <a:noFill/>
                          </a:ln>
                        </pic:spPr>
                      </pic:pic>
                    </a:graphicData>
                  </a:graphic>
                </wp:inline>
              </w:drawing>
            </w:r>
            <w:r w:rsidRPr="00510185">
              <w:rPr>
                <w:sz w:val="20"/>
                <w:szCs w:val="20"/>
                <w:lang w:val="en-GB"/>
              </w:rPr>
              <w:t xml:space="preserve">, </w:t>
            </w:r>
            <w:r w:rsidRPr="00510185">
              <w:rPr>
                <w:noProof/>
                <w:position w:val="-10"/>
                <w:sz w:val="20"/>
                <w:szCs w:val="20"/>
                <w:lang w:eastAsia="ko-KR"/>
              </w:rPr>
              <w:drawing>
                <wp:inline distT="0" distB="0" distL="0" distR="0" wp14:anchorId="5348BE6A" wp14:editId="28BDD049">
                  <wp:extent cx="184785" cy="184785"/>
                  <wp:effectExtent l="0" t="0" r="5715" b="5715"/>
                  <wp:docPr id="144" name="Picture 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2"/>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84785" cy="184785"/>
                          </a:xfrm>
                          <a:prstGeom prst="rect">
                            <a:avLst/>
                          </a:prstGeom>
                          <a:noFill/>
                          <a:ln>
                            <a:noFill/>
                          </a:ln>
                        </pic:spPr>
                      </pic:pic>
                    </a:graphicData>
                  </a:graphic>
                </wp:inline>
              </w:drawing>
            </w:r>
            <w:r w:rsidRPr="00510185">
              <w:rPr>
                <w:sz w:val="20"/>
                <w:szCs w:val="20"/>
                <w:lang w:val="en-GB"/>
              </w:rPr>
              <w:t xml:space="preserve"> is the linear value</w:t>
            </w:r>
            <w:r w:rsidRPr="00510185">
              <w:rPr>
                <w:sz w:val="20"/>
                <w:szCs w:val="20"/>
                <w:lang w:val="en-GB" w:eastAsia="ja-JP"/>
              </w:rPr>
              <w:t xml:space="preserve"> of </w:t>
            </w:r>
            <w:r w:rsidRPr="00510185">
              <w:rPr>
                <w:noProof/>
                <w:position w:val="-10"/>
                <w:sz w:val="20"/>
                <w:szCs w:val="20"/>
                <w:lang w:eastAsia="ko-KR"/>
              </w:rPr>
              <w:drawing>
                <wp:inline distT="0" distB="0" distL="0" distR="0" wp14:anchorId="14EC49F4" wp14:editId="47DDC96A">
                  <wp:extent cx="184785" cy="184785"/>
                  <wp:effectExtent l="0" t="0" r="5715" b="5715"/>
                  <wp:docPr id="145" name="Picture 1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3"/>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84785" cy="184785"/>
                          </a:xfrm>
                          <a:prstGeom prst="rect">
                            <a:avLst/>
                          </a:prstGeom>
                          <a:noFill/>
                          <a:ln>
                            <a:noFill/>
                          </a:ln>
                        </pic:spPr>
                      </pic:pic>
                    </a:graphicData>
                  </a:graphic>
                </wp:inline>
              </w:drawing>
            </w:r>
            <w:r w:rsidRPr="00510185">
              <w:rPr>
                <w:sz w:val="20"/>
                <w:szCs w:val="20"/>
                <w:lang w:val="en-GB"/>
              </w:rPr>
              <w:t xml:space="preserve">, and </w:t>
            </w:r>
            <w:r w:rsidRPr="00510185">
              <w:rPr>
                <w:noProof/>
                <w:position w:val="-10"/>
                <w:sz w:val="20"/>
                <w:szCs w:val="20"/>
                <w:lang w:eastAsia="ko-KR"/>
              </w:rPr>
              <w:drawing>
                <wp:inline distT="0" distB="0" distL="0" distR="0" wp14:anchorId="2284D50E" wp14:editId="5CEE42FD">
                  <wp:extent cx="354330" cy="184785"/>
                  <wp:effectExtent l="0" t="0" r="7620" b="5715"/>
                  <wp:docPr id="146" name="Picture 1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4"/>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354330" cy="184785"/>
                          </a:xfrm>
                          <a:prstGeom prst="rect">
                            <a:avLst/>
                          </a:prstGeom>
                          <a:noFill/>
                          <a:ln>
                            <a:noFill/>
                          </a:ln>
                        </pic:spPr>
                      </pic:pic>
                    </a:graphicData>
                  </a:graphic>
                </wp:inline>
              </w:drawing>
            </w:r>
            <w:r w:rsidRPr="00510185">
              <w:rPr>
                <w:sz w:val="20"/>
                <w:szCs w:val="20"/>
                <w:lang w:val="en-GB"/>
              </w:rPr>
              <w:t xml:space="preserve"> is the linear value of </w:t>
            </w:r>
            <w:r w:rsidRPr="00510185">
              <w:rPr>
                <w:sz w:val="20"/>
                <w:szCs w:val="20"/>
              </w:rPr>
              <w:t>a</w:t>
            </w:r>
            <w:r w:rsidRPr="00510185">
              <w:rPr>
                <w:sz w:val="20"/>
                <w:szCs w:val="20"/>
                <w:lang w:val="en-GB"/>
              </w:rPr>
              <w:t xml:space="preserve"> configured maximum </w:t>
            </w:r>
            <w:r w:rsidRPr="00510185">
              <w:rPr>
                <w:sz w:val="20"/>
                <w:szCs w:val="20"/>
              </w:rPr>
              <w:t>transmission</w:t>
            </w:r>
            <w:r w:rsidRPr="00510185">
              <w:rPr>
                <w:sz w:val="20"/>
                <w:szCs w:val="20"/>
                <w:lang w:val="en-GB"/>
              </w:rPr>
              <w:t xml:space="preserve"> power </w:t>
            </w:r>
            <w:r w:rsidRPr="00510185">
              <w:rPr>
                <w:sz w:val="20"/>
                <w:szCs w:val="20"/>
              </w:rPr>
              <w:t xml:space="preserve">for EN-DC operation </w:t>
            </w:r>
            <w:r w:rsidRPr="00510185">
              <w:rPr>
                <w:sz w:val="20"/>
                <w:szCs w:val="20"/>
                <w:lang w:val="en-GB"/>
              </w:rPr>
              <w:t xml:space="preserve">as </w:t>
            </w:r>
            <w:r w:rsidRPr="00510185">
              <w:rPr>
                <w:iCs/>
                <w:sz w:val="20"/>
                <w:szCs w:val="20"/>
                <w:lang w:val="en-GB"/>
              </w:rPr>
              <w:t xml:space="preserve">defined in </w:t>
            </w:r>
            <w:r w:rsidRPr="00510185">
              <w:rPr>
                <w:sz w:val="20"/>
                <w:szCs w:val="20"/>
                <w:lang w:val="en-GB"/>
              </w:rPr>
              <w:t xml:space="preserve">[8-3, TS 38.101-3] for FR1, </w:t>
            </w:r>
            <w:r w:rsidRPr="00510185">
              <w:rPr>
                <w:sz w:val="20"/>
                <w:szCs w:val="20"/>
                <w:lang w:val="en-GB" w:eastAsia="ja-JP"/>
              </w:rPr>
              <w:t>the UE determines a transmission power for the SCG as follows.</w:t>
            </w:r>
          </w:p>
          <w:p w14:paraId="6F02A992" w14:textId="77777777" w:rsidR="008138CD" w:rsidRPr="00510185" w:rsidRDefault="008138CD" w:rsidP="006A334D">
            <w:pPr>
              <w:spacing w:after="180"/>
              <w:ind w:left="1288" w:hanging="284"/>
              <w:rPr>
                <w:rFonts w:eastAsia="Calibri"/>
                <w:sz w:val="20"/>
                <w:szCs w:val="20"/>
              </w:rPr>
            </w:pPr>
            <w:r w:rsidRPr="00510185">
              <w:rPr>
                <w:rFonts w:eastAsia="Calibri"/>
                <w:sz w:val="20"/>
                <w:szCs w:val="20"/>
                <w:lang w:val="x-none" w:eastAsia="ja-JP"/>
              </w:rPr>
              <w:t>-</w:t>
            </w:r>
            <w:r w:rsidRPr="00510185">
              <w:rPr>
                <w:rFonts w:eastAsia="Calibri"/>
                <w:sz w:val="20"/>
                <w:szCs w:val="20"/>
                <w:lang w:val="x-none" w:eastAsia="ja-JP"/>
              </w:rPr>
              <w:tab/>
              <w:t xml:space="preserve">If the UE </w:t>
            </w:r>
            <w:r w:rsidRPr="00510185">
              <w:rPr>
                <w:rFonts w:eastAsia="Calibri"/>
                <w:sz w:val="20"/>
                <w:szCs w:val="20"/>
                <w:lang w:eastAsia="ja-JP"/>
              </w:rPr>
              <w:t xml:space="preserve">is </w:t>
            </w:r>
            <w:r w:rsidRPr="00510185">
              <w:rPr>
                <w:rFonts w:eastAsia="Calibri"/>
                <w:sz w:val="20"/>
                <w:szCs w:val="20"/>
                <w:lang w:val="x-none"/>
              </w:rPr>
              <w:t xml:space="preserve">configured with reference TDD configuration </w:t>
            </w:r>
            <w:r w:rsidRPr="00510185">
              <w:rPr>
                <w:rFonts w:eastAsia="Calibri"/>
                <w:sz w:val="20"/>
                <w:szCs w:val="20"/>
              </w:rPr>
              <w:t xml:space="preserve">for E-UTRA (by </w:t>
            </w:r>
            <w:r w:rsidRPr="00510185">
              <w:rPr>
                <w:rFonts w:eastAsia="Calibri"/>
                <w:i/>
                <w:iCs/>
                <w:sz w:val="20"/>
                <w:szCs w:val="20"/>
                <w:lang w:val="x-none"/>
              </w:rPr>
              <w:t>tdm-PatternConfig-r15</w:t>
            </w:r>
            <w:r w:rsidRPr="00510185">
              <w:rPr>
                <w:rFonts w:eastAsia="Calibri"/>
                <w:sz w:val="20"/>
                <w:szCs w:val="20"/>
              </w:rPr>
              <w:t xml:space="preserve"> or by </w:t>
            </w:r>
            <w:r w:rsidRPr="00510185">
              <w:rPr>
                <w:rFonts w:eastAsia="Calibri"/>
                <w:i/>
                <w:iCs/>
                <w:sz w:val="20"/>
                <w:szCs w:val="20"/>
                <w:lang w:val="x-none"/>
              </w:rPr>
              <w:t>tdm-PatternConfig-r16</w:t>
            </w:r>
            <w:r w:rsidRPr="00510185">
              <w:rPr>
                <w:rFonts w:eastAsia="Calibri"/>
                <w:sz w:val="20"/>
                <w:szCs w:val="20"/>
                <w:lang w:val="x-none"/>
              </w:rPr>
              <w:t xml:space="preserve"> </w:t>
            </w:r>
            <w:r w:rsidRPr="00510185">
              <w:rPr>
                <w:rFonts w:eastAsia="Calibri"/>
                <w:sz w:val="20"/>
                <w:szCs w:val="20"/>
              </w:rPr>
              <w:t xml:space="preserve">in </w:t>
            </w:r>
            <w:r w:rsidRPr="00510185">
              <w:rPr>
                <w:rFonts w:eastAsia="Calibri"/>
                <w:sz w:val="20"/>
                <w:szCs w:val="20"/>
                <w:lang w:val="x-none"/>
              </w:rPr>
              <w:t>[13, TS 36.213]</w:t>
            </w:r>
            <w:r w:rsidRPr="00510185">
              <w:rPr>
                <w:rFonts w:eastAsia="Calibri"/>
                <w:sz w:val="20"/>
                <w:szCs w:val="20"/>
              </w:rPr>
              <w:t>)</w:t>
            </w:r>
          </w:p>
          <w:p w14:paraId="543044BE" w14:textId="77777777" w:rsidR="008138CD" w:rsidRPr="00510185" w:rsidRDefault="008138CD" w:rsidP="006A334D">
            <w:pPr>
              <w:spacing w:after="180"/>
              <w:ind w:left="1571" w:hanging="284"/>
              <w:rPr>
                <w:rFonts w:eastAsia="Calibri"/>
                <w:sz w:val="20"/>
                <w:szCs w:val="20"/>
                <w:lang w:val="x-none"/>
              </w:rPr>
            </w:pPr>
            <w:r w:rsidRPr="00510185">
              <w:rPr>
                <w:rFonts w:eastAsia="Calibri"/>
                <w:sz w:val="20"/>
                <w:szCs w:val="20"/>
              </w:rPr>
              <w:t>-</w:t>
            </w:r>
            <w:r w:rsidRPr="00510185">
              <w:rPr>
                <w:rFonts w:eastAsia="Calibri"/>
                <w:sz w:val="20"/>
                <w:szCs w:val="20"/>
              </w:rPr>
              <w:tab/>
              <w:t xml:space="preserve">If the UE does </w:t>
            </w:r>
            <w:r w:rsidRPr="00510185">
              <w:rPr>
                <w:rFonts w:eastAsia="Calibri"/>
                <w:sz w:val="20"/>
                <w:szCs w:val="20"/>
                <w:lang w:val="x-none" w:eastAsia="ja-JP"/>
              </w:rPr>
              <w:t>not indicate a capability for dynamic power sharing</w:t>
            </w:r>
            <w:r w:rsidRPr="00510185">
              <w:rPr>
                <w:rFonts w:eastAsia="Calibri"/>
                <w:sz w:val="20"/>
                <w:szCs w:val="20"/>
                <w:lang w:eastAsia="ja-JP"/>
              </w:rPr>
              <w:t xml:space="preserve"> between E-UTRA and NR for EN-DC, </w:t>
            </w:r>
            <w:proofErr w:type="spellStart"/>
            <w:r w:rsidRPr="00510185">
              <w:rPr>
                <w:rFonts w:eastAsia="Calibri"/>
                <w:sz w:val="20"/>
                <w:szCs w:val="20"/>
              </w:rPr>
              <w:t>t</w:t>
            </w:r>
            <w:r w:rsidRPr="00510185">
              <w:rPr>
                <w:rFonts w:eastAsia="Calibri"/>
                <w:sz w:val="20"/>
                <w:szCs w:val="20"/>
                <w:lang w:val="x-none"/>
              </w:rPr>
              <w:t>he</w:t>
            </w:r>
            <w:proofErr w:type="spellEnd"/>
            <w:r w:rsidRPr="00510185">
              <w:rPr>
                <w:rFonts w:eastAsia="Calibri"/>
                <w:sz w:val="20"/>
                <w:szCs w:val="20"/>
                <w:lang w:val="x-none"/>
              </w:rPr>
              <w:t xml:space="preserve"> UE </w:t>
            </w:r>
            <w:r w:rsidRPr="00510185">
              <w:rPr>
                <w:rFonts w:eastAsia="Calibri"/>
                <w:sz w:val="20"/>
                <w:szCs w:val="20"/>
              </w:rPr>
              <w:t>does</w:t>
            </w:r>
            <w:r w:rsidRPr="00510185">
              <w:rPr>
                <w:rFonts w:eastAsia="Calibri"/>
                <w:sz w:val="20"/>
                <w:szCs w:val="20"/>
                <w:lang w:val="x-none"/>
              </w:rPr>
              <w:t xml:space="preserve"> not transmit in a slot on the SCG</w:t>
            </w:r>
            <w:r w:rsidRPr="00510185">
              <w:rPr>
                <w:rFonts w:eastAsia="Calibri"/>
                <w:sz w:val="20"/>
                <w:szCs w:val="20"/>
              </w:rPr>
              <w:t xml:space="preserve"> in FR1</w:t>
            </w:r>
            <w:r w:rsidRPr="00510185">
              <w:rPr>
                <w:rFonts w:eastAsia="Calibri"/>
                <w:sz w:val="20"/>
                <w:szCs w:val="20"/>
                <w:lang w:val="x-none"/>
              </w:rPr>
              <w:t xml:space="preserve"> </w:t>
            </w:r>
            <w:r w:rsidRPr="00510185">
              <w:rPr>
                <w:rFonts w:eastAsia="Calibri"/>
                <w:sz w:val="20"/>
                <w:szCs w:val="20"/>
              </w:rPr>
              <w:t>when</w:t>
            </w:r>
            <w:r w:rsidRPr="00510185">
              <w:rPr>
                <w:rFonts w:eastAsia="Calibri"/>
                <w:sz w:val="20"/>
                <w:szCs w:val="20"/>
                <w:lang w:val="x-none"/>
              </w:rPr>
              <w:t xml:space="preserve"> a corresponding subframe on the MCG is an UL subframe in the reference TDD configuration.</w:t>
            </w:r>
          </w:p>
          <w:p w14:paraId="5ACA0CDB" w14:textId="77777777" w:rsidR="008138CD" w:rsidRPr="00510185" w:rsidRDefault="008138CD" w:rsidP="006A334D">
            <w:pPr>
              <w:spacing w:after="180"/>
              <w:ind w:left="1571" w:hanging="284"/>
              <w:rPr>
                <w:rFonts w:eastAsia="Calibri"/>
                <w:color w:val="FF0000"/>
                <w:sz w:val="20"/>
                <w:szCs w:val="20"/>
                <w:lang w:val="x-none"/>
              </w:rPr>
            </w:pPr>
            <w:r w:rsidRPr="00510185">
              <w:rPr>
                <w:rFonts w:eastAsia="Calibri"/>
                <w:sz w:val="20"/>
                <w:szCs w:val="20"/>
              </w:rPr>
              <w:t>-</w:t>
            </w:r>
            <w:r w:rsidRPr="00510185">
              <w:rPr>
                <w:rFonts w:eastAsia="Calibri"/>
                <w:sz w:val="20"/>
                <w:szCs w:val="20"/>
              </w:rPr>
              <w:tab/>
            </w:r>
            <w:r w:rsidRPr="007F0A97">
              <w:rPr>
                <w:rFonts w:eastAsia="Calibri"/>
                <w:strike/>
                <w:color w:val="FF0000"/>
                <w:sz w:val="20"/>
                <w:szCs w:val="20"/>
              </w:rPr>
              <w:t xml:space="preserve">If </w:t>
            </w:r>
            <w:r w:rsidRPr="007F0A97">
              <w:rPr>
                <w:rFonts w:eastAsia="Calibri"/>
                <w:strike/>
                <w:color w:val="FF0000"/>
                <w:sz w:val="20"/>
                <w:szCs w:val="20"/>
                <w:lang w:val="x-none"/>
              </w:rPr>
              <w:t xml:space="preserve">the UE indicates a capability for dynamic power sharing between E-UTRA and NR for EN-DC, and does not indicate a capability </w:t>
            </w:r>
            <w:proofErr w:type="spellStart"/>
            <w:r w:rsidRPr="007F0A97">
              <w:rPr>
                <w:rFonts w:eastAsia="Calibri"/>
                <w:i/>
                <w:iCs/>
                <w:strike/>
                <w:color w:val="FF0000"/>
                <w:sz w:val="20"/>
                <w:szCs w:val="20"/>
                <w:lang w:val="x-none"/>
              </w:rPr>
              <w:t>tdm</w:t>
            </w:r>
            <w:proofErr w:type="spellEnd"/>
            <w:r w:rsidRPr="007F0A97">
              <w:rPr>
                <w:rFonts w:eastAsia="Calibri"/>
                <w:i/>
                <w:iCs/>
                <w:strike/>
                <w:color w:val="FF0000"/>
                <w:sz w:val="20"/>
                <w:szCs w:val="20"/>
                <w:lang w:val="x-none"/>
              </w:rPr>
              <w:t>-Pattern-</w:t>
            </w:r>
            <w:proofErr w:type="spellStart"/>
            <w:r w:rsidRPr="007F0A97">
              <w:rPr>
                <w:rFonts w:eastAsia="Calibri"/>
                <w:i/>
                <w:iCs/>
                <w:strike/>
                <w:color w:val="FF0000"/>
                <w:sz w:val="20"/>
                <w:szCs w:val="20"/>
                <w:lang w:val="x-none"/>
              </w:rPr>
              <w:t>dualTx</w:t>
            </w:r>
            <w:proofErr w:type="spellEnd"/>
            <w:r w:rsidRPr="007F0A97">
              <w:rPr>
                <w:rFonts w:eastAsia="Calibri"/>
                <w:strike/>
                <w:color w:val="FF0000"/>
                <w:sz w:val="20"/>
                <w:szCs w:val="20"/>
                <w:lang w:val="x-none"/>
              </w:rPr>
              <w:t xml:space="preserve"> in [16, TS 38.306], and is configured with </w:t>
            </w:r>
            <w:r w:rsidRPr="007F0A97">
              <w:rPr>
                <w:rFonts w:eastAsia="Calibri"/>
                <w:i/>
                <w:iCs/>
                <w:strike/>
                <w:color w:val="FF0000"/>
                <w:sz w:val="20"/>
                <w:szCs w:val="20"/>
                <w:lang w:val="x-none"/>
              </w:rPr>
              <w:t>tdm-PatternConfig-r16</w:t>
            </w:r>
            <w:r w:rsidRPr="007F0A97">
              <w:rPr>
                <w:rFonts w:eastAsia="Calibri"/>
                <w:strike/>
                <w:color w:val="FF0000"/>
                <w:sz w:val="20"/>
                <w:szCs w:val="20"/>
                <w:lang w:val="x-none"/>
              </w:rPr>
              <w:t>, the UE does not transmit on the SCG in FR1 when the UE has overlapped transmission on a subframe on the MCG.</w:t>
            </w:r>
          </w:p>
          <w:p w14:paraId="145C139D" w14:textId="77777777" w:rsidR="008138CD" w:rsidRPr="00510185" w:rsidRDefault="008138CD" w:rsidP="006A334D">
            <w:pPr>
              <w:spacing w:after="180"/>
              <w:ind w:left="1288" w:hanging="284"/>
              <w:rPr>
                <w:rFonts w:eastAsia="Calibri"/>
                <w:sz w:val="20"/>
                <w:szCs w:val="20"/>
              </w:rPr>
            </w:pPr>
            <w:r w:rsidRPr="00510185">
              <w:rPr>
                <w:rFonts w:eastAsia="Calibri"/>
                <w:sz w:val="20"/>
                <w:szCs w:val="20"/>
                <w:lang w:val="x-none" w:eastAsia="ja-JP"/>
              </w:rPr>
              <w:t>-</w:t>
            </w:r>
            <w:r w:rsidRPr="00510185">
              <w:rPr>
                <w:rFonts w:eastAsia="Calibri"/>
                <w:sz w:val="20"/>
                <w:szCs w:val="20"/>
                <w:lang w:val="x-none" w:eastAsia="ja-JP"/>
              </w:rPr>
              <w:tab/>
              <w:t>If the UE indicate</w:t>
            </w:r>
            <w:r w:rsidRPr="00510185">
              <w:rPr>
                <w:rFonts w:eastAsia="Calibri"/>
                <w:sz w:val="20"/>
                <w:szCs w:val="20"/>
                <w:lang w:eastAsia="ja-JP"/>
              </w:rPr>
              <w:t>s</w:t>
            </w:r>
            <w:r w:rsidRPr="00510185">
              <w:rPr>
                <w:rFonts w:eastAsia="Calibri"/>
                <w:sz w:val="20"/>
                <w:szCs w:val="20"/>
                <w:lang w:val="x-none" w:eastAsia="ja-JP"/>
              </w:rPr>
              <w:t xml:space="preserve"> a capability for dynamic power sharing</w:t>
            </w:r>
            <w:r w:rsidRPr="00510185">
              <w:rPr>
                <w:rFonts w:eastAsia="Calibri"/>
                <w:sz w:val="20"/>
                <w:szCs w:val="20"/>
                <w:lang w:eastAsia="ja-JP"/>
              </w:rPr>
              <w:t xml:space="preserve"> between E-UTRA and NR for EN-DC and</w:t>
            </w:r>
          </w:p>
          <w:p w14:paraId="2B6930A6" w14:textId="77777777" w:rsidR="008138CD" w:rsidRPr="007F0A97" w:rsidRDefault="008138CD" w:rsidP="006A334D">
            <w:pPr>
              <w:spacing w:after="180"/>
              <w:ind w:left="1571" w:hanging="284"/>
              <w:rPr>
                <w:rFonts w:eastAsia="Calibri"/>
                <w:sz w:val="20"/>
                <w:szCs w:val="20"/>
              </w:rPr>
            </w:pPr>
            <w:r w:rsidRPr="00510185">
              <w:rPr>
                <w:rFonts w:eastAsia="Calibri"/>
                <w:sz w:val="20"/>
                <w:szCs w:val="20"/>
              </w:rPr>
              <w:t>-</w:t>
            </w:r>
            <w:r w:rsidRPr="00510185">
              <w:rPr>
                <w:rFonts w:eastAsia="Calibri"/>
                <w:sz w:val="20"/>
                <w:szCs w:val="20"/>
              </w:rPr>
              <w:tab/>
              <w:t xml:space="preserve">if UE transmission(s) in subframe </w:t>
            </w:r>
            <w:r w:rsidRPr="00510185">
              <w:rPr>
                <w:rFonts w:eastAsia="Calibri"/>
                <w:noProof/>
                <w:position w:val="-10"/>
                <w:sz w:val="20"/>
                <w:szCs w:val="20"/>
                <w:lang w:eastAsia="ko-KR"/>
              </w:rPr>
              <w:drawing>
                <wp:inline distT="0" distB="0" distL="0" distR="0" wp14:anchorId="3B8CD9FF" wp14:editId="2593EFAB">
                  <wp:extent cx="95250" cy="184785"/>
                  <wp:effectExtent l="0" t="0" r="0" b="5715"/>
                  <wp:docPr id="147" name="Picture 1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5"/>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95250" cy="184785"/>
                          </a:xfrm>
                          <a:prstGeom prst="rect">
                            <a:avLst/>
                          </a:prstGeom>
                          <a:noFill/>
                          <a:ln>
                            <a:noFill/>
                          </a:ln>
                        </pic:spPr>
                      </pic:pic>
                    </a:graphicData>
                  </a:graphic>
                </wp:inline>
              </w:drawing>
            </w:r>
            <w:r w:rsidRPr="00510185">
              <w:rPr>
                <w:rFonts w:eastAsia="Calibri"/>
                <w:sz w:val="20"/>
                <w:szCs w:val="20"/>
                <w:lang w:val="x-none"/>
              </w:rPr>
              <w:t xml:space="preserve"> </w:t>
            </w:r>
            <w:r w:rsidRPr="00510185">
              <w:rPr>
                <w:rFonts w:eastAsia="Calibri"/>
                <w:sz w:val="20"/>
                <w:szCs w:val="20"/>
              </w:rPr>
              <w:t xml:space="preserve">of the MCG overlap in time with UE transmission(s) in slot </w:t>
            </w:r>
            <w:r w:rsidRPr="00510185">
              <w:rPr>
                <w:rFonts w:eastAsia="Calibri"/>
                <w:noProof/>
                <w:position w:val="-10"/>
                <w:sz w:val="20"/>
                <w:szCs w:val="20"/>
                <w:lang w:eastAsia="ko-KR"/>
              </w:rPr>
              <w:drawing>
                <wp:inline distT="0" distB="0" distL="0" distR="0" wp14:anchorId="375E3968" wp14:editId="34CD0CCB">
                  <wp:extent cx="95250" cy="184785"/>
                  <wp:effectExtent l="0" t="0" r="0" b="5715"/>
                  <wp:docPr id="148" name="Picture 1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6"/>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95250" cy="184785"/>
                          </a:xfrm>
                          <a:prstGeom prst="rect">
                            <a:avLst/>
                          </a:prstGeom>
                          <a:noFill/>
                          <a:ln>
                            <a:noFill/>
                          </a:ln>
                        </pic:spPr>
                      </pic:pic>
                    </a:graphicData>
                  </a:graphic>
                </wp:inline>
              </w:drawing>
            </w:r>
            <w:r w:rsidRPr="00510185">
              <w:rPr>
                <w:rFonts w:eastAsia="Calibri"/>
                <w:sz w:val="20"/>
                <w:szCs w:val="20"/>
              </w:rPr>
              <w:t xml:space="preserve"> of the SCG in FR1, and</w:t>
            </w:r>
          </w:p>
        </w:tc>
      </w:tr>
    </w:tbl>
    <w:p w14:paraId="0D051669" w14:textId="26AE71C8" w:rsidR="00650D8D" w:rsidRPr="00BE64B9" w:rsidRDefault="00650D8D" w:rsidP="00650D8D">
      <w:pPr>
        <w:jc w:val="both"/>
        <w:rPr>
          <w:sz w:val="20"/>
          <w:szCs w:val="20"/>
          <w:lang w:eastAsia="ja-JP" w:bidi="hi-IN"/>
        </w:rPr>
      </w:pPr>
    </w:p>
    <w:tbl>
      <w:tblPr>
        <w:tblStyle w:val="TableGrid"/>
        <w:tblW w:w="0" w:type="auto"/>
        <w:tblLook w:val="04A0" w:firstRow="1" w:lastRow="0" w:firstColumn="1" w:lastColumn="0" w:noHBand="0" w:noVBand="1"/>
      </w:tblPr>
      <w:tblGrid>
        <w:gridCol w:w="9629"/>
      </w:tblGrid>
      <w:tr w:rsidR="008138CD" w14:paraId="67902AA0" w14:textId="77777777" w:rsidTr="006A334D">
        <w:tc>
          <w:tcPr>
            <w:tcW w:w="9629" w:type="dxa"/>
          </w:tcPr>
          <w:p w14:paraId="30705BC4" w14:textId="77777777" w:rsidR="008138CD" w:rsidRPr="007F0A97" w:rsidRDefault="008138CD" w:rsidP="006A334D">
            <w:pPr>
              <w:spacing w:after="100" w:afterAutospacing="1"/>
              <w:rPr>
                <w:rFonts w:ascii="Helvetica" w:hAnsi="Helvetica"/>
                <w:color w:val="000000"/>
              </w:rPr>
            </w:pPr>
            <w:r>
              <w:rPr>
                <w:rFonts w:ascii="Helvetica" w:hAnsi="Helvetica"/>
                <w:color w:val="000000"/>
                <w:sz w:val="20"/>
                <w:szCs w:val="20"/>
              </w:rPr>
              <w:t>          </w:t>
            </w:r>
            <w:r>
              <w:rPr>
                <w:rFonts w:ascii="Helvetica" w:hAnsi="Helvetica"/>
                <w:b/>
                <w:bCs/>
                <w:color w:val="FF0000"/>
                <w:sz w:val="27"/>
                <w:szCs w:val="27"/>
              </w:rPr>
              <w:t>TP option 2</w:t>
            </w:r>
            <w:r>
              <w:rPr>
                <w:rFonts w:ascii="Helvetica" w:hAnsi="Helvetica"/>
                <w:color w:val="000000"/>
                <w:sz w:val="20"/>
                <w:szCs w:val="20"/>
              </w:rPr>
              <w:t> </w:t>
            </w:r>
            <w:r>
              <w:rPr>
                <w:sz w:val="20"/>
                <w:szCs w:val="20"/>
                <w:lang w:eastAsia="ja-JP" w:bidi="hi-IN"/>
              </w:rPr>
              <w:tab/>
            </w:r>
          </w:p>
          <w:p w14:paraId="617D2A72" w14:textId="1F92D486" w:rsidR="008138CD" w:rsidRPr="00510185" w:rsidRDefault="008138CD" w:rsidP="006A334D">
            <w:pPr>
              <w:rPr>
                <w:sz w:val="20"/>
                <w:szCs w:val="20"/>
              </w:rPr>
            </w:pPr>
            <w:r w:rsidRPr="00510185">
              <w:rPr>
                <w:sz w:val="20"/>
                <w:szCs w:val="20"/>
              </w:rPr>
              <w:t>---------------------------- start TP</w:t>
            </w:r>
            <w:r w:rsidR="00685C19">
              <w:rPr>
                <w:sz w:val="20"/>
                <w:szCs w:val="20"/>
              </w:rPr>
              <w:t>2</w:t>
            </w:r>
            <w:r w:rsidRPr="00510185">
              <w:rPr>
                <w:sz w:val="20"/>
                <w:szCs w:val="20"/>
              </w:rPr>
              <w:t xml:space="preserve"> to sub clause 7.6.1 of 38.213v16.</w:t>
            </w:r>
            <w:r w:rsidR="00B260D2">
              <w:rPr>
                <w:sz w:val="20"/>
                <w:szCs w:val="20"/>
              </w:rPr>
              <w:t>1</w:t>
            </w:r>
            <w:r w:rsidRPr="00510185">
              <w:rPr>
                <w:sz w:val="20"/>
                <w:szCs w:val="20"/>
              </w:rPr>
              <w:t>.0 --------------------------------------</w:t>
            </w:r>
          </w:p>
          <w:p w14:paraId="19D232C1" w14:textId="77777777" w:rsidR="008138CD" w:rsidRPr="00510185" w:rsidRDefault="008138CD" w:rsidP="006A334D">
            <w:pPr>
              <w:rPr>
                <w:sz w:val="20"/>
                <w:szCs w:val="20"/>
              </w:rPr>
            </w:pPr>
          </w:p>
          <w:p w14:paraId="2FF1D9B3" w14:textId="77777777" w:rsidR="008138CD" w:rsidRPr="00510185" w:rsidRDefault="008138CD" w:rsidP="006A334D">
            <w:pPr>
              <w:spacing w:after="180"/>
              <w:ind w:left="720"/>
              <w:rPr>
                <w:rFonts w:ascii="Arial" w:hAnsi="Arial" w:cs="Arial"/>
                <w:sz w:val="20"/>
                <w:szCs w:val="20"/>
                <w:lang w:val="en-GB"/>
              </w:rPr>
            </w:pPr>
            <w:r w:rsidRPr="00510185">
              <w:rPr>
                <w:rFonts w:ascii="Arial" w:hAnsi="Arial" w:cs="Arial"/>
                <w:sz w:val="20"/>
                <w:szCs w:val="20"/>
                <w:lang w:val="en-GB"/>
              </w:rPr>
              <w:t>7.6.1</w:t>
            </w:r>
            <w:r w:rsidRPr="00510185">
              <w:rPr>
                <w:rFonts w:ascii="Arial" w:hAnsi="Arial" w:cs="Arial"/>
                <w:sz w:val="20"/>
                <w:szCs w:val="20"/>
                <w:lang w:val="en-GB"/>
              </w:rPr>
              <w:tab/>
              <w:t>EN-DC</w:t>
            </w:r>
          </w:p>
          <w:p w14:paraId="6C397BB8" w14:textId="77777777" w:rsidR="008138CD" w:rsidRPr="00510185" w:rsidRDefault="008138CD" w:rsidP="006A334D">
            <w:pPr>
              <w:spacing w:after="180"/>
              <w:ind w:left="720"/>
              <w:rPr>
                <w:sz w:val="20"/>
                <w:szCs w:val="20"/>
                <w:lang w:val="en-GB" w:eastAsia="ja-JP"/>
              </w:rPr>
            </w:pPr>
            <w:r w:rsidRPr="00510185">
              <w:rPr>
                <w:sz w:val="20"/>
                <w:szCs w:val="20"/>
                <w:lang w:val="en-GB"/>
              </w:rPr>
              <w:t xml:space="preserve">If a UE is configured with a MCG using E-UTRA radio access and with a SCG using </w:t>
            </w:r>
            <w:r w:rsidRPr="00510185">
              <w:rPr>
                <w:sz w:val="20"/>
                <w:szCs w:val="20"/>
                <w:lang w:val="en-GB" w:eastAsia="ja-JP"/>
              </w:rPr>
              <w:t xml:space="preserve">NR radio access, the UE is configured a maximum power </w:t>
            </w:r>
            <w:r w:rsidRPr="00510185">
              <w:rPr>
                <w:noProof/>
                <w:position w:val="-10"/>
                <w:sz w:val="20"/>
                <w:szCs w:val="20"/>
                <w:lang w:eastAsia="ko-KR"/>
              </w:rPr>
              <w:drawing>
                <wp:inline distT="0" distB="0" distL="0" distR="0" wp14:anchorId="20C018E3" wp14:editId="0487915D">
                  <wp:extent cx="280035" cy="184785"/>
                  <wp:effectExtent l="0" t="0" r="0" b="5715"/>
                  <wp:docPr id="175" name="Picture 1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5"/>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80035" cy="184785"/>
                          </a:xfrm>
                          <a:prstGeom prst="rect">
                            <a:avLst/>
                          </a:prstGeom>
                          <a:noFill/>
                          <a:ln>
                            <a:noFill/>
                          </a:ln>
                        </pic:spPr>
                      </pic:pic>
                    </a:graphicData>
                  </a:graphic>
                </wp:inline>
              </w:drawing>
            </w:r>
            <w:r w:rsidRPr="00510185">
              <w:rPr>
                <w:sz w:val="20"/>
                <w:szCs w:val="20"/>
                <w:lang w:val="en-GB" w:eastAsia="ja-JP"/>
              </w:rPr>
              <w:t xml:space="preserve"> for transmissions on the MCG by </w:t>
            </w:r>
            <w:r w:rsidRPr="00510185">
              <w:rPr>
                <w:i/>
                <w:sz w:val="20"/>
                <w:szCs w:val="20"/>
                <w:lang w:val="en-GB" w:eastAsia="ja-JP"/>
              </w:rPr>
              <w:t>p-</w:t>
            </w:r>
            <w:proofErr w:type="spellStart"/>
            <w:r w:rsidRPr="00510185">
              <w:rPr>
                <w:i/>
                <w:sz w:val="20"/>
                <w:szCs w:val="20"/>
                <w:lang w:val="en-GB" w:eastAsia="ja-JP"/>
              </w:rPr>
              <w:t>MaxEUTRA</w:t>
            </w:r>
            <w:proofErr w:type="spellEnd"/>
            <w:r w:rsidRPr="00510185">
              <w:rPr>
                <w:sz w:val="20"/>
                <w:szCs w:val="20"/>
                <w:lang w:val="en-GB" w:eastAsia="ja-JP"/>
              </w:rPr>
              <w:t xml:space="preserve"> and a maximum power </w:t>
            </w:r>
            <w:r w:rsidRPr="00510185">
              <w:rPr>
                <w:noProof/>
                <w:position w:val="-10"/>
                <w:sz w:val="20"/>
                <w:szCs w:val="20"/>
                <w:lang w:eastAsia="ko-KR"/>
              </w:rPr>
              <w:drawing>
                <wp:inline distT="0" distB="0" distL="0" distR="0" wp14:anchorId="5FE0488B" wp14:editId="3A4BD955">
                  <wp:extent cx="280035" cy="184785"/>
                  <wp:effectExtent l="0" t="0" r="0" b="5715"/>
                  <wp:docPr id="176" name="Picture 1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6"/>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80035" cy="184785"/>
                          </a:xfrm>
                          <a:prstGeom prst="rect">
                            <a:avLst/>
                          </a:prstGeom>
                          <a:noFill/>
                          <a:ln>
                            <a:noFill/>
                          </a:ln>
                        </pic:spPr>
                      </pic:pic>
                    </a:graphicData>
                  </a:graphic>
                </wp:inline>
              </w:drawing>
            </w:r>
            <w:r w:rsidRPr="00510185">
              <w:rPr>
                <w:sz w:val="20"/>
                <w:szCs w:val="20"/>
                <w:lang w:val="en-GB"/>
              </w:rPr>
              <w:t xml:space="preserve"> </w:t>
            </w:r>
            <w:r w:rsidRPr="00510185">
              <w:rPr>
                <w:sz w:val="20"/>
                <w:szCs w:val="20"/>
                <w:lang w:val="en-GB" w:eastAsia="ja-JP"/>
              </w:rPr>
              <w:t xml:space="preserve">for transmissions in FR1 on the SCG by </w:t>
            </w:r>
            <w:r w:rsidRPr="00510185">
              <w:rPr>
                <w:i/>
                <w:sz w:val="20"/>
                <w:szCs w:val="20"/>
                <w:lang w:val="en-GB" w:eastAsia="ja-JP"/>
              </w:rPr>
              <w:t>p-NR-FR1</w:t>
            </w:r>
            <w:r w:rsidRPr="00510185">
              <w:rPr>
                <w:sz w:val="20"/>
                <w:szCs w:val="20"/>
                <w:lang w:val="en-GB" w:eastAsia="ja-JP"/>
              </w:rPr>
              <w:t xml:space="preserve">. </w:t>
            </w:r>
          </w:p>
          <w:p w14:paraId="744C3DEC" w14:textId="77777777" w:rsidR="008138CD" w:rsidRPr="00510185" w:rsidRDefault="008138CD" w:rsidP="006A334D">
            <w:pPr>
              <w:spacing w:after="180"/>
              <w:ind w:left="720"/>
              <w:rPr>
                <w:sz w:val="20"/>
                <w:szCs w:val="20"/>
                <w:lang w:val="en-GB" w:eastAsia="ja-JP"/>
              </w:rPr>
            </w:pPr>
            <w:r w:rsidRPr="00510185">
              <w:rPr>
                <w:sz w:val="20"/>
                <w:szCs w:val="20"/>
              </w:rPr>
              <w:t>T</w:t>
            </w:r>
            <w:r w:rsidRPr="00510185">
              <w:rPr>
                <w:sz w:val="20"/>
                <w:szCs w:val="20"/>
                <w:lang w:val="en-GB"/>
              </w:rPr>
              <w:t xml:space="preserve">he UE determines a transmission power for the MCG as described in [13, TS 36.213] </w:t>
            </w:r>
            <w:r w:rsidRPr="00510185">
              <w:rPr>
                <w:sz w:val="20"/>
                <w:szCs w:val="20"/>
              </w:rPr>
              <w:t xml:space="preserve">using </w:t>
            </w:r>
            <w:r w:rsidRPr="00510185">
              <w:rPr>
                <w:noProof/>
                <w:position w:val="-10"/>
                <w:sz w:val="20"/>
                <w:szCs w:val="20"/>
                <w:lang w:eastAsia="ko-KR"/>
              </w:rPr>
              <w:drawing>
                <wp:inline distT="0" distB="0" distL="0" distR="0" wp14:anchorId="0ADD6DBF" wp14:editId="6BC7E005">
                  <wp:extent cx="280035" cy="184785"/>
                  <wp:effectExtent l="0" t="0" r="0" b="5715"/>
                  <wp:docPr id="177" name="Picture 1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7"/>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80035" cy="184785"/>
                          </a:xfrm>
                          <a:prstGeom prst="rect">
                            <a:avLst/>
                          </a:prstGeom>
                          <a:noFill/>
                          <a:ln>
                            <a:noFill/>
                          </a:ln>
                        </pic:spPr>
                      </pic:pic>
                    </a:graphicData>
                  </a:graphic>
                </wp:inline>
              </w:drawing>
            </w:r>
            <w:r w:rsidRPr="00510185">
              <w:rPr>
                <w:sz w:val="20"/>
                <w:szCs w:val="20"/>
              </w:rPr>
              <w:t xml:space="preserve"> as the maximum transmission power. The UE determines</w:t>
            </w:r>
            <w:r w:rsidRPr="00510185">
              <w:rPr>
                <w:sz w:val="20"/>
                <w:szCs w:val="20"/>
                <w:lang w:val="en-GB"/>
              </w:rPr>
              <w:t xml:space="preserve"> transmission power for the SCG </w:t>
            </w:r>
            <w:r w:rsidRPr="00510185">
              <w:rPr>
                <w:sz w:val="20"/>
                <w:szCs w:val="20"/>
                <w:lang w:val="en-GB" w:eastAsia="ja-JP"/>
              </w:rPr>
              <w:t>in FR1</w:t>
            </w:r>
            <w:r w:rsidRPr="00510185">
              <w:rPr>
                <w:sz w:val="20"/>
                <w:szCs w:val="20"/>
                <w:lang w:val="en-GB"/>
              </w:rPr>
              <w:t xml:space="preserve"> as described Clauses 7.1 through 7.5</w:t>
            </w:r>
            <w:r w:rsidRPr="00510185">
              <w:rPr>
                <w:sz w:val="20"/>
                <w:szCs w:val="20"/>
              </w:rPr>
              <w:t xml:space="preserve"> using </w:t>
            </w:r>
            <w:r w:rsidRPr="00510185">
              <w:rPr>
                <w:noProof/>
                <w:position w:val="-10"/>
                <w:sz w:val="20"/>
                <w:szCs w:val="20"/>
                <w:lang w:eastAsia="ko-KR"/>
              </w:rPr>
              <w:drawing>
                <wp:inline distT="0" distB="0" distL="0" distR="0" wp14:anchorId="6DEA2363" wp14:editId="4A5C8BAB">
                  <wp:extent cx="280035" cy="184785"/>
                  <wp:effectExtent l="0" t="0" r="0" b="5715"/>
                  <wp:docPr id="178" name="Picture 1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8"/>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80035" cy="184785"/>
                          </a:xfrm>
                          <a:prstGeom prst="rect">
                            <a:avLst/>
                          </a:prstGeom>
                          <a:noFill/>
                          <a:ln>
                            <a:noFill/>
                          </a:ln>
                        </pic:spPr>
                      </pic:pic>
                    </a:graphicData>
                  </a:graphic>
                </wp:inline>
              </w:drawing>
            </w:r>
            <w:r w:rsidRPr="00510185">
              <w:rPr>
                <w:sz w:val="20"/>
                <w:szCs w:val="20"/>
              </w:rPr>
              <w:t xml:space="preserve"> as the maximum transmission power. The UE determines</w:t>
            </w:r>
            <w:r w:rsidRPr="00510185">
              <w:rPr>
                <w:sz w:val="20"/>
                <w:szCs w:val="20"/>
                <w:lang w:val="en-GB"/>
              </w:rPr>
              <w:t xml:space="preserve"> transmission power for the SCG in </w:t>
            </w:r>
            <w:r w:rsidRPr="00510185">
              <w:rPr>
                <w:sz w:val="20"/>
                <w:szCs w:val="20"/>
                <w:lang w:val="en-GB" w:eastAsia="ja-JP"/>
              </w:rPr>
              <w:t>FR</w:t>
            </w:r>
            <w:r w:rsidRPr="00510185">
              <w:rPr>
                <w:sz w:val="20"/>
                <w:szCs w:val="20"/>
                <w:lang w:val="en-GB"/>
              </w:rPr>
              <w:t>2 as described Clauses 7.1 through 7.5.</w:t>
            </w:r>
          </w:p>
          <w:p w14:paraId="2BF07F25" w14:textId="77777777" w:rsidR="008138CD" w:rsidRPr="00510185" w:rsidRDefault="008138CD" w:rsidP="006A334D">
            <w:pPr>
              <w:spacing w:after="180"/>
              <w:ind w:left="720"/>
              <w:rPr>
                <w:sz w:val="20"/>
                <w:szCs w:val="20"/>
                <w:lang w:val="en-GB" w:eastAsia="ja-JP"/>
              </w:rPr>
            </w:pPr>
            <w:r w:rsidRPr="00510185">
              <w:rPr>
                <w:sz w:val="20"/>
                <w:szCs w:val="20"/>
                <w:lang w:val="en-GB" w:eastAsia="ja-JP"/>
              </w:rPr>
              <w:t xml:space="preserve">A UE </w:t>
            </w:r>
            <w:r w:rsidRPr="00510185">
              <w:rPr>
                <w:sz w:val="20"/>
                <w:szCs w:val="20"/>
                <w:lang w:val="en-GB" w:eastAsia="x-none"/>
              </w:rPr>
              <w:t xml:space="preserve">does not expect to be configured </w:t>
            </w:r>
            <w:r w:rsidRPr="00510185">
              <w:rPr>
                <w:sz w:val="20"/>
                <w:szCs w:val="20"/>
                <w:lang w:val="en-GB"/>
              </w:rPr>
              <w:t xml:space="preserve">for operation with shortened TTI and/or processing time [13, TS 36.213] </w:t>
            </w:r>
            <w:r w:rsidRPr="00510185">
              <w:rPr>
                <w:sz w:val="20"/>
                <w:szCs w:val="20"/>
                <w:lang w:val="en-GB" w:eastAsia="x-none"/>
              </w:rPr>
              <w:t>on a cell that is included in an EN-DC configuration.</w:t>
            </w:r>
          </w:p>
          <w:p w14:paraId="444A8462" w14:textId="77777777" w:rsidR="008138CD" w:rsidRPr="007F0A97" w:rsidRDefault="008138CD" w:rsidP="006A334D">
            <w:pPr>
              <w:spacing w:after="180"/>
              <w:ind w:left="720"/>
              <w:rPr>
                <w:color w:val="FF0000"/>
                <w:sz w:val="20"/>
                <w:szCs w:val="20"/>
                <w:u w:val="single"/>
                <w:lang w:eastAsia="ja-JP"/>
              </w:rPr>
            </w:pPr>
            <w:r w:rsidRPr="007F0A97">
              <w:rPr>
                <w:color w:val="FF0000"/>
                <w:sz w:val="20"/>
                <w:szCs w:val="20"/>
                <w:u w:val="single"/>
                <w:lang w:val="en-GB" w:eastAsia="ja-JP"/>
              </w:rPr>
              <w:t>If the UE indicates </w:t>
            </w:r>
            <w:r w:rsidRPr="007F0A97">
              <w:rPr>
                <w:color w:val="FF0000"/>
                <w:sz w:val="20"/>
                <w:szCs w:val="20"/>
                <w:u w:val="single"/>
                <w:lang w:val="x-none" w:eastAsia="ja-JP"/>
              </w:rPr>
              <w:t>capability for dynamic power sharing</w:t>
            </w:r>
            <w:r w:rsidRPr="007F0A97">
              <w:rPr>
                <w:color w:val="FF0000"/>
                <w:sz w:val="20"/>
                <w:szCs w:val="20"/>
                <w:u w:val="single"/>
                <w:lang w:eastAsia="ja-JP"/>
              </w:rPr>
              <w:t xml:space="preserve"> between E-UTRA and NR for EN-DC and does not indicate a capability </w:t>
            </w:r>
            <w:proofErr w:type="spellStart"/>
            <w:r w:rsidRPr="007F0A97">
              <w:rPr>
                <w:color w:val="FF0000"/>
                <w:sz w:val="20"/>
                <w:szCs w:val="20"/>
                <w:u w:val="single"/>
                <w:lang w:eastAsia="ja-JP"/>
              </w:rPr>
              <w:t>tdm</w:t>
            </w:r>
            <w:proofErr w:type="spellEnd"/>
            <w:r w:rsidRPr="007F0A97">
              <w:rPr>
                <w:color w:val="FF0000"/>
                <w:sz w:val="20"/>
                <w:szCs w:val="20"/>
                <w:u w:val="single"/>
                <w:lang w:eastAsia="ja-JP"/>
              </w:rPr>
              <w:t>-Pattern-</w:t>
            </w:r>
            <w:proofErr w:type="spellStart"/>
            <w:r w:rsidRPr="007F0A97">
              <w:rPr>
                <w:color w:val="FF0000"/>
                <w:sz w:val="20"/>
                <w:szCs w:val="20"/>
                <w:u w:val="single"/>
                <w:lang w:eastAsia="ja-JP"/>
              </w:rPr>
              <w:t>dualTx</w:t>
            </w:r>
            <w:proofErr w:type="spellEnd"/>
            <w:r w:rsidRPr="007F0A97">
              <w:rPr>
                <w:color w:val="FF0000"/>
                <w:sz w:val="20"/>
                <w:szCs w:val="20"/>
                <w:u w:val="single"/>
                <w:lang w:eastAsia="ja-JP"/>
              </w:rPr>
              <w:t xml:space="preserve"> in [16, TS 38.306], and is configured with </w:t>
            </w:r>
            <w:r w:rsidRPr="007F0A97">
              <w:rPr>
                <w:i/>
                <w:iCs/>
                <w:color w:val="FF0000"/>
                <w:sz w:val="20"/>
                <w:szCs w:val="20"/>
                <w:u w:val="single"/>
                <w:lang w:eastAsia="ja-JP"/>
              </w:rPr>
              <w:t>tdm-PatternConfig-r16</w:t>
            </w:r>
            <w:r w:rsidRPr="007F0A97">
              <w:rPr>
                <w:color w:val="FF0000"/>
                <w:sz w:val="20"/>
                <w:szCs w:val="20"/>
                <w:u w:val="single"/>
                <w:lang w:eastAsia="ja-JP"/>
              </w:rPr>
              <w:t>, the UE does not transmit on the SCG in FR1 when the UE has overlapped transmission on a subframe on the MCG.</w:t>
            </w:r>
          </w:p>
          <w:p w14:paraId="79C58A8D" w14:textId="77777777" w:rsidR="008138CD" w:rsidRPr="00510185" w:rsidRDefault="008138CD" w:rsidP="006A334D">
            <w:pPr>
              <w:spacing w:after="180"/>
              <w:ind w:left="720"/>
              <w:rPr>
                <w:sz w:val="20"/>
                <w:szCs w:val="20"/>
                <w:lang w:val="en-GB" w:eastAsia="ja-JP"/>
              </w:rPr>
            </w:pPr>
            <w:r w:rsidRPr="00510185">
              <w:rPr>
                <w:sz w:val="20"/>
                <w:szCs w:val="20"/>
                <w:lang w:val="en-GB" w:eastAsia="ja-JP"/>
              </w:rPr>
              <w:lastRenderedPageBreak/>
              <w:t xml:space="preserve">If a UE is configured with </w:t>
            </w:r>
            <w:r w:rsidRPr="00510185">
              <w:rPr>
                <w:noProof/>
                <w:position w:val="-10"/>
                <w:sz w:val="20"/>
                <w:szCs w:val="20"/>
                <w:lang w:eastAsia="ko-KR"/>
              </w:rPr>
              <w:drawing>
                <wp:inline distT="0" distB="0" distL="0" distR="0" wp14:anchorId="5B66FEF4" wp14:editId="194FBCB2">
                  <wp:extent cx="1009650" cy="184785"/>
                  <wp:effectExtent l="0" t="0" r="0" b="5715"/>
                  <wp:docPr id="179" name="Picture 1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9"/>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009650" cy="184785"/>
                          </a:xfrm>
                          <a:prstGeom prst="rect">
                            <a:avLst/>
                          </a:prstGeom>
                          <a:noFill/>
                          <a:ln>
                            <a:noFill/>
                          </a:ln>
                        </pic:spPr>
                      </pic:pic>
                    </a:graphicData>
                  </a:graphic>
                </wp:inline>
              </w:drawing>
            </w:r>
            <w:r w:rsidRPr="00510185">
              <w:rPr>
                <w:sz w:val="20"/>
                <w:szCs w:val="20"/>
                <w:lang w:val="en-GB"/>
              </w:rPr>
              <w:t xml:space="preserve">, where </w:t>
            </w:r>
            <w:r w:rsidRPr="00510185">
              <w:rPr>
                <w:noProof/>
                <w:position w:val="-10"/>
                <w:sz w:val="20"/>
                <w:szCs w:val="20"/>
                <w:lang w:eastAsia="ko-KR"/>
              </w:rPr>
              <w:drawing>
                <wp:inline distT="0" distB="0" distL="0" distR="0" wp14:anchorId="2306BB47" wp14:editId="544B58A0">
                  <wp:extent cx="280035" cy="184785"/>
                  <wp:effectExtent l="0" t="0" r="5715" b="5715"/>
                  <wp:docPr id="180" name="Picture 1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0"/>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280035" cy="184785"/>
                          </a:xfrm>
                          <a:prstGeom prst="rect">
                            <a:avLst/>
                          </a:prstGeom>
                          <a:noFill/>
                          <a:ln>
                            <a:noFill/>
                          </a:ln>
                        </pic:spPr>
                      </pic:pic>
                    </a:graphicData>
                  </a:graphic>
                </wp:inline>
              </w:drawing>
            </w:r>
            <w:r w:rsidRPr="00510185">
              <w:rPr>
                <w:sz w:val="20"/>
                <w:szCs w:val="20"/>
                <w:lang w:val="en-GB"/>
              </w:rPr>
              <w:t xml:space="preserve"> is the linear value</w:t>
            </w:r>
            <w:r w:rsidRPr="00510185">
              <w:rPr>
                <w:sz w:val="20"/>
                <w:szCs w:val="20"/>
                <w:lang w:val="en-GB" w:eastAsia="ja-JP"/>
              </w:rPr>
              <w:t xml:space="preserve"> of </w:t>
            </w:r>
            <w:r w:rsidRPr="00510185">
              <w:rPr>
                <w:noProof/>
                <w:position w:val="-10"/>
                <w:sz w:val="20"/>
                <w:szCs w:val="20"/>
                <w:lang w:eastAsia="ko-KR"/>
              </w:rPr>
              <w:drawing>
                <wp:inline distT="0" distB="0" distL="0" distR="0" wp14:anchorId="6993D70D" wp14:editId="67AE0143">
                  <wp:extent cx="280035" cy="184785"/>
                  <wp:effectExtent l="0" t="0" r="0" b="5715"/>
                  <wp:docPr id="181" name="Picture 1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80035" cy="184785"/>
                          </a:xfrm>
                          <a:prstGeom prst="rect">
                            <a:avLst/>
                          </a:prstGeom>
                          <a:noFill/>
                          <a:ln>
                            <a:noFill/>
                          </a:ln>
                        </pic:spPr>
                      </pic:pic>
                    </a:graphicData>
                  </a:graphic>
                </wp:inline>
              </w:drawing>
            </w:r>
            <w:r w:rsidRPr="00510185">
              <w:rPr>
                <w:sz w:val="20"/>
                <w:szCs w:val="20"/>
                <w:lang w:val="en-GB"/>
              </w:rPr>
              <w:t xml:space="preserve">, </w:t>
            </w:r>
            <w:r w:rsidRPr="00510185">
              <w:rPr>
                <w:noProof/>
                <w:position w:val="-10"/>
                <w:sz w:val="20"/>
                <w:szCs w:val="20"/>
                <w:lang w:eastAsia="ko-KR"/>
              </w:rPr>
              <w:drawing>
                <wp:inline distT="0" distB="0" distL="0" distR="0" wp14:anchorId="197344A1" wp14:editId="761C8D6E">
                  <wp:extent cx="184785" cy="184785"/>
                  <wp:effectExtent l="0" t="0" r="5715" b="5715"/>
                  <wp:docPr id="182" name="Picture 1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2"/>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84785" cy="184785"/>
                          </a:xfrm>
                          <a:prstGeom prst="rect">
                            <a:avLst/>
                          </a:prstGeom>
                          <a:noFill/>
                          <a:ln>
                            <a:noFill/>
                          </a:ln>
                        </pic:spPr>
                      </pic:pic>
                    </a:graphicData>
                  </a:graphic>
                </wp:inline>
              </w:drawing>
            </w:r>
            <w:r w:rsidRPr="00510185">
              <w:rPr>
                <w:sz w:val="20"/>
                <w:szCs w:val="20"/>
                <w:lang w:val="en-GB"/>
              </w:rPr>
              <w:t xml:space="preserve"> is the linear value</w:t>
            </w:r>
            <w:r w:rsidRPr="00510185">
              <w:rPr>
                <w:sz w:val="20"/>
                <w:szCs w:val="20"/>
                <w:lang w:val="en-GB" w:eastAsia="ja-JP"/>
              </w:rPr>
              <w:t xml:space="preserve"> of </w:t>
            </w:r>
            <w:r w:rsidRPr="00510185">
              <w:rPr>
                <w:noProof/>
                <w:position w:val="-10"/>
                <w:sz w:val="20"/>
                <w:szCs w:val="20"/>
                <w:lang w:eastAsia="ko-KR"/>
              </w:rPr>
              <w:drawing>
                <wp:inline distT="0" distB="0" distL="0" distR="0" wp14:anchorId="406AB6F6" wp14:editId="58F9DAE6">
                  <wp:extent cx="184785" cy="184785"/>
                  <wp:effectExtent l="0" t="0" r="5715" b="5715"/>
                  <wp:docPr id="183" name="Picture 1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3"/>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84785" cy="184785"/>
                          </a:xfrm>
                          <a:prstGeom prst="rect">
                            <a:avLst/>
                          </a:prstGeom>
                          <a:noFill/>
                          <a:ln>
                            <a:noFill/>
                          </a:ln>
                        </pic:spPr>
                      </pic:pic>
                    </a:graphicData>
                  </a:graphic>
                </wp:inline>
              </w:drawing>
            </w:r>
            <w:r w:rsidRPr="00510185">
              <w:rPr>
                <w:sz w:val="20"/>
                <w:szCs w:val="20"/>
                <w:lang w:val="en-GB"/>
              </w:rPr>
              <w:t xml:space="preserve">, and </w:t>
            </w:r>
            <w:r w:rsidRPr="00510185">
              <w:rPr>
                <w:noProof/>
                <w:position w:val="-10"/>
                <w:sz w:val="20"/>
                <w:szCs w:val="20"/>
                <w:lang w:eastAsia="ko-KR"/>
              </w:rPr>
              <w:drawing>
                <wp:inline distT="0" distB="0" distL="0" distR="0" wp14:anchorId="044F9A1A" wp14:editId="7CD7842D">
                  <wp:extent cx="354330" cy="184785"/>
                  <wp:effectExtent l="0" t="0" r="7620" b="5715"/>
                  <wp:docPr id="184" name="Picture 1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4"/>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354330" cy="184785"/>
                          </a:xfrm>
                          <a:prstGeom prst="rect">
                            <a:avLst/>
                          </a:prstGeom>
                          <a:noFill/>
                          <a:ln>
                            <a:noFill/>
                          </a:ln>
                        </pic:spPr>
                      </pic:pic>
                    </a:graphicData>
                  </a:graphic>
                </wp:inline>
              </w:drawing>
            </w:r>
            <w:r w:rsidRPr="00510185">
              <w:rPr>
                <w:sz w:val="20"/>
                <w:szCs w:val="20"/>
                <w:lang w:val="en-GB"/>
              </w:rPr>
              <w:t xml:space="preserve"> is the linear value of </w:t>
            </w:r>
            <w:r w:rsidRPr="00510185">
              <w:rPr>
                <w:sz w:val="20"/>
                <w:szCs w:val="20"/>
              </w:rPr>
              <w:t>a</w:t>
            </w:r>
            <w:r w:rsidRPr="00510185">
              <w:rPr>
                <w:sz w:val="20"/>
                <w:szCs w:val="20"/>
                <w:lang w:val="en-GB"/>
              </w:rPr>
              <w:t xml:space="preserve"> configured maximum </w:t>
            </w:r>
            <w:r w:rsidRPr="00510185">
              <w:rPr>
                <w:sz w:val="20"/>
                <w:szCs w:val="20"/>
              </w:rPr>
              <w:t>transmission</w:t>
            </w:r>
            <w:r w:rsidRPr="00510185">
              <w:rPr>
                <w:sz w:val="20"/>
                <w:szCs w:val="20"/>
                <w:lang w:val="en-GB"/>
              </w:rPr>
              <w:t xml:space="preserve"> power </w:t>
            </w:r>
            <w:r w:rsidRPr="00510185">
              <w:rPr>
                <w:sz w:val="20"/>
                <w:szCs w:val="20"/>
              </w:rPr>
              <w:t xml:space="preserve">for EN-DC operation </w:t>
            </w:r>
            <w:r w:rsidRPr="00510185">
              <w:rPr>
                <w:sz w:val="20"/>
                <w:szCs w:val="20"/>
                <w:lang w:val="en-GB"/>
              </w:rPr>
              <w:t xml:space="preserve">as </w:t>
            </w:r>
            <w:r w:rsidRPr="00510185">
              <w:rPr>
                <w:iCs/>
                <w:sz w:val="20"/>
                <w:szCs w:val="20"/>
                <w:lang w:val="en-GB"/>
              </w:rPr>
              <w:t xml:space="preserve">defined in </w:t>
            </w:r>
            <w:r w:rsidRPr="00510185">
              <w:rPr>
                <w:sz w:val="20"/>
                <w:szCs w:val="20"/>
                <w:lang w:val="en-GB"/>
              </w:rPr>
              <w:t xml:space="preserve">[8-3, TS 38.101-3] for FR1, </w:t>
            </w:r>
            <w:r w:rsidRPr="00510185">
              <w:rPr>
                <w:sz w:val="20"/>
                <w:szCs w:val="20"/>
                <w:lang w:val="en-GB" w:eastAsia="ja-JP"/>
              </w:rPr>
              <w:t>the UE determines a transmission power for the SCG as follows.</w:t>
            </w:r>
          </w:p>
          <w:p w14:paraId="2A613318" w14:textId="77777777" w:rsidR="008138CD" w:rsidRPr="00510185" w:rsidRDefault="008138CD" w:rsidP="006A334D">
            <w:pPr>
              <w:spacing w:after="180"/>
              <w:ind w:left="1288" w:hanging="284"/>
              <w:rPr>
                <w:rFonts w:eastAsia="Calibri"/>
                <w:sz w:val="20"/>
                <w:szCs w:val="20"/>
              </w:rPr>
            </w:pPr>
            <w:r w:rsidRPr="00510185">
              <w:rPr>
                <w:rFonts w:eastAsia="Calibri"/>
                <w:sz w:val="20"/>
                <w:szCs w:val="20"/>
                <w:lang w:val="x-none" w:eastAsia="ja-JP"/>
              </w:rPr>
              <w:t>-</w:t>
            </w:r>
            <w:r w:rsidRPr="00510185">
              <w:rPr>
                <w:rFonts w:eastAsia="Calibri"/>
                <w:sz w:val="20"/>
                <w:szCs w:val="20"/>
                <w:lang w:val="x-none" w:eastAsia="ja-JP"/>
              </w:rPr>
              <w:tab/>
              <w:t xml:space="preserve">If the UE </w:t>
            </w:r>
            <w:r w:rsidRPr="00510185">
              <w:rPr>
                <w:rFonts w:eastAsia="Calibri"/>
                <w:sz w:val="20"/>
                <w:szCs w:val="20"/>
                <w:lang w:eastAsia="ja-JP"/>
              </w:rPr>
              <w:t xml:space="preserve">is </w:t>
            </w:r>
            <w:r w:rsidRPr="00510185">
              <w:rPr>
                <w:rFonts w:eastAsia="Calibri"/>
                <w:sz w:val="20"/>
                <w:szCs w:val="20"/>
                <w:lang w:val="x-none"/>
              </w:rPr>
              <w:t xml:space="preserve">configured with reference TDD configuration </w:t>
            </w:r>
            <w:r w:rsidRPr="00510185">
              <w:rPr>
                <w:rFonts w:eastAsia="Calibri"/>
                <w:sz w:val="20"/>
                <w:szCs w:val="20"/>
              </w:rPr>
              <w:t xml:space="preserve">for E-UTRA (by </w:t>
            </w:r>
            <w:r w:rsidRPr="00510185">
              <w:rPr>
                <w:rFonts w:eastAsia="Calibri"/>
                <w:i/>
                <w:iCs/>
                <w:sz w:val="20"/>
                <w:szCs w:val="20"/>
                <w:lang w:val="x-none"/>
              </w:rPr>
              <w:t>tdm-PatternConfig-r15</w:t>
            </w:r>
            <w:r w:rsidRPr="00510185">
              <w:rPr>
                <w:rFonts w:eastAsia="Calibri"/>
                <w:sz w:val="20"/>
                <w:szCs w:val="20"/>
              </w:rPr>
              <w:t xml:space="preserve"> or by </w:t>
            </w:r>
            <w:r w:rsidRPr="00510185">
              <w:rPr>
                <w:rFonts w:eastAsia="Calibri"/>
                <w:i/>
                <w:iCs/>
                <w:sz w:val="20"/>
                <w:szCs w:val="20"/>
                <w:lang w:val="x-none"/>
              </w:rPr>
              <w:t>tdm-PatternConfig-r16</w:t>
            </w:r>
            <w:r w:rsidRPr="00510185">
              <w:rPr>
                <w:rFonts w:eastAsia="Calibri"/>
                <w:sz w:val="20"/>
                <w:szCs w:val="20"/>
                <w:lang w:val="x-none"/>
              </w:rPr>
              <w:t xml:space="preserve"> </w:t>
            </w:r>
            <w:r w:rsidRPr="00510185">
              <w:rPr>
                <w:rFonts w:eastAsia="Calibri"/>
                <w:sz w:val="20"/>
                <w:szCs w:val="20"/>
              </w:rPr>
              <w:t xml:space="preserve">in </w:t>
            </w:r>
            <w:r w:rsidRPr="00510185">
              <w:rPr>
                <w:rFonts w:eastAsia="Calibri"/>
                <w:sz w:val="20"/>
                <w:szCs w:val="20"/>
                <w:lang w:val="x-none"/>
              </w:rPr>
              <w:t>[13, TS 36.213]</w:t>
            </w:r>
            <w:r w:rsidRPr="00510185">
              <w:rPr>
                <w:rFonts w:eastAsia="Calibri"/>
                <w:sz w:val="20"/>
                <w:szCs w:val="20"/>
              </w:rPr>
              <w:t>)</w:t>
            </w:r>
          </w:p>
          <w:p w14:paraId="6DF1DA89" w14:textId="77777777" w:rsidR="008138CD" w:rsidRPr="00510185" w:rsidRDefault="008138CD" w:rsidP="006A334D">
            <w:pPr>
              <w:spacing w:after="180"/>
              <w:ind w:left="1571" w:hanging="284"/>
              <w:rPr>
                <w:rFonts w:eastAsia="Calibri"/>
                <w:sz w:val="20"/>
                <w:szCs w:val="20"/>
                <w:lang w:val="x-none"/>
              </w:rPr>
            </w:pPr>
            <w:r w:rsidRPr="00510185">
              <w:rPr>
                <w:rFonts w:eastAsia="Calibri"/>
                <w:sz w:val="20"/>
                <w:szCs w:val="20"/>
              </w:rPr>
              <w:t>-</w:t>
            </w:r>
            <w:r w:rsidRPr="00510185">
              <w:rPr>
                <w:rFonts w:eastAsia="Calibri"/>
                <w:sz w:val="20"/>
                <w:szCs w:val="20"/>
              </w:rPr>
              <w:tab/>
              <w:t xml:space="preserve">If the UE does </w:t>
            </w:r>
            <w:r w:rsidRPr="00510185">
              <w:rPr>
                <w:rFonts w:eastAsia="Calibri"/>
                <w:sz w:val="20"/>
                <w:szCs w:val="20"/>
                <w:lang w:val="x-none" w:eastAsia="ja-JP"/>
              </w:rPr>
              <w:t>not indicate a capability for dynamic power sharing</w:t>
            </w:r>
            <w:r w:rsidRPr="00510185">
              <w:rPr>
                <w:rFonts w:eastAsia="Calibri"/>
                <w:sz w:val="20"/>
                <w:szCs w:val="20"/>
                <w:lang w:eastAsia="ja-JP"/>
              </w:rPr>
              <w:t xml:space="preserve"> between E-UTRA and NR for EN-DC, </w:t>
            </w:r>
            <w:proofErr w:type="spellStart"/>
            <w:r w:rsidRPr="00510185">
              <w:rPr>
                <w:rFonts w:eastAsia="Calibri"/>
                <w:sz w:val="20"/>
                <w:szCs w:val="20"/>
              </w:rPr>
              <w:t>t</w:t>
            </w:r>
            <w:r w:rsidRPr="00510185">
              <w:rPr>
                <w:rFonts w:eastAsia="Calibri"/>
                <w:sz w:val="20"/>
                <w:szCs w:val="20"/>
                <w:lang w:val="x-none"/>
              </w:rPr>
              <w:t>he</w:t>
            </w:r>
            <w:proofErr w:type="spellEnd"/>
            <w:r w:rsidRPr="00510185">
              <w:rPr>
                <w:rFonts w:eastAsia="Calibri"/>
                <w:sz w:val="20"/>
                <w:szCs w:val="20"/>
                <w:lang w:val="x-none"/>
              </w:rPr>
              <w:t xml:space="preserve"> UE </w:t>
            </w:r>
            <w:r w:rsidRPr="00510185">
              <w:rPr>
                <w:rFonts w:eastAsia="Calibri"/>
                <w:sz w:val="20"/>
                <w:szCs w:val="20"/>
              </w:rPr>
              <w:t>does</w:t>
            </w:r>
            <w:r w:rsidRPr="00510185">
              <w:rPr>
                <w:rFonts w:eastAsia="Calibri"/>
                <w:sz w:val="20"/>
                <w:szCs w:val="20"/>
                <w:lang w:val="x-none"/>
              </w:rPr>
              <w:t xml:space="preserve"> not transmit in a slot on the SCG</w:t>
            </w:r>
            <w:r w:rsidRPr="00510185">
              <w:rPr>
                <w:rFonts w:eastAsia="Calibri"/>
                <w:sz w:val="20"/>
                <w:szCs w:val="20"/>
              </w:rPr>
              <w:t xml:space="preserve"> in FR1</w:t>
            </w:r>
            <w:r w:rsidRPr="00510185">
              <w:rPr>
                <w:rFonts w:eastAsia="Calibri"/>
                <w:sz w:val="20"/>
                <w:szCs w:val="20"/>
                <w:lang w:val="x-none"/>
              </w:rPr>
              <w:t xml:space="preserve"> </w:t>
            </w:r>
            <w:r w:rsidRPr="00510185">
              <w:rPr>
                <w:rFonts w:eastAsia="Calibri"/>
                <w:sz w:val="20"/>
                <w:szCs w:val="20"/>
              </w:rPr>
              <w:t>when</w:t>
            </w:r>
            <w:r w:rsidRPr="00510185">
              <w:rPr>
                <w:rFonts w:eastAsia="Calibri"/>
                <w:sz w:val="20"/>
                <w:szCs w:val="20"/>
                <w:lang w:val="x-none"/>
              </w:rPr>
              <w:t xml:space="preserve"> a corresponding subframe on the MCG is an UL subframe in the reference TDD configuration.</w:t>
            </w:r>
          </w:p>
          <w:p w14:paraId="7259AA29" w14:textId="77777777" w:rsidR="008138CD" w:rsidRPr="00510185" w:rsidRDefault="008138CD" w:rsidP="006A334D">
            <w:pPr>
              <w:spacing w:after="180"/>
              <w:ind w:left="1571" w:hanging="284"/>
              <w:rPr>
                <w:rFonts w:eastAsia="Calibri"/>
                <w:color w:val="FF0000"/>
                <w:sz w:val="20"/>
                <w:szCs w:val="20"/>
                <w:lang w:val="x-none"/>
              </w:rPr>
            </w:pPr>
            <w:r w:rsidRPr="00510185">
              <w:rPr>
                <w:rFonts w:eastAsia="Calibri"/>
                <w:sz w:val="20"/>
                <w:szCs w:val="20"/>
              </w:rPr>
              <w:t>-</w:t>
            </w:r>
            <w:r w:rsidRPr="00510185">
              <w:rPr>
                <w:rFonts w:eastAsia="Calibri"/>
                <w:sz w:val="20"/>
                <w:szCs w:val="20"/>
              </w:rPr>
              <w:tab/>
            </w:r>
            <w:r w:rsidRPr="007F0A97">
              <w:rPr>
                <w:rFonts w:eastAsia="Calibri"/>
                <w:strike/>
                <w:color w:val="FF0000"/>
                <w:sz w:val="20"/>
                <w:szCs w:val="20"/>
              </w:rPr>
              <w:t xml:space="preserve">If </w:t>
            </w:r>
            <w:r w:rsidRPr="007F0A97">
              <w:rPr>
                <w:rFonts w:eastAsia="Calibri"/>
                <w:strike/>
                <w:color w:val="FF0000"/>
                <w:sz w:val="20"/>
                <w:szCs w:val="20"/>
                <w:lang w:val="x-none"/>
              </w:rPr>
              <w:t xml:space="preserve">the UE indicates a capability for dynamic power sharing between E-UTRA and NR for EN-DC, and does not indicate a capability </w:t>
            </w:r>
            <w:proofErr w:type="spellStart"/>
            <w:r w:rsidRPr="007F0A97">
              <w:rPr>
                <w:rFonts w:eastAsia="Calibri"/>
                <w:i/>
                <w:iCs/>
                <w:strike/>
                <w:color w:val="FF0000"/>
                <w:sz w:val="20"/>
                <w:szCs w:val="20"/>
                <w:lang w:val="x-none"/>
              </w:rPr>
              <w:t>tdm</w:t>
            </w:r>
            <w:proofErr w:type="spellEnd"/>
            <w:r w:rsidRPr="007F0A97">
              <w:rPr>
                <w:rFonts w:eastAsia="Calibri"/>
                <w:i/>
                <w:iCs/>
                <w:strike/>
                <w:color w:val="FF0000"/>
                <w:sz w:val="20"/>
                <w:szCs w:val="20"/>
                <w:lang w:val="x-none"/>
              </w:rPr>
              <w:t>-Pattern-</w:t>
            </w:r>
            <w:proofErr w:type="spellStart"/>
            <w:r w:rsidRPr="007F0A97">
              <w:rPr>
                <w:rFonts w:eastAsia="Calibri"/>
                <w:i/>
                <w:iCs/>
                <w:strike/>
                <w:color w:val="FF0000"/>
                <w:sz w:val="20"/>
                <w:szCs w:val="20"/>
                <w:lang w:val="x-none"/>
              </w:rPr>
              <w:t>dualTx</w:t>
            </w:r>
            <w:proofErr w:type="spellEnd"/>
            <w:r w:rsidRPr="007F0A97">
              <w:rPr>
                <w:rFonts w:eastAsia="Calibri"/>
                <w:strike/>
                <w:color w:val="FF0000"/>
                <w:sz w:val="20"/>
                <w:szCs w:val="20"/>
                <w:lang w:val="x-none"/>
              </w:rPr>
              <w:t xml:space="preserve"> in [16, TS 38.306], and is configured with </w:t>
            </w:r>
            <w:r w:rsidRPr="007F0A97">
              <w:rPr>
                <w:rFonts w:eastAsia="Calibri"/>
                <w:i/>
                <w:iCs/>
                <w:strike/>
                <w:color w:val="FF0000"/>
                <w:sz w:val="20"/>
                <w:szCs w:val="20"/>
                <w:lang w:val="x-none"/>
              </w:rPr>
              <w:t>tdm-PatternConfig-r16</w:t>
            </w:r>
            <w:r w:rsidRPr="007F0A97">
              <w:rPr>
                <w:rFonts w:eastAsia="Calibri"/>
                <w:strike/>
                <w:color w:val="FF0000"/>
                <w:sz w:val="20"/>
                <w:szCs w:val="20"/>
                <w:lang w:val="x-none"/>
              </w:rPr>
              <w:t>, the UE does not transmit on the SCG in FR1 when the UE has overlapped transmission on a subframe on the MCG.</w:t>
            </w:r>
          </w:p>
          <w:p w14:paraId="74E1D26A" w14:textId="77777777" w:rsidR="008138CD" w:rsidRPr="00510185" w:rsidRDefault="008138CD" w:rsidP="006A334D">
            <w:pPr>
              <w:spacing w:after="180"/>
              <w:ind w:left="1288" w:hanging="284"/>
              <w:rPr>
                <w:rFonts w:eastAsia="Calibri"/>
                <w:sz w:val="20"/>
                <w:szCs w:val="20"/>
              </w:rPr>
            </w:pPr>
            <w:r w:rsidRPr="00510185">
              <w:rPr>
                <w:rFonts w:eastAsia="Calibri"/>
                <w:sz w:val="20"/>
                <w:szCs w:val="20"/>
                <w:lang w:val="x-none" w:eastAsia="ja-JP"/>
              </w:rPr>
              <w:t>-</w:t>
            </w:r>
            <w:r w:rsidRPr="00510185">
              <w:rPr>
                <w:rFonts w:eastAsia="Calibri"/>
                <w:sz w:val="20"/>
                <w:szCs w:val="20"/>
                <w:lang w:val="x-none" w:eastAsia="ja-JP"/>
              </w:rPr>
              <w:tab/>
              <w:t>If the UE indicate</w:t>
            </w:r>
            <w:r w:rsidRPr="00510185">
              <w:rPr>
                <w:rFonts w:eastAsia="Calibri"/>
                <w:sz w:val="20"/>
                <w:szCs w:val="20"/>
                <w:lang w:eastAsia="ja-JP"/>
              </w:rPr>
              <w:t>s</w:t>
            </w:r>
            <w:r w:rsidRPr="00510185">
              <w:rPr>
                <w:rFonts w:eastAsia="Calibri"/>
                <w:sz w:val="20"/>
                <w:szCs w:val="20"/>
                <w:lang w:val="x-none" w:eastAsia="ja-JP"/>
              </w:rPr>
              <w:t xml:space="preserve"> a capability for dynamic power sharing</w:t>
            </w:r>
            <w:r w:rsidRPr="00510185">
              <w:rPr>
                <w:rFonts w:eastAsia="Calibri"/>
                <w:sz w:val="20"/>
                <w:szCs w:val="20"/>
                <w:lang w:eastAsia="ja-JP"/>
              </w:rPr>
              <w:t xml:space="preserve"> between E-UTRA and NR for EN-DC and</w:t>
            </w:r>
          </w:p>
          <w:p w14:paraId="16521F87" w14:textId="77777777" w:rsidR="008138CD" w:rsidRPr="007F0A97" w:rsidRDefault="008138CD" w:rsidP="006A334D">
            <w:pPr>
              <w:spacing w:after="180"/>
              <w:ind w:left="1571" w:hanging="284"/>
              <w:rPr>
                <w:rFonts w:eastAsia="Calibri"/>
                <w:sz w:val="20"/>
                <w:szCs w:val="20"/>
              </w:rPr>
            </w:pPr>
            <w:r w:rsidRPr="00510185">
              <w:rPr>
                <w:rFonts w:eastAsia="Calibri"/>
                <w:sz w:val="20"/>
                <w:szCs w:val="20"/>
              </w:rPr>
              <w:t>-</w:t>
            </w:r>
            <w:r w:rsidRPr="00510185">
              <w:rPr>
                <w:rFonts w:eastAsia="Calibri"/>
                <w:sz w:val="20"/>
                <w:szCs w:val="20"/>
              </w:rPr>
              <w:tab/>
              <w:t xml:space="preserve">if UE transmission(s) in subframe </w:t>
            </w:r>
            <w:r w:rsidRPr="00510185">
              <w:rPr>
                <w:rFonts w:eastAsia="Calibri"/>
                <w:noProof/>
                <w:position w:val="-10"/>
                <w:sz w:val="20"/>
                <w:szCs w:val="20"/>
                <w:lang w:eastAsia="ko-KR"/>
              </w:rPr>
              <w:drawing>
                <wp:inline distT="0" distB="0" distL="0" distR="0" wp14:anchorId="72F69D0B" wp14:editId="79F3A202">
                  <wp:extent cx="95250" cy="184785"/>
                  <wp:effectExtent l="0" t="0" r="0" b="5715"/>
                  <wp:docPr id="185" name="Picture 1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5"/>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95250" cy="184785"/>
                          </a:xfrm>
                          <a:prstGeom prst="rect">
                            <a:avLst/>
                          </a:prstGeom>
                          <a:noFill/>
                          <a:ln>
                            <a:noFill/>
                          </a:ln>
                        </pic:spPr>
                      </pic:pic>
                    </a:graphicData>
                  </a:graphic>
                </wp:inline>
              </w:drawing>
            </w:r>
            <w:r w:rsidRPr="00510185">
              <w:rPr>
                <w:rFonts w:eastAsia="Calibri"/>
                <w:sz w:val="20"/>
                <w:szCs w:val="20"/>
                <w:lang w:val="x-none"/>
              </w:rPr>
              <w:t xml:space="preserve"> </w:t>
            </w:r>
            <w:r w:rsidRPr="00510185">
              <w:rPr>
                <w:rFonts w:eastAsia="Calibri"/>
                <w:sz w:val="20"/>
                <w:szCs w:val="20"/>
              </w:rPr>
              <w:t xml:space="preserve">of the MCG overlap in time with UE transmission(s) in slot </w:t>
            </w:r>
            <w:r w:rsidRPr="00510185">
              <w:rPr>
                <w:rFonts w:eastAsia="Calibri"/>
                <w:noProof/>
                <w:position w:val="-10"/>
                <w:sz w:val="20"/>
                <w:szCs w:val="20"/>
                <w:lang w:eastAsia="ko-KR"/>
              </w:rPr>
              <w:drawing>
                <wp:inline distT="0" distB="0" distL="0" distR="0" wp14:anchorId="129B200A" wp14:editId="6428D61B">
                  <wp:extent cx="95250" cy="184785"/>
                  <wp:effectExtent l="0" t="0" r="0" b="5715"/>
                  <wp:docPr id="186" name="Picture 1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6"/>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95250" cy="184785"/>
                          </a:xfrm>
                          <a:prstGeom prst="rect">
                            <a:avLst/>
                          </a:prstGeom>
                          <a:noFill/>
                          <a:ln>
                            <a:noFill/>
                          </a:ln>
                        </pic:spPr>
                      </pic:pic>
                    </a:graphicData>
                  </a:graphic>
                </wp:inline>
              </w:drawing>
            </w:r>
            <w:r w:rsidRPr="00510185">
              <w:rPr>
                <w:rFonts w:eastAsia="Calibri"/>
                <w:sz w:val="20"/>
                <w:szCs w:val="20"/>
              </w:rPr>
              <w:t xml:space="preserve"> of the SCG in FR1, and</w:t>
            </w:r>
          </w:p>
        </w:tc>
      </w:tr>
    </w:tbl>
    <w:p w14:paraId="07E2BB90" w14:textId="13FD9CB9" w:rsidR="00F36EC2" w:rsidRDefault="00F36EC2" w:rsidP="00650D8D">
      <w:pPr>
        <w:rPr>
          <w:i/>
          <w:iCs/>
          <w:sz w:val="20"/>
          <w:szCs w:val="20"/>
          <w:lang w:bidi="hi-IN"/>
        </w:rPr>
      </w:pPr>
    </w:p>
    <w:tbl>
      <w:tblPr>
        <w:tblStyle w:val="TableGrid"/>
        <w:tblW w:w="0" w:type="auto"/>
        <w:tblLook w:val="04A0" w:firstRow="1" w:lastRow="0" w:firstColumn="1" w:lastColumn="0" w:noHBand="0" w:noVBand="1"/>
      </w:tblPr>
      <w:tblGrid>
        <w:gridCol w:w="9629"/>
      </w:tblGrid>
      <w:tr w:rsidR="00B260D2" w:rsidRPr="00B260D2" w14:paraId="36DDFAF5" w14:textId="77777777" w:rsidTr="00265161">
        <w:tc>
          <w:tcPr>
            <w:tcW w:w="9629" w:type="dxa"/>
          </w:tcPr>
          <w:p w14:paraId="16672527" w14:textId="70BAA7E8" w:rsidR="00B260D2" w:rsidRPr="007F0A97" w:rsidRDefault="00B260D2" w:rsidP="00B260D2">
            <w:pPr>
              <w:spacing w:after="100" w:afterAutospacing="1"/>
              <w:rPr>
                <w:rFonts w:ascii="Helvetica" w:hAnsi="Helvetica"/>
                <w:color w:val="000000"/>
              </w:rPr>
            </w:pPr>
            <w:r>
              <w:rPr>
                <w:rFonts w:ascii="Helvetica" w:hAnsi="Helvetica"/>
                <w:color w:val="000000"/>
                <w:sz w:val="20"/>
                <w:szCs w:val="20"/>
              </w:rPr>
              <w:t>          </w:t>
            </w:r>
            <w:r>
              <w:rPr>
                <w:rFonts w:ascii="Helvetica" w:hAnsi="Helvetica"/>
                <w:b/>
                <w:bCs/>
                <w:color w:val="FF0000"/>
                <w:sz w:val="27"/>
                <w:szCs w:val="27"/>
              </w:rPr>
              <w:t>TP option 3</w:t>
            </w:r>
            <w:r>
              <w:rPr>
                <w:rFonts w:ascii="Helvetica" w:hAnsi="Helvetica"/>
                <w:color w:val="000000"/>
                <w:sz w:val="20"/>
                <w:szCs w:val="20"/>
              </w:rPr>
              <w:t> </w:t>
            </w:r>
            <w:r>
              <w:rPr>
                <w:sz w:val="20"/>
                <w:szCs w:val="20"/>
                <w:lang w:eastAsia="ja-JP" w:bidi="hi-IN"/>
              </w:rPr>
              <w:tab/>
            </w:r>
          </w:p>
          <w:p w14:paraId="0E090471" w14:textId="406728FF" w:rsidR="00B260D2" w:rsidRPr="00510185" w:rsidRDefault="00B260D2" w:rsidP="00B260D2">
            <w:pPr>
              <w:rPr>
                <w:sz w:val="20"/>
                <w:szCs w:val="20"/>
              </w:rPr>
            </w:pPr>
            <w:r w:rsidRPr="00510185">
              <w:rPr>
                <w:sz w:val="20"/>
                <w:szCs w:val="20"/>
              </w:rPr>
              <w:t>---------------------------- start TP</w:t>
            </w:r>
            <w:r w:rsidR="00685C19">
              <w:rPr>
                <w:sz w:val="20"/>
                <w:szCs w:val="20"/>
              </w:rPr>
              <w:t>3</w:t>
            </w:r>
            <w:r w:rsidRPr="00510185">
              <w:rPr>
                <w:sz w:val="20"/>
                <w:szCs w:val="20"/>
              </w:rPr>
              <w:t xml:space="preserve"> to sub clause 7.6.1 of 38.213v16.</w:t>
            </w:r>
            <w:r>
              <w:rPr>
                <w:sz w:val="20"/>
                <w:szCs w:val="20"/>
              </w:rPr>
              <w:t>1</w:t>
            </w:r>
            <w:r w:rsidRPr="00510185">
              <w:rPr>
                <w:sz w:val="20"/>
                <w:szCs w:val="20"/>
              </w:rPr>
              <w:t>.0 --------------------------------------</w:t>
            </w:r>
          </w:p>
          <w:p w14:paraId="269B38A3" w14:textId="77777777" w:rsidR="00265161" w:rsidRPr="00265161" w:rsidRDefault="00265161" w:rsidP="00265161">
            <w:pPr>
              <w:jc w:val="left"/>
              <w:rPr>
                <w:rFonts w:eastAsia="Yu Mincho"/>
                <w:color w:val="FF0000"/>
                <w:sz w:val="20"/>
                <w:szCs w:val="20"/>
                <w:u w:val="single"/>
                <w:lang w:val="en-GB"/>
              </w:rPr>
            </w:pPr>
            <w:r w:rsidRPr="00265161">
              <w:rPr>
                <w:rFonts w:eastAsia="Yu Mincho" w:hint="eastAsia"/>
                <w:color w:val="FF0000"/>
                <w:sz w:val="20"/>
                <w:szCs w:val="20"/>
                <w:u w:val="single"/>
                <w:lang w:val="en-GB"/>
              </w:rPr>
              <w:t>I</w:t>
            </w:r>
            <w:r w:rsidRPr="00265161">
              <w:rPr>
                <w:rFonts w:eastAsia="Yu Mincho"/>
                <w:color w:val="FF0000"/>
                <w:sz w:val="20"/>
                <w:szCs w:val="20"/>
                <w:u w:val="single"/>
                <w:lang w:val="en-GB"/>
              </w:rPr>
              <w:t xml:space="preserve">f the UE indicates a capability for dynamic power sharing between E-UTRA and NR for EN-DC, for the band combinations for which the UE indicates </w:t>
            </w:r>
            <w:proofErr w:type="spellStart"/>
            <w:r w:rsidRPr="00265161">
              <w:rPr>
                <w:rFonts w:eastAsia="Yu Mincho"/>
                <w:i/>
                <w:iCs/>
                <w:color w:val="FF0000"/>
                <w:sz w:val="20"/>
                <w:szCs w:val="20"/>
                <w:u w:val="single"/>
                <w:lang w:val="en-GB"/>
              </w:rPr>
              <w:t>singleUL</w:t>
            </w:r>
            <w:proofErr w:type="spellEnd"/>
            <w:r w:rsidRPr="00265161">
              <w:rPr>
                <w:rFonts w:eastAsia="Yu Mincho"/>
                <w:i/>
                <w:iCs/>
                <w:color w:val="FF0000"/>
                <w:sz w:val="20"/>
                <w:szCs w:val="20"/>
                <w:u w:val="single"/>
                <w:lang w:val="en-GB"/>
              </w:rPr>
              <w:t>-Transmission</w:t>
            </w:r>
            <w:r w:rsidRPr="00265161">
              <w:rPr>
                <w:rFonts w:eastAsia="Yu Mincho"/>
                <w:color w:val="FF0000"/>
                <w:sz w:val="20"/>
                <w:szCs w:val="20"/>
                <w:u w:val="single"/>
                <w:lang w:val="en-GB"/>
              </w:rPr>
              <w:t xml:space="preserve">, if the conditions in TS 38.101-3 [8-3] are </w:t>
            </w:r>
            <w:proofErr w:type="spellStart"/>
            <w:r w:rsidRPr="00265161">
              <w:rPr>
                <w:rFonts w:eastAsia="Yu Mincho"/>
                <w:color w:val="FF0000"/>
                <w:sz w:val="20"/>
                <w:szCs w:val="20"/>
                <w:u w:val="single"/>
                <w:lang w:val="en-GB"/>
              </w:rPr>
              <w:t>fullfilled</w:t>
            </w:r>
            <w:proofErr w:type="spellEnd"/>
            <w:r w:rsidRPr="00265161">
              <w:rPr>
                <w:rFonts w:eastAsia="Yu Mincho"/>
                <w:color w:val="FF0000"/>
                <w:sz w:val="20"/>
                <w:szCs w:val="20"/>
                <w:u w:val="single"/>
                <w:lang w:val="en-GB"/>
              </w:rPr>
              <w:t xml:space="preserve">, </w:t>
            </w:r>
          </w:p>
          <w:p w14:paraId="2BD8850E" w14:textId="77777777" w:rsidR="00265161" w:rsidRPr="00265161" w:rsidRDefault="00265161" w:rsidP="00265161">
            <w:pPr>
              <w:ind w:left="568" w:hanging="284"/>
              <w:jc w:val="left"/>
              <w:rPr>
                <w:rFonts w:eastAsia="Yu Mincho"/>
                <w:color w:val="FF0000"/>
                <w:sz w:val="20"/>
                <w:szCs w:val="20"/>
                <w:u w:val="single"/>
              </w:rPr>
            </w:pPr>
            <w:r w:rsidRPr="00265161">
              <w:rPr>
                <w:rFonts w:eastAsia="Yu Mincho"/>
                <w:color w:val="FF0000"/>
                <w:sz w:val="20"/>
                <w:szCs w:val="20"/>
                <w:u w:val="single"/>
                <w:lang w:val="x-none"/>
              </w:rPr>
              <w:t>-</w:t>
            </w:r>
            <w:r w:rsidRPr="00265161">
              <w:rPr>
                <w:rFonts w:eastAsia="Yu Mincho"/>
                <w:color w:val="FF0000"/>
                <w:sz w:val="20"/>
                <w:szCs w:val="20"/>
                <w:u w:val="single"/>
                <w:lang w:val="x-none"/>
              </w:rPr>
              <w:tab/>
              <w:t xml:space="preserve">If the UE </w:t>
            </w:r>
            <w:r w:rsidRPr="00265161">
              <w:rPr>
                <w:rFonts w:eastAsia="Yu Mincho"/>
                <w:color w:val="FF0000"/>
                <w:sz w:val="20"/>
                <w:szCs w:val="20"/>
                <w:u w:val="single"/>
              </w:rPr>
              <w:t xml:space="preserve">is </w:t>
            </w:r>
            <w:r w:rsidRPr="00265161">
              <w:rPr>
                <w:rFonts w:eastAsia="Yu Mincho" w:hint="eastAsia"/>
                <w:color w:val="FF0000"/>
                <w:sz w:val="20"/>
                <w:szCs w:val="20"/>
                <w:u w:val="single"/>
                <w:lang w:val="x-none"/>
              </w:rPr>
              <w:t>configured</w:t>
            </w:r>
            <w:r w:rsidRPr="00265161">
              <w:rPr>
                <w:rFonts w:eastAsia="Yu Mincho"/>
                <w:color w:val="FF0000"/>
                <w:sz w:val="20"/>
                <w:szCs w:val="20"/>
                <w:u w:val="single"/>
                <w:lang w:val="x-none"/>
              </w:rPr>
              <w:t xml:space="preserve"> </w:t>
            </w:r>
            <w:r w:rsidRPr="00265161">
              <w:rPr>
                <w:rFonts w:eastAsia="Yu Mincho" w:hint="eastAsia"/>
                <w:color w:val="FF0000"/>
                <w:sz w:val="20"/>
                <w:szCs w:val="20"/>
                <w:u w:val="single"/>
                <w:lang w:val="x-none"/>
              </w:rPr>
              <w:t xml:space="preserve">with </w:t>
            </w:r>
            <w:r w:rsidRPr="00265161">
              <w:rPr>
                <w:rFonts w:eastAsia="Yu Mincho"/>
                <w:color w:val="FF0000"/>
                <w:sz w:val="20"/>
                <w:szCs w:val="20"/>
                <w:u w:val="single"/>
                <w:lang w:val="x-none"/>
              </w:rPr>
              <w:t>reference TDD configuration</w:t>
            </w:r>
            <w:r w:rsidRPr="00265161">
              <w:rPr>
                <w:rFonts w:eastAsia="Yu Mincho" w:hint="eastAsia"/>
                <w:color w:val="FF0000"/>
                <w:sz w:val="20"/>
                <w:szCs w:val="20"/>
                <w:u w:val="single"/>
                <w:lang w:val="x-none"/>
              </w:rPr>
              <w:t xml:space="preserve"> </w:t>
            </w:r>
            <w:r w:rsidRPr="00265161">
              <w:rPr>
                <w:rFonts w:eastAsia="Yu Mincho"/>
                <w:color w:val="FF0000"/>
                <w:sz w:val="20"/>
                <w:szCs w:val="20"/>
                <w:u w:val="single"/>
              </w:rPr>
              <w:t xml:space="preserve">for E-UTRA (by </w:t>
            </w:r>
            <w:r w:rsidRPr="00265161">
              <w:rPr>
                <w:rFonts w:eastAsia="Yu Mincho"/>
                <w:i/>
                <w:iCs/>
                <w:color w:val="FF0000"/>
                <w:sz w:val="20"/>
                <w:szCs w:val="20"/>
                <w:u w:val="single"/>
                <w:lang w:val="x-none"/>
              </w:rPr>
              <w:t>tdm-PatternConfig-r16</w:t>
            </w:r>
            <w:r w:rsidRPr="00265161">
              <w:rPr>
                <w:rFonts w:eastAsia="Yu Mincho"/>
                <w:color w:val="FF0000"/>
                <w:sz w:val="20"/>
                <w:szCs w:val="20"/>
                <w:u w:val="single"/>
                <w:lang w:val="x-none"/>
              </w:rPr>
              <w:t xml:space="preserve"> </w:t>
            </w:r>
            <w:r w:rsidRPr="00265161">
              <w:rPr>
                <w:rFonts w:eastAsia="Yu Mincho"/>
                <w:color w:val="FF0000"/>
                <w:sz w:val="20"/>
                <w:szCs w:val="20"/>
                <w:u w:val="single"/>
              </w:rPr>
              <w:t xml:space="preserve">in </w:t>
            </w:r>
            <w:r w:rsidRPr="00265161">
              <w:rPr>
                <w:rFonts w:eastAsia="Yu Mincho" w:hint="eastAsia"/>
                <w:color w:val="FF0000"/>
                <w:sz w:val="20"/>
                <w:szCs w:val="20"/>
                <w:u w:val="single"/>
                <w:lang w:val="x-none"/>
              </w:rPr>
              <w:t>[13, TS</w:t>
            </w:r>
            <w:r w:rsidRPr="00265161">
              <w:rPr>
                <w:rFonts w:eastAsia="Yu Mincho"/>
                <w:color w:val="FF0000"/>
                <w:sz w:val="20"/>
                <w:szCs w:val="20"/>
                <w:u w:val="single"/>
                <w:lang w:val="x-none"/>
              </w:rPr>
              <w:t xml:space="preserve"> </w:t>
            </w:r>
            <w:r w:rsidRPr="00265161">
              <w:rPr>
                <w:rFonts w:eastAsia="Yu Mincho" w:hint="eastAsia"/>
                <w:color w:val="FF0000"/>
                <w:sz w:val="20"/>
                <w:szCs w:val="20"/>
                <w:u w:val="single"/>
                <w:lang w:val="x-none"/>
              </w:rPr>
              <w:t>36.213]</w:t>
            </w:r>
            <w:r w:rsidRPr="00265161">
              <w:rPr>
                <w:rFonts w:eastAsia="Yu Mincho"/>
                <w:color w:val="FF0000"/>
                <w:sz w:val="20"/>
                <w:szCs w:val="20"/>
                <w:u w:val="single"/>
              </w:rPr>
              <w:t xml:space="preserve">), </w:t>
            </w:r>
          </w:p>
          <w:p w14:paraId="2C753AA3" w14:textId="77777777" w:rsidR="00265161" w:rsidRPr="00265161" w:rsidRDefault="00265161" w:rsidP="00265161">
            <w:pPr>
              <w:ind w:left="851" w:hanging="284"/>
              <w:jc w:val="left"/>
              <w:rPr>
                <w:rFonts w:eastAsia="Yu Mincho"/>
                <w:color w:val="FF0000"/>
                <w:sz w:val="20"/>
                <w:szCs w:val="20"/>
                <w:u w:val="single"/>
                <w:lang w:val="x-none"/>
              </w:rPr>
            </w:pPr>
            <w:r w:rsidRPr="00265161">
              <w:rPr>
                <w:rFonts w:eastAsia="Yu Mincho"/>
                <w:color w:val="FF0000"/>
                <w:sz w:val="20"/>
                <w:szCs w:val="20"/>
                <w:u w:val="single"/>
              </w:rPr>
              <w:t>-</w:t>
            </w:r>
            <w:r w:rsidRPr="00265161">
              <w:rPr>
                <w:rFonts w:eastAsia="Yu Mincho"/>
                <w:color w:val="FF0000"/>
                <w:sz w:val="20"/>
                <w:szCs w:val="20"/>
                <w:u w:val="single"/>
              </w:rPr>
              <w:tab/>
              <w:t>the UE does not transmit on the SCG in FR1 when the UE has overlapped transmission on an UL-offset subframe (as specified in [13, TS 36.213]) on the MCG</w:t>
            </w:r>
          </w:p>
          <w:p w14:paraId="28573CCF" w14:textId="77777777" w:rsidR="00265161" w:rsidRPr="00265161" w:rsidRDefault="00265161" w:rsidP="00265161">
            <w:pPr>
              <w:ind w:left="851" w:hanging="284"/>
              <w:jc w:val="left"/>
              <w:rPr>
                <w:rFonts w:eastAsiaTheme="minorEastAsia"/>
                <w:color w:val="FF0000"/>
                <w:sz w:val="20"/>
                <w:szCs w:val="20"/>
                <w:u w:val="single"/>
              </w:rPr>
            </w:pPr>
            <w:r w:rsidRPr="00265161">
              <w:rPr>
                <w:rFonts w:eastAsia="Yu Mincho"/>
                <w:color w:val="FF0000"/>
                <w:sz w:val="20"/>
                <w:szCs w:val="20"/>
                <w:u w:val="single"/>
              </w:rPr>
              <w:t>-</w:t>
            </w:r>
            <w:r w:rsidRPr="00265161">
              <w:rPr>
                <w:rFonts w:eastAsia="Yu Mincho"/>
                <w:color w:val="FF0000"/>
                <w:sz w:val="20"/>
                <w:szCs w:val="20"/>
                <w:u w:val="single"/>
              </w:rPr>
              <w:tab/>
              <w:t>the UE does not expect to be configured or indicated to transmit on the SCG in FR1 when the UE has overlapped transmission on a subframe other than the UL-offset subframes (as specified in [13, TS 36.213]) on the MCG</w:t>
            </w:r>
          </w:p>
          <w:p w14:paraId="35C49084" w14:textId="77777777" w:rsidR="00265161" w:rsidRPr="00265161" w:rsidRDefault="00265161" w:rsidP="00265161">
            <w:pPr>
              <w:ind w:left="568" w:hanging="284"/>
              <w:jc w:val="left"/>
              <w:rPr>
                <w:rFonts w:eastAsia="Yu Mincho"/>
                <w:color w:val="FF0000"/>
                <w:sz w:val="20"/>
                <w:szCs w:val="20"/>
                <w:u w:val="single"/>
              </w:rPr>
            </w:pPr>
            <w:r w:rsidRPr="00265161">
              <w:rPr>
                <w:rFonts w:eastAsia="Yu Mincho"/>
                <w:color w:val="FF0000"/>
                <w:sz w:val="20"/>
                <w:szCs w:val="20"/>
                <w:u w:val="single"/>
                <w:lang w:val="x-none"/>
              </w:rPr>
              <w:t>-</w:t>
            </w:r>
            <w:r w:rsidRPr="00265161">
              <w:rPr>
                <w:rFonts w:eastAsia="Yu Mincho"/>
                <w:color w:val="FF0000"/>
                <w:sz w:val="20"/>
                <w:szCs w:val="20"/>
                <w:u w:val="single"/>
                <w:lang w:val="x-none"/>
              </w:rPr>
              <w:tab/>
              <w:t>Otherwise</w:t>
            </w:r>
            <w:r w:rsidRPr="00265161">
              <w:rPr>
                <w:rFonts w:eastAsia="Yu Mincho"/>
                <w:color w:val="FF0000"/>
                <w:sz w:val="20"/>
                <w:szCs w:val="20"/>
                <w:u w:val="single"/>
              </w:rPr>
              <w:t xml:space="preserve">, </w:t>
            </w:r>
          </w:p>
          <w:p w14:paraId="50E8DE16" w14:textId="77777777" w:rsidR="00265161" w:rsidRPr="00265161" w:rsidRDefault="00265161" w:rsidP="00265161">
            <w:pPr>
              <w:ind w:left="851" w:hanging="284"/>
              <w:jc w:val="left"/>
              <w:rPr>
                <w:rFonts w:eastAsia="Yu Mincho"/>
                <w:color w:val="FF0000"/>
                <w:sz w:val="20"/>
                <w:szCs w:val="20"/>
                <w:u w:val="single"/>
                <w:lang w:val="x-none"/>
              </w:rPr>
            </w:pPr>
            <w:r w:rsidRPr="00265161">
              <w:rPr>
                <w:rFonts w:eastAsia="Yu Mincho"/>
                <w:color w:val="FF0000"/>
                <w:sz w:val="20"/>
                <w:szCs w:val="20"/>
                <w:u w:val="single"/>
              </w:rPr>
              <w:t>-</w:t>
            </w:r>
            <w:r w:rsidRPr="00265161">
              <w:rPr>
                <w:rFonts w:eastAsia="Yu Mincho"/>
                <w:color w:val="FF0000"/>
                <w:sz w:val="20"/>
                <w:szCs w:val="20"/>
                <w:u w:val="single"/>
              </w:rPr>
              <w:tab/>
              <w:t>the UE does not expect to be configured or indicated to transmit on the SCG in FR1 when the UE has overlapped transmission on any subframe on the MCG.</w:t>
            </w:r>
          </w:p>
          <w:p w14:paraId="109CCC6F" w14:textId="77777777" w:rsidR="00265161" w:rsidRPr="00265161" w:rsidRDefault="00265161" w:rsidP="00265161">
            <w:pPr>
              <w:rPr>
                <w:rFonts w:eastAsia="Yu Mincho"/>
                <w:sz w:val="20"/>
                <w:szCs w:val="20"/>
                <w:lang w:val="en-GB" w:eastAsia="ja-JP"/>
              </w:rPr>
            </w:pPr>
            <w:r w:rsidRPr="00265161">
              <w:rPr>
                <w:rFonts w:eastAsia="Yu Mincho"/>
                <w:sz w:val="20"/>
                <w:szCs w:val="20"/>
                <w:lang w:val="en-GB" w:eastAsia="ja-JP"/>
              </w:rPr>
              <w:t xml:space="preserve">If a UE is configured with </w:t>
            </w:r>
            <w:r w:rsidRPr="00265161">
              <w:rPr>
                <w:rFonts w:eastAsia="Yu Mincho"/>
                <w:noProof/>
                <w:position w:val="-10"/>
                <w:sz w:val="20"/>
                <w:szCs w:val="20"/>
                <w:lang w:eastAsia="ko-KR"/>
              </w:rPr>
              <w:drawing>
                <wp:inline distT="0" distB="0" distL="0" distR="0" wp14:anchorId="1179B790" wp14:editId="0583BC20">
                  <wp:extent cx="1009650" cy="184150"/>
                  <wp:effectExtent l="0" t="0" r="0" b="6350"/>
                  <wp:docPr id="331" name="Picture 3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6"/>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009650" cy="184150"/>
                          </a:xfrm>
                          <a:prstGeom prst="rect">
                            <a:avLst/>
                          </a:prstGeom>
                          <a:noFill/>
                          <a:ln>
                            <a:noFill/>
                          </a:ln>
                        </pic:spPr>
                      </pic:pic>
                    </a:graphicData>
                  </a:graphic>
                </wp:inline>
              </w:drawing>
            </w:r>
            <w:r w:rsidRPr="00265161">
              <w:rPr>
                <w:rFonts w:eastAsia="Yu Mincho"/>
                <w:sz w:val="20"/>
                <w:szCs w:val="20"/>
                <w:lang w:val="en-GB"/>
              </w:rPr>
              <w:t xml:space="preserve">, where </w:t>
            </w:r>
            <w:r w:rsidRPr="00265161">
              <w:rPr>
                <w:rFonts w:eastAsia="Yu Mincho"/>
                <w:noProof/>
                <w:position w:val="-10"/>
                <w:sz w:val="20"/>
                <w:szCs w:val="20"/>
                <w:lang w:eastAsia="ko-KR"/>
              </w:rPr>
              <w:drawing>
                <wp:inline distT="0" distB="0" distL="0" distR="0" wp14:anchorId="29D4BC91" wp14:editId="6152CF34">
                  <wp:extent cx="279400" cy="184150"/>
                  <wp:effectExtent l="0" t="0" r="6350" b="6350"/>
                  <wp:docPr id="330" name="Picture 3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279400" cy="184150"/>
                          </a:xfrm>
                          <a:prstGeom prst="rect">
                            <a:avLst/>
                          </a:prstGeom>
                          <a:noFill/>
                          <a:ln>
                            <a:noFill/>
                          </a:ln>
                        </pic:spPr>
                      </pic:pic>
                    </a:graphicData>
                  </a:graphic>
                </wp:inline>
              </w:drawing>
            </w:r>
            <w:r w:rsidRPr="00265161">
              <w:rPr>
                <w:rFonts w:eastAsia="Yu Mincho" w:hint="eastAsia"/>
                <w:sz w:val="20"/>
                <w:szCs w:val="20"/>
                <w:lang w:val="en-GB"/>
              </w:rPr>
              <w:t xml:space="preserve"> is the linear value</w:t>
            </w:r>
            <w:r w:rsidRPr="00265161">
              <w:rPr>
                <w:rFonts w:eastAsia="Yu Mincho"/>
                <w:sz w:val="20"/>
                <w:szCs w:val="20"/>
                <w:lang w:val="en-GB" w:eastAsia="ja-JP"/>
              </w:rPr>
              <w:t xml:space="preserve"> of </w:t>
            </w:r>
            <w:r w:rsidRPr="00265161">
              <w:rPr>
                <w:rFonts w:eastAsia="Yu Mincho"/>
                <w:noProof/>
                <w:position w:val="-10"/>
                <w:sz w:val="20"/>
                <w:szCs w:val="20"/>
                <w:lang w:eastAsia="ko-KR"/>
              </w:rPr>
              <w:drawing>
                <wp:inline distT="0" distB="0" distL="0" distR="0" wp14:anchorId="40E3F780" wp14:editId="049ABBC6">
                  <wp:extent cx="279400" cy="184150"/>
                  <wp:effectExtent l="0" t="0" r="0" b="6350"/>
                  <wp:docPr id="329" name="Picture 3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8"/>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79400" cy="184150"/>
                          </a:xfrm>
                          <a:prstGeom prst="rect">
                            <a:avLst/>
                          </a:prstGeom>
                          <a:noFill/>
                          <a:ln>
                            <a:noFill/>
                          </a:ln>
                        </pic:spPr>
                      </pic:pic>
                    </a:graphicData>
                  </a:graphic>
                </wp:inline>
              </w:drawing>
            </w:r>
            <w:r w:rsidRPr="00265161">
              <w:rPr>
                <w:rFonts w:eastAsia="Yu Mincho"/>
                <w:sz w:val="20"/>
                <w:szCs w:val="20"/>
                <w:lang w:val="en-GB"/>
              </w:rPr>
              <w:t xml:space="preserve">, </w:t>
            </w:r>
            <w:r w:rsidRPr="00265161">
              <w:rPr>
                <w:rFonts w:eastAsia="Yu Mincho"/>
                <w:noProof/>
                <w:position w:val="-10"/>
                <w:sz w:val="20"/>
                <w:szCs w:val="20"/>
                <w:lang w:eastAsia="ko-KR"/>
              </w:rPr>
              <w:drawing>
                <wp:inline distT="0" distB="0" distL="0" distR="0" wp14:anchorId="3F225F57" wp14:editId="24B0603A">
                  <wp:extent cx="184150" cy="184150"/>
                  <wp:effectExtent l="0" t="0" r="6350" b="6350"/>
                  <wp:docPr id="328" name="Picture 3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9"/>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84150" cy="184150"/>
                          </a:xfrm>
                          <a:prstGeom prst="rect">
                            <a:avLst/>
                          </a:prstGeom>
                          <a:noFill/>
                          <a:ln>
                            <a:noFill/>
                          </a:ln>
                        </pic:spPr>
                      </pic:pic>
                    </a:graphicData>
                  </a:graphic>
                </wp:inline>
              </w:drawing>
            </w:r>
            <w:r w:rsidRPr="00265161">
              <w:rPr>
                <w:rFonts w:eastAsia="Yu Mincho" w:hint="eastAsia"/>
                <w:sz w:val="20"/>
                <w:szCs w:val="20"/>
                <w:lang w:val="en-GB"/>
              </w:rPr>
              <w:t xml:space="preserve"> is the linear value</w:t>
            </w:r>
            <w:r w:rsidRPr="00265161">
              <w:rPr>
                <w:rFonts w:eastAsia="Yu Mincho"/>
                <w:sz w:val="20"/>
                <w:szCs w:val="20"/>
                <w:lang w:val="en-GB" w:eastAsia="ja-JP"/>
              </w:rPr>
              <w:t xml:space="preserve"> of </w:t>
            </w:r>
            <w:r w:rsidRPr="00265161">
              <w:rPr>
                <w:rFonts w:eastAsia="Yu Mincho"/>
                <w:noProof/>
                <w:position w:val="-10"/>
                <w:sz w:val="20"/>
                <w:szCs w:val="20"/>
                <w:lang w:eastAsia="ko-KR"/>
              </w:rPr>
              <w:drawing>
                <wp:inline distT="0" distB="0" distL="0" distR="0" wp14:anchorId="1D685FD3" wp14:editId="4830D175">
                  <wp:extent cx="184150" cy="184150"/>
                  <wp:effectExtent l="0" t="0" r="6350" b="6350"/>
                  <wp:docPr id="327" name="Picture 3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0"/>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84150" cy="184150"/>
                          </a:xfrm>
                          <a:prstGeom prst="rect">
                            <a:avLst/>
                          </a:prstGeom>
                          <a:noFill/>
                          <a:ln>
                            <a:noFill/>
                          </a:ln>
                        </pic:spPr>
                      </pic:pic>
                    </a:graphicData>
                  </a:graphic>
                </wp:inline>
              </w:drawing>
            </w:r>
            <w:r w:rsidRPr="00265161">
              <w:rPr>
                <w:rFonts w:eastAsia="Yu Mincho"/>
                <w:sz w:val="20"/>
                <w:szCs w:val="20"/>
                <w:lang w:val="en-GB"/>
              </w:rPr>
              <w:t>, and</w:t>
            </w:r>
            <w:r w:rsidRPr="00265161">
              <w:rPr>
                <w:rFonts w:eastAsia="Yu Mincho" w:hint="eastAsia"/>
                <w:sz w:val="20"/>
                <w:szCs w:val="20"/>
                <w:lang w:val="en-GB"/>
              </w:rPr>
              <w:t xml:space="preserve"> </w:t>
            </w:r>
            <w:r w:rsidRPr="00265161">
              <w:rPr>
                <w:rFonts w:eastAsia="Yu Mincho"/>
                <w:noProof/>
                <w:position w:val="-10"/>
                <w:sz w:val="20"/>
                <w:szCs w:val="20"/>
                <w:lang w:eastAsia="ko-KR"/>
              </w:rPr>
              <w:drawing>
                <wp:inline distT="0" distB="0" distL="0" distR="0" wp14:anchorId="13E04B00" wp14:editId="1EA9FC25">
                  <wp:extent cx="361950" cy="184150"/>
                  <wp:effectExtent l="0" t="0" r="0" b="6350"/>
                  <wp:docPr id="326" name="Picture 3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361950" cy="184150"/>
                          </a:xfrm>
                          <a:prstGeom prst="rect">
                            <a:avLst/>
                          </a:prstGeom>
                          <a:noFill/>
                          <a:ln>
                            <a:noFill/>
                          </a:ln>
                        </pic:spPr>
                      </pic:pic>
                    </a:graphicData>
                  </a:graphic>
                </wp:inline>
              </w:drawing>
            </w:r>
            <w:r w:rsidRPr="00265161">
              <w:rPr>
                <w:rFonts w:eastAsia="Yu Mincho"/>
                <w:sz w:val="20"/>
                <w:szCs w:val="20"/>
                <w:lang w:val="en-GB"/>
              </w:rPr>
              <w:t xml:space="preserve"> </w:t>
            </w:r>
            <w:r w:rsidRPr="00265161">
              <w:rPr>
                <w:rFonts w:eastAsia="Yu Mincho" w:hint="eastAsia"/>
                <w:sz w:val="20"/>
                <w:szCs w:val="20"/>
                <w:lang w:val="en-GB"/>
              </w:rPr>
              <w:t xml:space="preserve">is the linear value of </w:t>
            </w:r>
            <w:r w:rsidRPr="00265161">
              <w:rPr>
                <w:rFonts w:eastAsia="Yu Mincho"/>
                <w:sz w:val="20"/>
                <w:szCs w:val="20"/>
              </w:rPr>
              <w:t>a</w:t>
            </w:r>
            <w:r w:rsidRPr="00265161">
              <w:rPr>
                <w:rFonts w:eastAsia="Yu Mincho" w:hint="eastAsia"/>
                <w:sz w:val="20"/>
                <w:szCs w:val="20"/>
                <w:lang w:val="en-GB"/>
              </w:rPr>
              <w:t xml:space="preserve"> </w:t>
            </w:r>
            <w:r w:rsidRPr="00265161">
              <w:rPr>
                <w:rFonts w:eastAsia="Yu Mincho"/>
                <w:sz w:val="20"/>
                <w:szCs w:val="20"/>
                <w:lang w:val="en-GB"/>
              </w:rPr>
              <w:t xml:space="preserve">configured </w:t>
            </w:r>
            <w:r w:rsidRPr="00265161">
              <w:rPr>
                <w:rFonts w:eastAsia="Yu Mincho" w:hint="eastAsia"/>
                <w:sz w:val="20"/>
                <w:szCs w:val="20"/>
                <w:lang w:val="en-GB"/>
              </w:rPr>
              <w:t xml:space="preserve">maximum </w:t>
            </w:r>
            <w:r w:rsidRPr="00265161">
              <w:rPr>
                <w:rFonts w:eastAsia="Yu Mincho"/>
                <w:sz w:val="20"/>
                <w:szCs w:val="20"/>
              </w:rPr>
              <w:t>transmission</w:t>
            </w:r>
            <w:r w:rsidRPr="00265161">
              <w:rPr>
                <w:rFonts w:eastAsia="Yu Mincho"/>
                <w:sz w:val="20"/>
                <w:szCs w:val="20"/>
                <w:lang w:val="en-GB"/>
              </w:rPr>
              <w:t xml:space="preserve"> power </w:t>
            </w:r>
            <w:r w:rsidRPr="00265161">
              <w:rPr>
                <w:rFonts w:eastAsia="Yu Mincho"/>
                <w:sz w:val="20"/>
                <w:szCs w:val="20"/>
              </w:rPr>
              <w:t xml:space="preserve">for EN-DC operation </w:t>
            </w:r>
            <w:r w:rsidRPr="00265161">
              <w:rPr>
                <w:rFonts w:eastAsia="Yu Mincho"/>
                <w:sz w:val="20"/>
                <w:szCs w:val="20"/>
                <w:lang w:val="en-GB"/>
              </w:rPr>
              <w:t xml:space="preserve">as </w:t>
            </w:r>
            <w:r w:rsidRPr="00265161">
              <w:rPr>
                <w:rFonts w:eastAsia="Yu Mincho"/>
                <w:iCs/>
                <w:sz w:val="20"/>
                <w:szCs w:val="20"/>
                <w:lang w:val="en-GB"/>
              </w:rPr>
              <w:t xml:space="preserve">defined in </w:t>
            </w:r>
            <w:r w:rsidRPr="00265161">
              <w:rPr>
                <w:rFonts w:eastAsia="Yu Mincho"/>
                <w:sz w:val="20"/>
                <w:szCs w:val="20"/>
                <w:lang w:val="en-GB"/>
              </w:rPr>
              <w:t xml:space="preserve">[8-3, TS 38.101-3] for FR1, </w:t>
            </w:r>
            <w:r w:rsidRPr="00265161">
              <w:rPr>
                <w:rFonts w:eastAsia="Yu Mincho"/>
                <w:sz w:val="20"/>
                <w:szCs w:val="20"/>
                <w:lang w:val="en-GB" w:eastAsia="ja-JP"/>
              </w:rPr>
              <w:t>the UE determines a transmission power for the SCG as follows.</w:t>
            </w:r>
          </w:p>
          <w:p w14:paraId="6A5B7B04" w14:textId="77777777" w:rsidR="00265161" w:rsidRPr="00265161" w:rsidRDefault="00265161" w:rsidP="00265161">
            <w:pPr>
              <w:ind w:left="568" w:hanging="284"/>
              <w:rPr>
                <w:rFonts w:eastAsia="Yu Mincho"/>
                <w:sz w:val="20"/>
                <w:szCs w:val="20"/>
              </w:rPr>
            </w:pPr>
            <w:r w:rsidRPr="00265161">
              <w:rPr>
                <w:rFonts w:eastAsia="Yu Mincho"/>
                <w:sz w:val="20"/>
                <w:szCs w:val="20"/>
                <w:lang w:val="x-none" w:eastAsia="ja-JP"/>
              </w:rPr>
              <w:t>-</w:t>
            </w:r>
            <w:r w:rsidRPr="00265161">
              <w:rPr>
                <w:rFonts w:eastAsia="Yu Mincho"/>
                <w:sz w:val="20"/>
                <w:szCs w:val="20"/>
                <w:lang w:val="x-none" w:eastAsia="ja-JP"/>
              </w:rPr>
              <w:tab/>
              <w:t xml:space="preserve">If the UE </w:t>
            </w:r>
            <w:r w:rsidRPr="00265161">
              <w:rPr>
                <w:rFonts w:eastAsia="Yu Mincho"/>
                <w:sz w:val="20"/>
                <w:szCs w:val="20"/>
                <w:lang w:eastAsia="ja-JP"/>
              </w:rPr>
              <w:t xml:space="preserve">is </w:t>
            </w:r>
            <w:r w:rsidRPr="00265161">
              <w:rPr>
                <w:rFonts w:eastAsia="Yu Mincho" w:hint="eastAsia"/>
                <w:sz w:val="20"/>
                <w:szCs w:val="20"/>
                <w:lang w:val="x-none"/>
              </w:rPr>
              <w:t>configured</w:t>
            </w:r>
            <w:r w:rsidRPr="00265161">
              <w:rPr>
                <w:rFonts w:eastAsia="Yu Mincho"/>
                <w:sz w:val="20"/>
                <w:szCs w:val="20"/>
                <w:lang w:val="x-none"/>
              </w:rPr>
              <w:t xml:space="preserve"> </w:t>
            </w:r>
            <w:r w:rsidRPr="00265161">
              <w:rPr>
                <w:rFonts w:eastAsia="Yu Mincho" w:hint="eastAsia"/>
                <w:sz w:val="20"/>
                <w:szCs w:val="20"/>
                <w:lang w:val="x-none"/>
              </w:rPr>
              <w:t xml:space="preserve">with </w:t>
            </w:r>
            <w:r w:rsidRPr="00265161">
              <w:rPr>
                <w:rFonts w:eastAsia="Yu Mincho"/>
                <w:sz w:val="20"/>
                <w:szCs w:val="20"/>
                <w:lang w:val="x-none"/>
              </w:rPr>
              <w:t>reference TDD configuration</w:t>
            </w:r>
            <w:r w:rsidRPr="00265161">
              <w:rPr>
                <w:rFonts w:eastAsia="Yu Mincho" w:hint="eastAsia"/>
                <w:sz w:val="20"/>
                <w:szCs w:val="20"/>
                <w:lang w:val="x-none"/>
              </w:rPr>
              <w:t xml:space="preserve"> </w:t>
            </w:r>
            <w:r w:rsidRPr="00265161">
              <w:rPr>
                <w:rFonts w:eastAsia="Yu Mincho"/>
                <w:sz w:val="20"/>
                <w:szCs w:val="20"/>
              </w:rPr>
              <w:t xml:space="preserve">for E-UTRA (by </w:t>
            </w:r>
            <w:r w:rsidRPr="00265161">
              <w:rPr>
                <w:rFonts w:eastAsia="Yu Mincho"/>
                <w:i/>
                <w:iCs/>
                <w:sz w:val="20"/>
                <w:szCs w:val="20"/>
                <w:lang w:val="x-none"/>
              </w:rPr>
              <w:t>tdm-PatternConfig-r15</w:t>
            </w:r>
            <w:r w:rsidRPr="00265161">
              <w:rPr>
                <w:rFonts w:eastAsia="Yu Mincho" w:hint="eastAsia"/>
                <w:sz w:val="20"/>
                <w:szCs w:val="20"/>
              </w:rPr>
              <w:t xml:space="preserve"> </w:t>
            </w:r>
            <w:r w:rsidRPr="00265161">
              <w:rPr>
                <w:rFonts w:eastAsia="Yu Mincho"/>
                <w:sz w:val="20"/>
                <w:szCs w:val="20"/>
              </w:rPr>
              <w:t xml:space="preserve">or by </w:t>
            </w:r>
            <w:r w:rsidRPr="00265161">
              <w:rPr>
                <w:rFonts w:eastAsia="Yu Mincho"/>
                <w:i/>
                <w:iCs/>
                <w:sz w:val="20"/>
                <w:szCs w:val="20"/>
                <w:lang w:val="x-none"/>
              </w:rPr>
              <w:t>tdm-PatternConfig-r16</w:t>
            </w:r>
            <w:r w:rsidRPr="00265161">
              <w:rPr>
                <w:rFonts w:eastAsia="Yu Mincho"/>
                <w:sz w:val="20"/>
                <w:szCs w:val="20"/>
                <w:lang w:val="x-none"/>
              </w:rPr>
              <w:t xml:space="preserve"> </w:t>
            </w:r>
            <w:r w:rsidRPr="00265161">
              <w:rPr>
                <w:rFonts w:eastAsia="Yu Mincho"/>
                <w:sz w:val="20"/>
                <w:szCs w:val="20"/>
              </w:rPr>
              <w:t xml:space="preserve">in </w:t>
            </w:r>
            <w:r w:rsidRPr="00265161">
              <w:rPr>
                <w:rFonts w:eastAsia="Yu Mincho" w:hint="eastAsia"/>
                <w:sz w:val="20"/>
                <w:szCs w:val="20"/>
                <w:lang w:val="x-none"/>
              </w:rPr>
              <w:t>[13, TS</w:t>
            </w:r>
            <w:r w:rsidRPr="00265161">
              <w:rPr>
                <w:rFonts w:eastAsia="Yu Mincho"/>
                <w:sz w:val="20"/>
                <w:szCs w:val="20"/>
                <w:lang w:val="x-none"/>
              </w:rPr>
              <w:t xml:space="preserve"> </w:t>
            </w:r>
            <w:r w:rsidRPr="00265161">
              <w:rPr>
                <w:rFonts w:eastAsia="Yu Mincho" w:hint="eastAsia"/>
                <w:sz w:val="20"/>
                <w:szCs w:val="20"/>
                <w:lang w:val="x-none"/>
              </w:rPr>
              <w:t>36.213]</w:t>
            </w:r>
            <w:r w:rsidRPr="00265161">
              <w:rPr>
                <w:rFonts w:eastAsia="Yu Mincho"/>
                <w:sz w:val="20"/>
                <w:szCs w:val="20"/>
              </w:rPr>
              <w:t>)</w:t>
            </w:r>
          </w:p>
          <w:p w14:paraId="528B273D" w14:textId="77777777" w:rsidR="00265161" w:rsidRPr="00265161" w:rsidRDefault="00265161" w:rsidP="00265161">
            <w:pPr>
              <w:ind w:left="851" w:hanging="284"/>
              <w:rPr>
                <w:rFonts w:eastAsia="Yu Mincho"/>
                <w:sz w:val="20"/>
                <w:szCs w:val="20"/>
                <w:lang w:val="x-none"/>
              </w:rPr>
            </w:pPr>
            <w:r w:rsidRPr="00265161">
              <w:rPr>
                <w:rFonts w:eastAsia="Yu Mincho"/>
                <w:sz w:val="20"/>
                <w:szCs w:val="20"/>
              </w:rPr>
              <w:t>-</w:t>
            </w:r>
            <w:r w:rsidRPr="00265161">
              <w:rPr>
                <w:rFonts w:eastAsia="Yu Mincho"/>
                <w:sz w:val="20"/>
                <w:szCs w:val="20"/>
              </w:rPr>
              <w:tab/>
              <w:t xml:space="preserve">If the UE does </w:t>
            </w:r>
            <w:r w:rsidRPr="00265161">
              <w:rPr>
                <w:rFonts w:eastAsia="Yu Mincho"/>
                <w:sz w:val="20"/>
                <w:szCs w:val="20"/>
                <w:lang w:val="x-none" w:eastAsia="ja-JP"/>
              </w:rPr>
              <w:t>not indicate a capability for dynamic power sharing</w:t>
            </w:r>
            <w:r w:rsidRPr="00265161">
              <w:rPr>
                <w:rFonts w:eastAsia="Yu Mincho"/>
                <w:sz w:val="20"/>
                <w:szCs w:val="20"/>
                <w:lang w:eastAsia="ja-JP"/>
              </w:rPr>
              <w:t xml:space="preserve"> between E-UTRA and NR for EN-DC, </w:t>
            </w:r>
            <w:proofErr w:type="spellStart"/>
            <w:r w:rsidRPr="00265161">
              <w:rPr>
                <w:rFonts w:eastAsia="Yu Mincho"/>
                <w:sz w:val="20"/>
                <w:szCs w:val="20"/>
              </w:rPr>
              <w:t>t</w:t>
            </w:r>
            <w:r w:rsidRPr="00265161">
              <w:rPr>
                <w:rFonts w:eastAsia="Yu Mincho"/>
                <w:sz w:val="20"/>
                <w:szCs w:val="20"/>
                <w:lang w:val="x-none"/>
              </w:rPr>
              <w:t>he</w:t>
            </w:r>
            <w:proofErr w:type="spellEnd"/>
            <w:r w:rsidRPr="00265161">
              <w:rPr>
                <w:rFonts w:eastAsia="Yu Mincho"/>
                <w:sz w:val="20"/>
                <w:szCs w:val="20"/>
                <w:lang w:val="x-none"/>
              </w:rPr>
              <w:t xml:space="preserve"> UE </w:t>
            </w:r>
            <w:r w:rsidRPr="00265161">
              <w:rPr>
                <w:rFonts w:eastAsia="Yu Mincho"/>
                <w:sz w:val="20"/>
                <w:szCs w:val="20"/>
              </w:rPr>
              <w:t>does</w:t>
            </w:r>
            <w:r w:rsidRPr="00265161">
              <w:rPr>
                <w:rFonts w:eastAsia="Yu Mincho" w:hint="eastAsia"/>
                <w:sz w:val="20"/>
                <w:szCs w:val="20"/>
                <w:lang w:val="x-none"/>
              </w:rPr>
              <w:t xml:space="preserve"> not transmit</w:t>
            </w:r>
            <w:r w:rsidRPr="00265161">
              <w:rPr>
                <w:rFonts w:eastAsia="Yu Mincho"/>
                <w:sz w:val="20"/>
                <w:szCs w:val="20"/>
                <w:lang w:val="x-none"/>
              </w:rPr>
              <w:t xml:space="preserve"> in a slot on the SCG</w:t>
            </w:r>
            <w:r w:rsidRPr="00265161">
              <w:rPr>
                <w:rFonts w:eastAsia="Yu Mincho"/>
                <w:sz w:val="20"/>
                <w:szCs w:val="20"/>
              </w:rPr>
              <w:t xml:space="preserve"> in FR1</w:t>
            </w:r>
            <w:r w:rsidRPr="00265161">
              <w:rPr>
                <w:rFonts w:eastAsia="Yu Mincho"/>
                <w:sz w:val="20"/>
                <w:szCs w:val="20"/>
                <w:lang w:val="x-none"/>
              </w:rPr>
              <w:t xml:space="preserve"> </w:t>
            </w:r>
            <w:r w:rsidRPr="00265161">
              <w:rPr>
                <w:rFonts w:eastAsia="Yu Mincho"/>
                <w:sz w:val="20"/>
                <w:szCs w:val="20"/>
              </w:rPr>
              <w:t>when</w:t>
            </w:r>
            <w:r w:rsidRPr="00265161">
              <w:rPr>
                <w:rFonts w:eastAsia="Yu Mincho"/>
                <w:sz w:val="20"/>
                <w:szCs w:val="20"/>
                <w:lang w:val="x-none"/>
              </w:rPr>
              <w:t xml:space="preserve"> a corresponding subframe on the MCG </w:t>
            </w:r>
            <w:r w:rsidRPr="00265161">
              <w:rPr>
                <w:rFonts w:eastAsia="Yu Mincho" w:hint="eastAsia"/>
                <w:sz w:val="20"/>
                <w:szCs w:val="20"/>
                <w:lang w:val="x-none"/>
              </w:rPr>
              <w:t>is an</w:t>
            </w:r>
            <w:r w:rsidRPr="00265161">
              <w:rPr>
                <w:rFonts w:eastAsia="Yu Mincho"/>
                <w:sz w:val="20"/>
                <w:szCs w:val="20"/>
                <w:lang w:val="x-none"/>
              </w:rPr>
              <w:t xml:space="preserve"> UL </w:t>
            </w:r>
            <w:r w:rsidRPr="00265161">
              <w:rPr>
                <w:rFonts w:eastAsia="Yu Mincho" w:hint="eastAsia"/>
                <w:sz w:val="20"/>
                <w:szCs w:val="20"/>
                <w:lang w:val="x-none"/>
              </w:rPr>
              <w:t xml:space="preserve">subframe </w:t>
            </w:r>
            <w:r w:rsidRPr="00265161">
              <w:rPr>
                <w:rFonts w:eastAsia="Yu Mincho"/>
                <w:sz w:val="20"/>
                <w:szCs w:val="20"/>
                <w:lang w:val="x-none"/>
              </w:rPr>
              <w:t>in the reference TDD configuration.</w:t>
            </w:r>
          </w:p>
          <w:p w14:paraId="3F6D2062" w14:textId="77777777" w:rsidR="00265161" w:rsidRPr="0040067F" w:rsidRDefault="00265161" w:rsidP="00265161">
            <w:pPr>
              <w:ind w:left="851" w:hanging="284"/>
              <w:rPr>
                <w:rFonts w:eastAsia="Yu Mincho"/>
                <w:strike/>
                <w:color w:val="FF0000"/>
                <w:sz w:val="20"/>
                <w:szCs w:val="20"/>
                <w:lang w:val="x-none"/>
              </w:rPr>
            </w:pPr>
            <w:r w:rsidRPr="0040067F">
              <w:rPr>
                <w:rFonts w:eastAsia="Yu Mincho"/>
                <w:strike/>
                <w:color w:val="FF0000"/>
                <w:sz w:val="20"/>
                <w:szCs w:val="20"/>
              </w:rPr>
              <w:lastRenderedPageBreak/>
              <w:t>-</w:t>
            </w:r>
            <w:r w:rsidRPr="0040067F">
              <w:rPr>
                <w:rFonts w:eastAsia="Yu Mincho"/>
                <w:strike/>
                <w:color w:val="FF0000"/>
                <w:sz w:val="20"/>
                <w:szCs w:val="20"/>
              </w:rPr>
              <w:tab/>
              <w:t xml:space="preserve">If </w:t>
            </w:r>
            <w:r w:rsidRPr="0040067F">
              <w:rPr>
                <w:rFonts w:eastAsia="Yu Mincho"/>
                <w:strike/>
                <w:color w:val="FF0000"/>
                <w:sz w:val="20"/>
                <w:szCs w:val="20"/>
                <w:lang w:val="x-none"/>
              </w:rPr>
              <w:t xml:space="preserve">the UE indicates a capability for dynamic power sharing between E-UTRA and NR for EN-DC, and does not indicate a capability </w:t>
            </w:r>
            <w:proofErr w:type="spellStart"/>
            <w:r w:rsidRPr="0040067F">
              <w:rPr>
                <w:rFonts w:eastAsia="Yu Mincho"/>
                <w:i/>
                <w:iCs/>
                <w:strike/>
                <w:color w:val="FF0000"/>
                <w:sz w:val="20"/>
                <w:szCs w:val="20"/>
                <w:lang w:val="x-none"/>
              </w:rPr>
              <w:t>tdm</w:t>
            </w:r>
            <w:proofErr w:type="spellEnd"/>
            <w:r w:rsidRPr="0040067F">
              <w:rPr>
                <w:rFonts w:eastAsia="Yu Mincho"/>
                <w:i/>
                <w:iCs/>
                <w:strike/>
                <w:color w:val="FF0000"/>
                <w:sz w:val="20"/>
                <w:szCs w:val="20"/>
                <w:lang w:val="x-none"/>
              </w:rPr>
              <w:t>-Pattern-</w:t>
            </w:r>
            <w:proofErr w:type="spellStart"/>
            <w:r w:rsidRPr="0040067F">
              <w:rPr>
                <w:rFonts w:eastAsia="Yu Mincho"/>
                <w:i/>
                <w:iCs/>
                <w:strike/>
                <w:color w:val="FF0000"/>
                <w:sz w:val="20"/>
                <w:szCs w:val="20"/>
                <w:lang w:val="x-none"/>
              </w:rPr>
              <w:t>dualTx</w:t>
            </w:r>
            <w:proofErr w:type="spellEnd"/>
            <w:r w:rsidRPr="0040067F">
              <w:rPr>
                <w:rFonts w:eastAsia="Yu Mincho"/>
                <w:strike/>
                <w:color w:val="FF0000"/>
                <w:sz w:val="20"/>
                <w:szCs w:val="20"/>
                <w:lang w:val="x-none"/>
              </w:rPr>
              <w:t xml:space="preserve"> in [16, TS 38.306], and is configured with </w:t>
            </w:r>
            <w:r w:rsidRPr="0040067F">
              <w:rPr>
                <w:rFonts w:eastAsia="Yu Mincho"/>
                <w:i/>
                <w:iCs/>
                <w:strike/>
                <w:color w:val="FF0000"/>
                <w:sz w:val="20"/>
                <w:szCs w:val="20"/>
                <w:lang w:val="x-none"/>
              </w:rPr>
              <w:t>tdm-PatternConfig-r16</w:t>
            </w:r>
            <w:r w:rsidRPr="0040067F">
              <w:rPr>
                <w:rFonts w:eastAsia="Yu Mincho"/>
                <w:strike/>
                <w:color w:val="FF0000"/>
                <w:sz w:val="20"/>
                <w:szCs w:val="20"/>
                <w:lang w:val="x-none"/>
              </w:rPr>
              <w:t>, the UE does not transmit on the SCG in FR1 when the UE has overlapped transmission on a subframe on the MCG.</w:t>
            </w:r>
          </w:p>
          <w:p w14:paraId="5880258B" w14:textId="77777777" w:rsidR="00265161" w:rsidRPr="00265161" w:rsidRDefault="00265161" w:rsidP="00265161">
            <w:pPr>
              <w:ind w:left="568" w:hanging="284"/>
              <w:rPr>
                <w:rFonts w:eastAsia="Yu Mincho"/>
                <w:sz w:val="20"/>
                <w:szCs w:val="20"/>
              </w:rPr>
            </w:pPr>
            <w:r w:rsidRPr="00265161">
              <w:rPr>
                <w:rFonts w:eastAsia="Yu Mincho"/>
                <w:sz w:val="20"/>
                <w:szCs w:val="20"/>
                <w:lang w:val="x-none" w:eastAsia="ja-JP"/>
              </w:rPr>
              <w:t>-</w:t>
            </w:r>
            <w:r w:rsidRPr="00265161">
              <w:rPr>
                <w:rFonts w:eastAsia="Yu Mincho"/>
                <w:sz w:val="20"/>
                <w:szCs w:val="20"/>
                <w:lang w:val="x-none" w:eastAsia="ja-JP"/>
              </w:rPr>
              <w:tab/>
              <w:t>If the UE indicate</w:t>
            </w:r>
            <w:r w:rsidRPr="00265161">
              <w:rPr>
                <w:rFonts w:eastAsia="Yu Mincho"/>
                <w:sz w:val="20"/>
                <w:szCs w:val="20"/>
                <w:lang w:eastAsia="ja-JP"/>
              </w:rPr>
              <w:t>s</w:t>
            </w:r>
            <w:r w:rsidRPr="00265161">
              <w:rPr>
                <w:rFonts w:eastAsia="Yu Mincho"/>
                <w:sz w:val="20"/>
                <w:szCs w:val="20"/>
                <w:lang w:val="x-none" w:eastAsia="ja-JP"/>
              </w:rPr>
              <w:t xml:space="preserve"> a capability for dynamic power sharing</w:t>
            </w:r>
            <w:r w:rsidRPr="00265161">
              <w:rPr>
                <w:rFonts w:eastAsia="Yu Mincho"/>
                <w:sz w:val="20"/>
                <w:szCs w:val="20"/>
                <w:lang w:eastAsia="ja-JP"/>
              </w:rPr>
              <w:t xml:space="preserve"> between E-UTRA and NR for EN-DC and</w:t>
            </w:r>
          </w:p>
          <w:p w14:paraId="472D2C73" w14:textId="77777777" w:rsidR="00265161" w:rsidRPr="00265161" w:rsidRDefault="00265161" w:rsidP="00265161">
            <w:pPr>
              <w:ind w:left="851" w:hanging="284"/>
              <w:rPr>
                <w:rFonts w:eastAsia="Yu Mincho"/>
                <w:sz w:val="20"/>
                <w:szCs w:val="20"/>
              </w:rPr>
            </w:pPr>
            <w:r w:rsidRPr="00265161">
              <w:rPr>
                <w:rFonts w:eastAsia="Yu Mincho"/>
                <w:sz w:val="20"/>
                <w:szCs w:val="20"/>
              </w:rPr>
              <w:t>-</w:t>
            </w:r>
            <w:r w:rsidRPr="00265161">
              <w:rPr>
                <w:rFonts w:eastAsia="Yu Mincho"/>
                <w:sz w:val="20"/>
                <w:szCs w:val="20"/>
              </w:rPr>
              <w:tab/>
              <w:t xml:space="preserve">if UE transmission(s) in subframe </w:t>
            </w:r>
            <w:r w:rsidRPr="00265161">
              <w:rPr>
                <w:rFonts w:eastAsia="Yu Mincho"/>
                <w:noProof/>
                <w:position w:val="-10"/>
                <w:sz w:val="20"/>
                <w:szCs w:val="20"/>
                <w:lang w:eastAsia="ko-KR"/>
              </w:rPr>
              <w:drawing>
                <wp:inline distT="0" distB="0" distL="0" distR="0" wp14:anchorId="7A3AD34E" wp14:editId="3DC95C8F">
                  <wp:extent cx="95250" cy="184150"/>
                  <wp:effectExtent l="0" t="0" r="0" b="6350"/>
                  <wp:docPr id="325" name="Picture 3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2"/>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95250" cy="184150"/>
                          </a:xfrm>
                          <a:prstGeom prst="rect">
                            <a:avLst/>
                          </a:prstGeom>
                          <a:noFill/>
                          <a:ln>
                            <a:noFill/>
                          </a:ln>
                        </pic:spPr>
                      </pic:pic>
                    </a:graphicData>
                  </a:graphic>
                </wp:inline>
              </w:drawing>
            </w:r>
            <w:r w:rsidRPr="00265161">
              <w:rPr>
                <w:rFonts w:eastAsia="Yu Mincho" w:hint="eastAsia"/>
                <w:sz w:val="20"/>
                <w:szCs w:val="20"/>
                <w:lang w:val="x-none"/>
              </w:rPr>
              <w:t xml:space="preserve"> </w:t>
            </w:r>
            <w:r w:rsidRPr="00265161">
              <w:rPr>
                <w:rFonts w:eastAsia="Yu Mincho"/>
                <w:sz w:val="20"/>
                <w:szCs w:val="20"/>
              </w:rPr>
              <w:t xml:space="preserve">of the MCG overlap in time with UE transmission(s) in slot </w:t>
            </w:r>
            <w:r w:rsidRPr="00265161">
              <w:rPr>
                <w:rFonts w:eastAsia="Yu Mincho"/>
                <w:noProof/>
                <w:position w:val="-10"/>
                <w:sz w:val="20"/>
                <w:szCs w:val="20"/>
                <w:lang w:eastAsia="ko-KR"/>
              </w:rPr>
              <w:drawing>
                <wp:inline distT="0" distB="0" distL="0" distR="0" wp14:anchorId="70F0B249" wp14:editId="5CF4A0A4">
                  <wp:extent cx="95250" cy="184150"/>
                  <wp:effectExtent l="0" t="0" r="0" b="6350"/>
                  <wp:docPr id="324" name="Picture 3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3"/>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95250" cy="184150"/>
                          </a:xfrm>
                          <a:prstGeom prst="rect">
                            <a:avLst/>
                          </a:prstGeom>
                          <a:noFill/>
                          <a:ln>
                            <a:noFill/>
                          </a:ln>
                        </pic:spPr>
                      </pic:pic>
                    </a:graphicData>
                  </a:graphic>
                </wp:inline>
              </w:drawing>
            </w:r>
            <w:r w:rsidRPr="00265161">
              <w:rPr>
                <w:rFonts w:eastAsia="Yu Mincho"/>
                <w:sz w:val="20"/>
                <w:szCs w:val="20"/>
              </w:rPr>
              <w:t xml:space="preserve"> of the SCG in FR1, and</w:t>
            </w:r>
          </w:p>
          <w:p w14:paraId="2B0F0149" w14:textId="77777777" w:rsidR="00265161" w:rsidRPr="00265161" w:rsidRDefault="00265161" w:rsidP="00265161">
            <w:pPr>
              <w:ind w:left="851" w:hanging="284"/>
              <w:rPr>
                <w:rFonts w:eastAsia="Yu Mincho"/>
                <w:sz w:val="20"/>
                <w:szCs w:val="20"/>
              </w:rPr>
            </w:pPr>
            <w:r w:rsidRPr="00265161">
              <w:rPr>
                <w:rFonts w:eastAsia="Yu Mincho"/>
                <w:sz w:val="20"/>
                <w:szCs w:val="20"/>
              </w:rPr>
              <w:t>-</w:t>
            </w:r>
            <w:r w:rsidRPr="00265161">
              <w:rPr>
                <w:rFonts w:eastAsia="Yu Mincho"/>
                <w:sz w:val="20"/>
                <w:szCs w:val="20"/>
              </w:rPr>
              <w:tab/>
              <w:t xml:space="preserve">if </w:t>
            </w:r>
            <w:r w:rsidRPr="00265161">
              <w:rPr>
                <w:rFonts w:eastAsia="Yu Mincho"/>
                <w:noProof/>
                <w:position w:val="-10"/>
                <w:sz w:val="20"/>
                <w:szCs w:val="20"/>
                <w:lang w:eastAsia="ko-KR"/>
              </w:rPr>
              <w:drawing>
                <wp:inline distT="0" distB="0" distL="0" distR="0" wp14:anchorId="2FC392D0" wp14:editId="7CE40A3A">
                  <wp:extent cx="1466850" cy="184150"/>
                  <wp:effectExtent l="0" t="0" r="0" b="6350"/>
                  <wp:docPr id="323" name="Picture 3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4"/>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466850" cy="184150"/>
                          </a:xfrm>
                          <a:prstGeom prst="rect">
                            <a:avLst/>
                          </a:prstGeom>
                          <a:noFill/>
                          <a:ln>
                            <a:noFill/>
                          </a:ln>
                        </pic:spPr>
                      </pic:pic>
                    </a:graphicData>
                  </a:graphic>
                </wp:inline>
              </w:drawing>
            </w:r>
            <w:r w:rsidRPr="00265161">
              <w:rPr>
                <w:rFonts w:eastAsia="Yu Mincho"/>
                <w:sz w:val="20"/>
                <w:szCs w:val="20"/>
              </w:rPr>
              <w:t xml:space="preserve"> in any portion of slot </w:t>
            </w:r>
            <w:r w:rsidRPr="00265161">
              <w:rPr>
                <w:rFonts w:eastAsia="Yu Mincho"/>
                <w:noProof/>
                <w:position w:val="-10"/>
                <w:sz w:val="20"/>
                <w:szCs w:val="20"/>
                <w:lang w:eastAsia="ko-KR"/>
              </w:rPr>
              <w:drawing>
                <wp:inline distT="0" distB="0" distL="0" distR="0" wp14:anchorId="53695D03" wp14:editId="0C22255E">
                  <wp:extent cx="95250" cy="184150"/>
                  <wp:effectExtent l="0" t="0" r="0" b="6350"/>
                  <wp:docPr id="322" name="Picture 3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5"/>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95250" cy="184150"/>
                          </a:xfrm>
                          <a:prstGeom prst="rect">
                            <a:avLst/>
                          </a:prstGeom>
                          <a:noFill/>
                          <a:ln>
                            <a:noFill/>
                          </a:ln>
                        </pic:spPr>
                      </pic:pic>
                    </a:graphicData>
                  </a:graphic>
                </wp:inline>
              </w:drawing>
            </w:r>
            <w:r w:rsidRPr="00265161">
              <w:rPr>
                <w:rFonts w:eastAsia="Yu Mincho"/>
                <w:sz w:val="20"/>
                <w:szCs w:val="20"/>
              </w:rPr>
              <w:t xml:space="preserve"> of the SCG</w:t>
            </w:r>
            <w:r w:rsidRPr="00265161">
              <w:rPr>
                <w:rFonts w:eastAsia="Yu Mincho" w:hint="eastAsia"/>
                <w:sz w:val="20"/>
                <w:szCs w:val="20"/>
                <w:lang w:val="x-none"/>
              </w:rPr>
              <w:t xml:space="preserve">, </w:t>
            </w:r>
          </w:p>
          <w:p w14:paraId="79B10843" w14:textId="77777777" w:rsidR="00265161" w:rsidRPr="00265161" w:rsidRDefault="00265161" w:rsidP="00265161">
            <w:pPr>
              <w:ind w:left="851" w:hanging="284"/>
              <w:rPr>
                <w:rFonts w:eastAsia="Yu Mincho"/>
                <w:sz w:val="20"/>
                <w:szCs w:val="20"/>
              </w:rPr>
            </w:pPr>
            <w:r w:rsidRPr="00265161">
              <w:rPr>
                <w:rFonts w:eastAsia="Yu Mincho"/>
                <w:sz w:val="20"/>
                <w:szCs w:val="20"/>
                <w:lang w:val="x-none"/>
              </w:rPr>
              <w:tab/>
              <w:t>the UE reduces</w:t>
            </w:r>
            <w:r w:rsidRPr="00265161">
              <w:rPr>
                <w:rFonts w:eastAsia="Yu Mincho" w:hint="eastAsia"/>
                <w:sz w:val="20"/>
                <w:szCs w:val="20"/>
                <w:lang w:val="x-none"/>
              </w:rPr>
              <w:t xml:space="preserve"> </w:t>
            </w:r>
            <w:r w:rsidRPr="00265161">
              <w:rPr>
                <w:rFonts w:eastAsia="Yu Mincho"/>
                <w:sz w:val="20"/>
                <w:szCs w:val="20"/>
              </w:rPr>
              <w:t>transmission power</w:t>
            </w:r>
            <w:r w:rsidRPr="00265161" w:rsidDel="001A0D35">
              <w:rPr>
                <w:rFonts w:eastAsia="Yu Mincho"/>
                <w:sz w:val="20"/>
                <w:szCs w:val="20"/>
                <w:lang w:val="x-none"/>
              </w:rPr>
              <w:t xml:space="preserve"> </w:t>
            </w:r>
            <w:r w:rsidRPr="00265161">
              <w:rPr>
                <w:rFonts w:eastAsia="Yu Mincho"/>
                <w:sz w:val="20"/>
                <w:szCs w:val="20"/>
              </w:rPr>
              <w:t xml:space="preserve">in any portion of slot </w:t>
            </w:r>
            <w:r w:rsidRPr="00265161">
              <w:rPr>
                <w:rFonts w:eastAsia="Yu Mincho"/>
                <w:noProof/>
                <w:position w:val="-10"/>
                <w:sz w:val="20"/>
                <w:szCs w:val="20"/>
                <w:lang w:eastAsia="ko-KR"/>
              </w:rPr>
              <w:drawing>
                <wp:inline distT="0" distB="0" distL="0" distR="0" wp14:anchorId="1500427F" wp14:editId="4603B038">
                  <wp:extent cx="95250" cy="184150"/>
                  <wp:effectExtent l="0" t="0" r="0" b="6350"/>
                  <wp:docPr id="321" name="Picture 3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6"/>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95250" cy="184150"/>
                          </a:xfrm>
                          <a:prstGeom prst="rect">
                            <a:avLst/>
                          </a:prstGeom>
                          <a:noFill/>
                          <a:ln>
                            <a:noFill/>
                          </a:ln>
                        </pic:spPr>
                      </pic:pic>
                    </a:graphicData>
                  </a:graphic>
                </wp:inline>
              </w:drawing>
            </w:r>
            <w:r w:rsidRPr="00265161">
              <w:rPr>
                <w:rFonts w:eastAsia="Yu Mincho"/>
                <w:sz w:val="20"/>
                <w:szCs w:val="20"/>
              </w:rPr>
              <w:t xml:space="preserve"> </w:t>
            </w:r>
            <w:r w:rsidRPr="00265161">
              <w:rPr>
                <w:rFonts w:eastAsia="Yu Mincho" w:hint="eastAsia"/>
                <w:sz w:val="20"/>
                <w:szCs w:val="20"/>
                <w:lang w:val="x-none"/>
              </w:rPr>
              <w:t>o</w:t>
            </w:r>
            <w:r w:rsidRPr="00265161">
              <w:rPr>
                <w:rFonts w:eastAsia="Yu Mincho"/>
                <w:sz w:val="20"/>
                <w:szCs w:val="20"/>
              </w:rPr>
              <w:t>f</w:t>
            </w:r>
            <w:r w:rsidRPr="00265161">
              <w:rPr>
                <w:rFonts w:eastAsia="Yu Mincho" w:hint="eastAsia"/>
                <w:sz w:val="20"/>
                <w:szCs w:val="20"/>
                <w:lang w:val="x-none"/>
              </w:rPr>
              <w:t xml:space="preserve"> the SCG so that </w:t>
            </w:r>
            <w:r w:rsidRPr="00265161">
              <w:rPr>
                <w:rFonts w:eastAsia="Yu Mincho"/>
                <w:noProof/>
                <w:position w:val="-10"/>
                <w:sz w:val="20"/>
                <w:szCs w:val="20"/>
                <w:lang w:eastAsia="ko-KR"/>
              </w:rPr>
              <w:drawing>
                <wp:inline distT="0" distB="0" distL="0" distR="0" wp14:anchorId="168C2305" wp14:editId="19284605">
                  <wp:extent cx="1371600" cy="184150"/>
                  <wp:effectExtent l="0" t="0" r="0" b="6350"/>
                  <wp:docPr id="320" name="Picture 3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7"/>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371600" cy="184150"/>
                          </a:xfrm>
                          <a:prstGeom prst="rect">
                            <a:avLst/>
                          </a:prstGeom>
                          <a:noFill/>
                          <a:ln>
                            <a:noFill/>
                          </a:ln>
                        </pic:spPr>
                      </pic:pic>
                    </a:graphicData>
                  </a:graphic>
                </wp:inline>
              </w:drawing>
            </w:r>
            <w:r w:rsidRPr="00265161">
              <w:rPr>
                <w:rFonts w:eastAsia="Yu Mincho"/>
                <w:sz w:val="20"/>
                <w:szCs w:val="20"/>
              </w:rPr>
              <w:t xml:space="preserve"> in any portion of slot </w:t>
            </w:r>
            <w:r w:rsidRPr="00265161">
              <w:rPr>
                <w:rFonts w:eastAsia="Yu Mincho"/>
                <w:noProof/>
                <w:position w:val="-10"/>
                <w:sz w:val="20"/>
                <w:szCs w:val="20"/>
                <w:lang w:eastAsia="ko-KR"/>
              </w:rPr>
              <w:drawing>
                <wp:inline distT="0" distB="0" distL="0" distR="0" wp14:anchorId="3912E111" wp14:editId="24512C4F">
                  <wp:extent cx="95250" cy="184150"/>
                  <wp:effectExtent l="0" t="0" r="0" b="6350"/>
                  <wp:docPr id="319" name="Picture 3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8"/>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95250" cy="184150"/>
                          </a:xfrm>
                          <a:prstGeom prst="rect">
                            <a:avLst/>
                          </a:prstGeom>
                          <a:noFill/>
                          <a:ln>
                            <a:noFill/>
                          </a:ln>
                        </pic:spPr>
                      </pic:pic>
                    </a:graphicData>
                  </a:graphic>
                </wp:inline>
              </w:drawing>
            </w:r>
            <w:r w:rsidRPr="00265161">
              <w:rPr>
                <w:rFonts w:eastAsia="Yu Mincho"/>
                <w:sz w:val="20"/>
                <w:szCs w:val="20"/>
              </w:rPr>
              <w:t>,</w:t>
            </w:r>
            <w:r w:rsidRPr="00265161">
              <w:rPr>
                <w:rFonts w:eastAsia="Yu Mincho" w:hint="eastAsia"/>
                <w:sz w:val="20"/>
                <w:szCs w:val="20"/>
                <w:lang w:val="x-none"/>
              </w:rPr>
              <w:t xml:space="preserve"> where </w:t>
            </w:r>
            <w:r w:rsidRPr="00265161">
              <w:rPr>
                <w:rFonts w:eastAsia="Yu Mincho"/>
                <w:noProof/>
                <w:position w:val="-10"/>
                <w:sz w:val="20"/>
                <w:szCs w:val="20"/>
                <w:lang w:eastAsia="ko-KR"/>
              </w:rPr>
              <w:drawing>
                <wp:inline distT="0" distB="0" distL="0" distR="0" wp14:anchorId="591D9216" wp14:editId="5E7A4975">
                  <wp:extent cx="361950" cy="184150"/>
                  <wp:effectExtent l="0" t="0" r="0" b="6350"/>
                  <wp:docPr id="318" name="Picture 3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9"/>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361950" cy="184150"/>
                          </a:xfrm>
                          <a:prstGeom prst="rect">
                            <a:avLst/>
                          </a:prstGeom>
                          <a:noFill/>
                          <a:ln>
                            <a:noFill/>
                          </a:ln>
                        </pic:spPr>
                      </pic:pic>
                    </a:graphicData>
                  </a:graphic>
                </wp:inline>
              </w:drawing>
            </w:r>
            <w:r w:rsidRPr="00265161">
              <w:rPr>
                <w:rFonts w:eastAsia="Yu Mincho"/>
                <w:sz w:val="20"/>
                <w:szCs w:val="20"/>
                <w:lang w:val="x-none"/>
              </w:rPr>
              <w:t xml:space="preserve"> and </w:t>
            </w:r>
            <w:r w:rsidRPr="00265161">
              <w:rPr>
                <w:rFonts w:eastAsia="Yu Mincho"/>
                <w:noProof/>
                <w:position w:val="-10"/>
                <w:sz w:val="20"/>
                <w:szCs w:val="20"/>
                <w:lang w:eastAsia="ko-KR"/>
              </w:rPr>
              <w:drawing>
                <wp:inline distT="0" distB="0" distL="0" distR="0" wp14:anchorId="1460E3D3" wp14:editId="6410D2B8">
                  <wp:extent cx="457200" cy="184150"/>
                  <wp:effectExtent l="0" t="0" r="0" b="6350"/>
                  <wp:docPr id="317" name="Picture 3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457200" cy="184150"/>
                          </a:xfrm>
                          <a:prstGeom prst="rect">
                            <a:avLst/>
                          </a:prstGeom>
                          <a:noFill/>
                          <a:ln>
                            <a:noFill/>
                          </a:ln>
                        </pic:spPr>
                      </pic:pic>
                    </a:graphicData>
                  </a:graphic>
                </wp:inline>
              </w:drawing>
            </w:r>
            <w:r w:rsidRPr="00265161">
              <w:rPr>
                <w:rFonts w:eastAsia="Yu Mincho"/>
                <w:sz w:val="20"/>
                <w:szCs w:val="20"/>
                <w:lang w:val="x-none"/>
              </w:rPr>
              <w:t xml:space="preserve"> </w:t>
            </w:r>
            <w:r w:rsidRPr="00265161">
              <w:rPr>
                <w:rFonts w:eastAsia="Yu Mincho"/>
                <w:sz w:val="20"/>
                <w:szCs w:val="20"/>
              </w:rPr>
              <w:t xml:space="preserve">are </w:t>
            </w:r>
            <w:r w:rsidRPr="00265161">
              <w:rPr>
                <w:rFonts w:eastAsia="Yu Mincho"/>
                <w:sz w:val="20"/>
                <w:szCs w:val="20"/>
                <w:lang w:val="x-none"/>
              </w:rPr>
              <w:t xml:space="preserve">the linear values of the </w:t>
            </w:r>
            <w:r w:rsidRPr="00265161">
              <w:rPr>
                <w:rFonts w:eastAsia="Yu Mincho"/>
                <w:sz w:val="20"/>
                <w:szCs w:val="20"/>
              </w:rPr>
              <w:t xml:space="preserve">total </w:t>
            </w:r>
            <w:r w:rsidRPr="00265161">
              <w:rPr>
                <w:rFonts w:eastAsia="Yu Mincho"/>
                <w:sz w:val="20"/>
                <w:szCs w:val="20"/>
                <w:lang w:val="x-none"/>
              </w:rPr>
              <w:t>UE transmi</w:t>
            </w:r>
            <w:r w:rsidRPr="00265161">
              <w:rPr>
                <w:rFonts w:eastAsia="Yu Mincho"/>
                <w:sz w:val="20"/>
                <w:szCs w:val="20"/>
              </w:rPr>
              <w:t>ssion</w:t>
            </w:r>
            <w:r w:rsidRPr="00265161">
              <w:rPr>
                <w:rFonts w:eastAsia="Yu Mincho"/>
                <w:sz w:val="20"/>
                <w:szCs w:val="20"/>
                <w:lang w:val="x-none"/>
              </w:rPr>
              <w:t xml:space="preserve"> power</w:t>
            </w:r>
            <w:r w:rsidRPr="00265161">
              <w:rPr>
                <w:rFonts w:eastAsia="Yu Mincho" w:hint="eastAsia"/>
                <w:sz w:val="20"/>
                <w:szCs w:val="20"/>
                <w:lang w:val="x-none"/>
              </w:rPr>
              <w:t>s</w:t>
            </w:r>
            <w:r w:rsidRPr="00265161">
              <w:rPr>
                <w:rFonts w:eastAsia="Yu Mincho"/>
                <w:sz w:val="20"/>
                <w:szCs w:val="20"/>
                <w:lang w:val="x-none"/>
              </w:rPr>
              <w:t xml:space="preserve"> </w:t>
            </w:r>
            <w:r w:rsidRPr="00265161">
              <w:rPr>
                <w:rFonts w:eastAsia="Yu Mincho"/>
                <w:sz w:val="20"/>
                <w:szCs w:val="20"/>
              </w:rPr>
              <w:t>in</w:t>
            </w:r>
            <w:r w:rsidRPr="00265161">
              <w:rPr>
                <w:rFonts w:eastAsia="Yu Mincho" w:hint="eastAsia"/>
                <w:sz w:val="20"/>
                <w:szCs w:val="20"/>
                <w:lang w:val="x-none"/>
              </w:rPr>
              <w:t xml:space="preserve"> subframe </w:t>
            </w:r>
            <w:r w:rsidRPr="00265161">
              <w:rPr>
                <w:rFonts w:eastAsia="Yu Mincho"/>
                <w:noProof/>
                <w:position w:val="-10"/>
                <w:sz w:val="20"/>
                <w:szCs w:val="20"/>
                <w:lang w:eastAsia="ko-KR"/>
              </w:rPr>
              <w:drawing>
                <wp:inline distT="0" distB="0" distL="0" distR="0" wp14:anchorId="7470B81B" wp14:editId="2353C6CA">
                  <wp:extent cx="95250" cy="184150"/>
                  <wp:effectExtent l="0" t="0" r="0" b="6350"/>
                  <wp:docPr id="316" name="Picture 3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1"/>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95250" cy="184150"/>
                          </a:xfrm>
                          <a:prstGeom prst="rect">
                            <a:avLst/>
                          </a:prstGeom>
                          <a:noFill/>
                          <a:ln>
                            <a:noFill/>
                          </a:ln>
                        </pic:spPr>
                      </pic:pic>
                    </a:graphicData>
                  </a:graphic>
                </wp:inline>
              </w:drawing>
            </w:r>
            <w:r w:rsidRPr="00265161">
              <w:rPr>
                <w:rFonts w:eastAsia="Yu Mincho" w:hint="eastAsia"/>
                <w:sz w:val="20"/>
                <w:szCs w:val="20"/>
                <w:lang w:val="x-none"/>
              </w:rPr>
              <w:t xml:space="preserve"> </w:t>
            </w:r>
            <w:r w:rsidRPr="00265161">
              <w:rPr>
                <w:rFonts w:eastAsia="Yu Mincho"/>
                <w:sz w:val="20"/>
                <w:szCs w:val="20"/>
              </w:rPr>
              <w:t xml:space="preserve">of the MCG </w:t>
            </w:r>
            <w:r w:rsidRPr="00265161">
              <w:rPr>
                <w:rFonts w:eastAsia="Yu Mincho"/>
                <w:sz w:val="20"/>
                <w:szCs w:val="20"/>
                <w:lang w:val="x-none"/>
              </w:rPr>
              <w:t xml:space="preserve">and </w:t>
            </w:r>
            <w:r w:rsidRPr="00265161">
              <w:rPr>
                <w:rFonts w:eastAsia="Yu Mincho"/>
                <w:sz w:val="20"/>
                <w:szCs w:val="20"/>
              </w:rPr>
              <w:t>in</w:t>
            </w:r>
            <w:r w:rsidRPr="00265161">
              <w:rPr>
                <w:rFonts w:eastAsia="Yu Mincho" w:hint="eastAsia"/>
                <w:sz w:val="20"/>
                <w:szCs w:val="20"/>
                <w:lang w:val="x-none"/>
              </w:rPr>
              <w:t xml:space="preserve"> slot </w:t>
            </w:r>
            <w:r w:rsidRPr="00265161">
              <w:rPr>
                <w:rFonts w:eastAsia="Yu Mincho"/>
                <w:noProof/>
                <w:position w:val="-10"/>
                <w:sz w:val="20"/>
                <w:szCs w:val="20"/>
                <w:lang w:eastAsia="ko-KR"/>
              </w:rPr>
              <w:drawing>
                <wp:inline distT="0" distB="0" distL="0" distR="0" wp14:anchorId="5FFE0B46" wp14:editId="300358BE">
                  <wp:extent cx="95250" cy="184150"/>
                  <wp:effectExtent l="0" t="0" r="0" b="6350"/>
                  <wp:docPr id="315" name="Picture 3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2"/>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95250" cy="184150"/>
                          </a:xfrm>
                          <a:prstGeom prst="rect">
                            <a:avLst/>
                          </a:prstGeom>
                          <a:noFill/>
                          <a:ln>
                            <a:noFill/>
                          </a:ln>
                        </pic:spPr>
                      </pic:pic>
                    </a:graphicData>
                  </a:graphic>
                </wp:inline>
              </w:drawing>
            </w:r>
            <w:r w:rsidRPr="00265161">
              <w:rPr>
                <w:rFonts w:eastAsia="Yu Mincho"/>
                <w:sz w:val="20"/>
                <w:szCs w:val="20"/>
              </w:rPr>
              <w:t xml:space="preserve"> of the SCG in FR1</w:t>
            </w:r>
            <w:r w:rsidRPr="00265161">
              <w:rPr>
                <w:rFonts w:eastAsia="Yu Mincho"/>
                <w:sz w:val="20"/>
                <w:szCs w:val="20"/>
                <w:lang w:val="x-none"/>
              </w:rPr>
              <w:t>, respectively.</w:t>
            </w:r>
            <w:r w:rsidRPr="00265161">
              <w:rPr>
                <w:rFonts w:eastAsia="Yu Mincho"/>
                <w:sz w:val="20"/>
                <w:szCs w:val="20"/>
              </w:rPr>
              <w:t xml:space="preserve"> The UE is not required to transmit in any portion of slot </w:t>
            </w:r>
            <w:r w:rsidRPr="00265161">
              <w:rPr>
                <w:rFonts w:eastAsia="Yu Mincho"/>
                <w:noProof/>
                <w:position w:val="-10"/>
                <w:sz w:val="20"/>
                <w:szCs w:val="20"/>
                <w:lang w:eastAsia="ko-KR"/>
              </w:rPr>
              <w:drawing>
                <wp:inline distT="0" distB="0" distL="0" distR="0" wp14:anchorId="0B704279" wp14:editId="6CB2E070">
                  <wp:extent cx="95250" cy="184150"/>
                  <wp:effectExtent l="0" t="0" r="0" b="6350"/>
                  <wp:docPr id="314" name="Picture 3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95250" cy="184150"/>
                          </a:xfrm>
                          <a:prstGeom prst="rect">
                            <a:avLst/>
                          </a:prstGeom>
                          <a:noFill/>
                          <a:ln>
                            <a:noFill/>
                          </a:ln>
                        </pic:spPr>
                      </pic:pic>
                    </a:graphicData>
                  </a:graphic>
                </wp:inline>
              </w:drawing>
            </w:r>
            <w:r w:rsidRPr="00265161">
              <w:rPr>
                <w:rFonts w:eastAsia="Yu Mincho"/>
                <w:sz w:val="20"/>
                <w:szCs w:val="20"/>
              </w:rPr>
              <w:t xml:space="preserve"> of the SCG if </w:t>
            </w:r>
            <w:r w:rsidRPr="00265161">
              <w:rPr>
                <w:rFonts w:eastAsia="Yu Mincho"/>
                <w:noProof/>
                <w:position w:val="-10"/>
                <w:sz w:val="20"/>
                <w:szCs w:val="20"/>
                <w:lang w:eastAsia="ko-KR"/>
              </w:rPr>
              <w:drawing>
                <wp:inline distT="0" distB="0" distL="0" distR="0" wp14:anchorId="255929A4" wp14:editId="689F4348">
                  <wp:extent cx="457200" cy="184150"/>
                  <wp:effectExtent l="0" t="0" r="0" b="6350"/>
                  <wp:docPr id="313" name="Picture 3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4"/>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457200" cy="184150"/>
                          </a:xfrm>
                          <a:prstGeom prst="rect">
                            <a:avLst/>
                          </a:prstGeom>
                          <a:noFill/>
                          <a:ln>
                            <a:noFill/>
                          </a:ln>
                        </pic:spPr>
                      </pic:pic>
                    </a:graphicData>
                  </a:graphic>
                </wp:inline>
              </w:drawing>
            </w:r>
            <w:r w:rsidRPr="00265161">
              <w:rPr>
                <w:rFonts w:eastAsia="Yu Mincho"/>
                <w:sz w:val="20"/>
                <w:szCs w:val="20"/>
              </w:rPr>
              <w:t xml:space="preserve"> would need to be reduced by more than the value provided by </w:t>
            </w:r>
            <w:r w:rsidRPr="00265161">
              <w:rPr>
                <w:rFonts w:eastAsia="Yu Mincho"/>
                <w:i/>
                <w:sz w:val="20"/>
                <w:szCs w:val="20"/>
              </w:rPr>
              <w:t>X</w:t>
            </w:r>
            <w:r w:rsidRPr="00265161">
              <w:rPr>
                <w:rFonts w:eastAsia="Yu Mincho"/>
                <w:i/>
                <w:sz w:val="20"/>
                <w:szCs w:val="20"/>
                <w:vertAlign w:val="subscript"/>
              </w:rPr>
              <w:t>SCALE</w:t>
            </w:r>
            <w:r w:rsidRPr="00265161">
              <w:rPr>
                <w:rFonts w:eastAsia="Yu Mincho"/>
                <w:sz w:val="20"/>
                <w:szCs w:val="20"/>
              </w:rPr>
              <w:t xml:space="preserve"> in order for </w:t>
            </w:r>
            <w:r w:rsidRPr="00265161">
              <w:rPr>
                <w:rFonts w:eastAsia="Yu Mincho"/>
                <w:noProof/>
                <w:position w:val="-10"/>
                <w:sz w:val="20"/>
                <w:szCs w:val="20"/>
                <w:lang w:eastAsia="ko-KR"/>
              </w:rPr>
              <w:drawing>
                <wp:inline distT="0" distB="0" distL="0" distR="0" wp14:anchorId="40E4FEAB" wp14:editId="2C0AB3F9">
                  <wp:extent cx="1371600" cy="184150"/>
                  <wp:effectExtent l="0" t="0" r="0" b="635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5"/>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371600" cy="184150"/>
                          </a:xfrm>
                          <a:prstGeom prst="rect">
                            <a:avLst/>
                          </a:prstGeom>
                          <a:noFill/>
                          <a:ln>
                            <a:noFill/>
                          </a:ln>
                        </pic:spPr>
                      </pic:pic>
                    </a:graphicData>
                  </a:graphic>
                </wp:inline>
              </w:drawing>
            </w:r>
            <w:r w:rsidRPr="00265161">
              <w:rPr>
                <w:rFonts w:eastAsia="Yu Mincho"/>
                <w:sz w:val="20"/>
                <w:szCs w:val="20"/>
              </w:rPr>
              <w:t xml:space="preserve"> in any portion of slot </w:t>
            </w:r>
            <w:r w:rsidRPr="00265161">
              <w:rPr>
                <w:rFonts w:eastAsia="Yu Mincho"/>
                <w:noProof/>
                <w:position w:val="-10"/>
                <w:sz w:val="20"/>
                <w:szCs w:val="20"/>
                <w:lang w:eastAsia="ko-KR"/>
              </w:rPr>
              <w:drawing>
                <wp:inline distT="0" distB="0" distL="0" distR="0" wp14:anchorId="31A726BB" wp14:editId="7485B483">
                  <wp:extent cx="95250" cy="184150"/>
                  <wp:effectExtent l="0" t="0" r="0" b="6350"/>
                  <wp:docPr id="188" name="Picture 1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6"/>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95250" cy="184150"/>
                          </a:xfrm>
                          <a:prstGeom prst="rect">
                            <a:avLst/>
                          </a:prstGeom>
                          <a:noFill/>
                          <a:ln>
                            <a:noFill/>
                          </a:ln>
                        </pic:spPr>
                      </pic:pic>
                    </a:graphicData>
                  </a:graphic>
                </wp:inline>
              </w:drawing>
            </w:r>
            <w:r w:rsidRPr="00265161">
              <w:rPr>
                <w:rFonts w:eastAsia="Yu Mincho" w:hint="eastAsia"/>
                <w:sz w:val="20"/>
                <w:szCs w:val="20"/>
                <w:lang w:val="x-none"/>
              </w:rPr>
              <w:t xml:space="preserve"> o</w:t>
            </w:r>
            <w:r w:rsidRPr="00265161">
              <w:rPr>
                <w:rFonts w:eastAsia="Yu Mincho"/>
                <w:sz w:val="20"/>
                <w:szCs w:val="20"/>
              </w:rPr>
              <w:t>f</w:t>
            </w:r>
            <w:r w:rsidRPr="00265161">
              <w:rPr>
                <w:rFonts w:eastAsia="Yu Mincho" w:hint="eastAsia"/>
                <w:sz w:val="20"/>
                <w:szCs w:val="20"/>
                <w:lang w:val="x-none"/>
              </w:rPr>
              <w:t xml:space="preserve"> the SCG</w:t>
            </w:r>
            <w:r w:rsidRPr="00265161">
              <w:rPr>
                <w:rFonts w:eastAsia="Yu Mincho"/>
                <w:sz w:val="20"/>
                <w:szCs w:val="20"/>
              </w:rPr>
              <w:t xml:space="preserve">. The UE is required to transmit in slot </w:t>
            </w:r>
            <w:r w:rsidRPr="00265161">
              <w:rPr>
                <w:rFonts w:eastAsia="Yu Mincho"/>
                <w:noProof/>
                <w:position w:val="-10"/>
                <w:sz w:val="20"/>
                <w:szCs w:val="20"/>
                <w:lang w:eastAsia="ko-KR"/>
              </w:rPr>
              <w:drawing>
                <wp:inline distT="0" distB="0" distL="0" distR="0" wp14:anchorId="486B0AF6" wp14:editId="4D90657E">
                  <wp:extent cx="95250" cy="184150"/>
                  <wp:effectExtent l="0" t="0" r="0" b="635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7"/>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95250" cy="184150"/>
                          </a:xfrm>
                          <a:prstGeom prst="rect">
                            <a:avLst/>
                          </a:prstGeom>
                          <a:noFill/>
                          <a:ln>
                            <a:noFill/>
                          </a:ln>
                        </pic:spPr>
                      </pic:pic>
                    </a:graphicData>
                  </a:graphic>
                </wp:inline>
              </w:drawing>
            </w:r>
            <w:r w:rsidRPr="00265161">
              <w:rPr>
                <w:rFonts w:eastAsia="Yu Mincho"/>
                <w:sz w:val="20"/>
                <w:szCs w:val="20"/>
              </w:rPr>
              <w:t xml:space="preserve"> of the SCG if </w:t>
            </w:r>
            <w:r w:rsidRPr="00265161">
              <w:rPr>
                <w:rFonts w:eastAsia="Yu Mincho"/>
                <w:noProof/>
                <w:position w:val="-10"/>
                <w:sz w:val="20"/>
                <w:szCs w:val="20"/>
                <w:lang w:eastAsia="ko-KR"/>
              </w:rPr>
              <w:drawing>
                <wp:inline distT="0" distB="0" distL="0" distR="0" wp14:anchorId="379282B8" wp14:editId="0AAD8E8F">
                  <wp:extent cx="361950" cy="184150"/>
                  <wp:effectExtent l="0" t="0" r="0" b="635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8"/>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361950" cy="184150"/>
                          </a:xfrm>
                          <a:prstGeom prst="rect">
                            <a:avLst/>
                          </a:prstGeom>
                          <a:noFill/>
                          <a:ln>
                            <a:noFill/>
                          </a:ln>
                        </pic:spPr>
                      </pic:pic>
                    </a:graphicData>
                  </a:graphic>
                </wp:inline>
              </w:drawing>
            </w:r>
            <w:r w:rsidRPr="00265161">
              <w:rPr>
                <w:rFonts w:eastAsia="Yu Mincho"/>
                <w:sz w:val="20"/>
                <w:szCs w:val="20"/>
              </w:rPr>
              <w:t xml:space="preserve"> would not need to be reduced by more than the value provided by </w:t>
            </w:r>
            <w:r w:rsidRPr="00265161">
              <w:rPr>
                <w:rFonts w:eastAsia="Yu Mincho"/>
                <w:i/>
                <w:sz w:val="20"/>
                <w:szCs w:val="20"/>
              </w:rPr>
              <w:t>X</w:t>
            </w:r>
            <w:r w:rsidRPr="00265161">
              <w:rPr>
                <w:rFonts w:eastAsia="Yu Mincho"/>
                <w:i/>
                <w:sz w:val="20"/>
                <w:szCs w:val="20"/>
                <w:vertAlign w:val="subscript"/>
              </w:rPr>
              <w:t>SCALE</w:t>
            </w:r>
            <w:r w:rsidRPr="00265161">
              <w:rPr>
                <w:rFonts w:eastAsia="Yu Mincho"/>
                <w:sz w:val="20"/>
                <w:szCs w:val="20"/>
              </w:rPr>
              <w:t xml:space="preserve"> in order for </w:t>
            </w:r>
            <w:r w:rsidRPr="00265161">
              <w:rPr>
                <w:rFonts w:eastAsia="Yu Mincho"/>
                <w:noProof/>
                <w:position w:val="-10"/>
                <w:sz w:val="20"/>
                <w:szCs w:val="20"/>
                <w:lang w:eastAsia="ko-KR"/>
              </w:rPr>
              <w:drawing>
                <wp:inline distT="0" distB="0" distL="0" distR="0" wp14:anchorId="3F42C2E4" wp14:editId="7F3B6E7B">
                  <wp:extent cx="1276350" cy="184150"/>
                  <wp:effectExtent l="0" t="0" r="0" b="635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9"/>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276350" cy="184150"/>
                          </a:xfrm>
                          <a:prstGeom prst="rect">
                            <a:avLst/>
                          </a:prstGeom>
                          <a:noFill/>
                          <a:ln>
                            <a:noFill/>
                          </a:ln>
                        </pic:spPr>
                      </pic:pic>
                    </a:graphicData>
                  </a:graphic>
                </wp:inline>
              </w:drawing>
            </w:r>
            <w:r w:rsidRPr="00265161">
              <w:rPr>
                <w:rFonts w:eastAsia="Yu Mincho"/>
                <w:sz w:val="20"/>
                <w:szCs w:val="20"/>
              </w:rPr>
              <w:t xml:space="preserve"> in all portions of slot </w:t>
            </w:r>
            <w:r w:rsidRPr="00265161">
              <w:rPr>
                <w:rFonts w:eastAsia="Yu Mincho"/>
                <w:noProof/>
                <w:position w:val="-10"/>
                <w:sz w:val="20"/>
                <w:szCs w:val="20"/>
                <w:lang w:eastAsia="ko-KR"/>
              </w:rPr>
              <w:drawing>
                <wp:inline distT="0" distB="0" distL="0" distR="0" wp14:anchorId="260A53BB" wp14:editId="753AE7E6">
                  <wp:extent cx="95250" cy="184150"/>
                  <wp:effectExtent l="0" t="0" r="0" b="635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0"/>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95250" cy="184150"/>
                          </a:xfrm>
                          <a:prstGeom prst="rect">
                            <a:avLst/>
                          </a:prstGeom>
                          <a:noFill/>
                          <a:ln>
                            <a:noFill/>
                          </a:ln>
                        </pic:spPr>
                      </pic:pic>
                    </a:graphicData>
                  </a:graphic>
                </wp:inline>
              </w:drawing>
            </w:r>
            <w:r w:rsidRPr="00265161">
              <w:rPr>
                <w:rFonts w:eastAsia="Yu Mincho"/>
                <w:sz w:val="20"/>
                <w:szCs w:val="20"/>
              </w:rPr>
              <w:t>.</w:t>
            </w:r>
          </w:p>
          <w:p w14:paraId="0AFC0A2B" w14:textId="1796DBC4" w:rsidR="00B260D2" w:rsidRPr="00265161" w:rsidRDefault="00265161" w:rsidP="00265161">
            <w:pPr>
              <w:rPr>
                <w:sz w:val="20"/>
                <w:szCs w:val="20"/>
              </w:rPr>
            </w:pPr>
            <w:r w:rsidRPr="00265161">
              <w:rPr>
                <w:rFonts w:eastAsia="Yu Mincho"/>
                <w:sz w:val="20"/>
                <w:szCs w:val="20"/>
                <w:lang w:val="x-none"/>
              </w:rPr>
              <w:t>-</w:t>
            </w:r>
            <w:r w:rsidRPr="00265161">
              <w:rPr>
                <w:rFonts w:eastAsia="Yu Mincho"/>
                <w:sz w:val="20"/>
                <w:szCs w:val="20"/>
                <w:lang w:val="x-none"/>
              </w:rPr>
              <w:tab/>
              <w:t xml:space="preserve">If the UE </w:t>
            </w:r>
            <w:r w:rsidRPr="00265161">
              <w:rPr>
                <w:rFonts w:eastAsia="Yu Mincho"/>
                <w:sz w:val="20"/>
                <w:szCs w:val="20"/>
              </w:rPr>
              <w:t xml:space="preserve">does </w:t>
            </w:r>
            <w:r w:rsidRPr="00265161">
              <w:rPr>
                <w:rFonts w:eastAsia="Yu Mincho"/>
                <w:sz w:val="20"/>
                <w:szCs w:val="20"/>
                <w:lang w:val="x-none" w:eastAsia="ja-JP"/>
              </w:rPr>
              <w:t>not indicate a capability for dynamic power sharing</w:t>
            </w:r>
            <w:r w:rsidRPr="00265161">
              <w:rPr>
                <w:rFonts w:eastAsia="Yu Mincho"/>
                <w:sz w:val="20"/>
                <w:szCs w:val="20"/>
                <w:lang w:eastAsia="ja-JP"/>
              </w:rPr>
              <w:t xml:space="preserve"> between E-UTRA and NR for EN-DC, the UE expects to be configured </w:t>
            </w:r>
            <w:r w:rsidRPr="00265161">
              <w:rPr>
                <w:rFonts w:eastAsia="Yu Mincho" w:hint="eastAsia"/>
                <w:sz w:val="20"/>
                <w:szCs w:val="20"/>
                <w:lang w:val="x-none"/>
              </w:rPr>
              <w:t xml:space="preserve">with </w:t>
            </w:r>
            <w:r w:rsidRPr="00265161">
              <w:rPr>
                <w:rFonts w:eastAsia="Yu Mincho"/>
                <w:sz w:val="20"/>
                <w:szCs w:val="20"/>
                <w:lang w:val="x-none"/>
              </w:rPr>
              <w:t>reference TDD configuration</w:t>
            </w:r>
            <w:r w:rsidRPr="00265161">
              <w:rPr>
                <w:rFonts w:eastAsia="Yu Mincho" w:hint="eastAsia"/>
                <w:sz w:val="20"/>
                <w:szCs w:val="20"/>
                <w:lang w:val="x-none"/>
              </w:rPr>
              <w:t xml:space="preserve"> </w:t>
            </w:r>
            <w:r w:rsidRPr="00265161">
              <w:rPr>
                <w:rFonts w:eastAsia="Yu Mincho"/>
                <w:sz w:val="20"/>
                <w:szCs w:val="20"/>
              </w:rPr>
              <w:t xml:space="preserve">for E-UTRA (by </w:t>
            </w:r>
            <w:r w:rsidRPr="00265161">
              <w:rPr>
                <w:rFonts w:eastAsia="Yu Mincho"/>
                <w:i/>
                <w:iCs/>
                <w:sz w:val="20"/>
                <w:szCs w:val="20"/>
                <w:lang w:val="x-none"/>
              </w:rPr>
              <w:t>tdm-PatternConfig-r15</w:t>
            </w:r>
            <w:r w:rsidRPr="00265161">
              <w:rPr>
                <w:rFonts w:eastAsia="Yu Mincho" w:hint="eastAsia"/>
                <w:sz w:val="20"/>
                <w:szCs w:val="20"/>
              </w:rPr>
              <w:t xml:space="preserve"> </w:t>
            </w:r>
            <w:r w:rsidRPr="00265161">
              <w:rPr>
                <w:rFonts w:eastAsia="Yu Mincho"/>
                <w:sz w:val="20"/>
                <w:szCs w:val="20"/>
              </w:rPr>
              <w:t xml:space="preserve">or by </w:t>
            </w:r>
            <w:r w:rsidRPr="00265161">
              <w:rPr>
                <w:rFonts w:eastAsia="Yu Mincho"/>
                <w:i/>
                <w:iCs/>
                <w:sz w:val="20"/>
                <w:szCs w:val="20"/>
                <w:lang w:val="x-none"/>
              </w:rPr>
              <w:t>tdm-PatternConfig-r16</w:t>
            </w:r>
            <w:r w:rsidRPr="00265161">
              <w:rPr>
                <w:rFonts w:eastAsia="Yu Mincho"/>
                <w:sz w:val="20"/>
                <w:szCs w:val="20"/>
                <w:lang w:val="x-none"/>
              </w:rPr>
              <w:t xml:space="preserve"> </w:t>
            </w:r>
            <w:r w:rsidRPr="00265161">
              <w:rPr>
                <w:rFonts w:eastAsia="Yu Mincho"/>
                <w:sz w:val="20"/>
                <w:szCs w:val="20"/>
              </w:rPr>
              <w:t xml:space="preserve">in </w:t>
            </w:r>
            <w:r w:rsidRPr="00265161">
              <w:rPr>
                <w:rFonts w:eastAsia="Yu Mincho" w:hint="eastAsia"/>
                <w:sz w:val="20"/>
                <w:szCs w:val="20"/>
                <w:lang w:val="x-none"/>
              </w:rPr>
              <w:t>[13, TS</w:t>
            </w:r>
            <w:r w:rsidRPr="00265161">
              <w:rPr>
                <w:rFonts w:eastAsia="Yu Mincho"/>
                <w:sz w:val="20"/>
                <w:szCs w:val="20"/>
                <w:lang w:val="x-none"/>
              </w:rPr>
              <w:t xml:space="preserve"> </w:t>
            </w:r>
            <w:r w:rsidRPr="00265161">
              <w:rPr>
                <w:rFonts w:eastAsia="Yu Mincho" w:hint="eastAsia"/>
                <w:sz w:val="20"/>
                <w:szCs w:val="20"/>
                <w:lang w:val="x-none"/>
              </w:rPr>
              <w:t>36.213]</w:t>
            </w:r>
            <w:r w:rsidRPr="00265161">
              <w:rPr>
                <w:rFonts w:eastAsia="Yu Mincho"/>
                <w:sz w:val="20"/>
                <w:szCs w:val="20"/>
              </w:rPr>
              <w:t>).</w:t>
            </w:r>
          </w:p>
          <w:p w14:paraId="663C6AE7" w14:textId="30DA08F3" w:rsidR="00B260D2" w:rsidRPr="00B260D2" w:rsidRDefault="00B260D2" w:rsidP="006A334D">
            <w:pPr>
              <w:ind w:left="568" w:hanging="284"/>
              <w:rPr>
                <w:rFonts w:eastAsia="Yu Mincho"/>
                <w:sz w:val="20"/>
                <w:szCs w:val="20"/>
                <w:lang w:val="x-none"/>
              </w:rPr>
            </w:pPr>
            <w:r w:rsidRPr="00B260D2">
              <w:rPr>
                <w:rFonts w:eastAsia="Yu Mincho"/>
                <w:sz w:val="20"/>
                <w:szCs w:val="20"/>
                <w:lang w:val="x-none"/>
              </w:rPr>
              <w:t xml:space="preserve"> </w:t>
            </w:r>
          </w:p>
        </w:tc>
      </w:tr>
    </w:tbl>
    <w:p w14:paraId="03722CC4" w14:textId="5F2E26A8" w:rsidR="00B260D2" w:rsidRDefault="00B260D2" w:rsidP="00650D8D">
      <w:pPr>
        <w:rPr>
          <w:sz w:val="20"/>
          <w:szCs w:val="20"/>
          <w:lang w:bidi="hi-IN"/>
        </w:rPr>
      </w:pPr>
    </w:p>
    <w:p w14:paraId="088DEEF3" w14:textId="481493AE" w:rsidR="00E82C7D" w:rsidRDefault="00E82C7D" w:rsidP="00650D8D">
      <w:pPr>
        <w:rPr>
          <w:sz w:val="20"/>
          <w:szCs w:val="20"/>
          <w:lang w:bidi="hi-IN"/>
        </w:rPr>
      </w:pPr>
    </w:p>
    <w:p w14:paraId="1CB6A608" w14:textId="495F854B" w:rsidR="00DA132A" w:rsidRDefault="00DA132A" w:rsidP="00E82C7D">
      <w:pPr>
        <w:rPr>
          <w:sz w:val="20"/>
          <w:szCs w:val="20"/>
          <w:lang w:eastAsia="ja-JP" w:bidi="hi-IN"/>
        </w:rPr>
      </w:pPr>
      <w:r>
        <w:rPr>
          <w:sz w:val="20"/>
          <w:szCs w:val="20"/>
          <w:lang w:eastAsia="ja-JP" w:bidi="hi-IN"/>
        </w:rPr>
        <w:t xml:space="preserve">It seems to me that main difference between option 1 vs option 2 is </w:t>
      </w:r>
    </w:p>
    <w:p w14:paraId="4462A302" w14:textId="6685FD29" w:rsidR="00E82C7D" w:rsidRDefault="00DA132A" w:rsidP="00E82C7D">
      <w:pPr>
        <w:rPr>
          <w:sz w:val="20"/>
          <w:szCs w:val="20"/>
          <w:lang w:eastAsia="ja-JP" w:bidi="hi-IN"/>
        </w:rPr>
      </w:pPr>
      <w:r>
        <w:rPr>
          <w:sz w:val="20"/>
          <w:szCs w:val="20"/>
          <w:lang w:eastAsia="ja-JP" w:bidi="hi-IN"/>
        </w:rPr>
        <w:t>I’d like companies to provide input to the following questions:</w:t>
      </w:r>
    </w:p>
    <w:p w14:paraId="3D4DEA48" w14:textId="7121A492" w:rsidR="00DA132A" w:rsidRDefault="00DA132A" w:rsidP="00E82C7D">
      <w:pPr>
        <w:rPr>
          <w:sz w:val="20"/>
          <w:szCs w:val="20"/>
          <w:lang w:eastAsia="ja-JP" w:bidi="hi-IN"/>
        </w:rPr>
      </w:pPr>
    </w:p>
    <w:p w14:paraId="4D15AD30" w14:textId="77777777" w:rsidR="00DA132A" w:rsidRPr="00DA132A" w:rsidRDefault="00DA132A" w:rsidP="00DA132A">
      <w:pPr>
        <w:numPr>
          <w:ilvl w:val="0"/>
          <w:numId w:val="31"/>
        </w:numPr>
        <w:rPr>
          <w:b/>
          <w:bCs/>
          <w:sz w:val="20"/>
          <w:szCs w:val="20"/>
          <w:lang w:eastAsia="ja-JP" w:bidi="hi-IN"/>
        </w:rPr>
      </w:pPr>
      <w:bookmarkStart w:id="3" w:name="_Hlk38457145"/>
      <w:r w:rsidRPr="00DA132A">
        <w:rPr>
          <w:b/>
          <w:bCs/>
          <w:sz w:val="20"/>
          <w:szCs w:val="20"/>
          <w:lang w:eastAsia="ja-JP" w:bidi="hi-IN"/>
        </w:rPr>
        <w:t>Q1-1: In addition to the following cases, is there any other case where network can configure a UE can be configured with case 1 Reference HARQ timing (i.e. tdm-PatternConfig-r16)? (If yes, please also point us to the RAN1 agreement)</w:t>
      </w:r>
    </w:p>
    <w:p w14:paraId="53A1DC68" w14:textId="77777777" w:rsidR="00DA132A" w:rsidRPr="00DA132A" w:rsidRDefault="00DA132A" w:rsidP="00DA132A">
      <w:pPr>
        <w:numPr>
          <w:ilvl w:val="1"/>
          <w:numId w:val="31"/>
        </w:numPr>
        <w:rPr>
          <w:b/>
          <w:bCs/>
          <w:sz w:val="20"/>
          <w:szCs w:val="20"/>
          <w:lang w:eastAsia="ja-JP" w:bidi="hi-IN"/>
        </w:rPr>
      </w:pPr>
      <w:r w:rsidRPr="00DA132A">
        <w:rPr>
          <w:b/>
          <w:bCs/>
          <w:sz w:val="20"/>
          <w:szCs w:val="20"/>
          <w:lang w:eastAsia="ja-JP" w:bidi="hi-IN"/>
        </w:rPr>
        <w:t xml:space="preserve">Case 1): type 1 UE indicates </w:t>
      </w:r>
      <w:proofErr w:type="spellStart"/>
      <w:r w:rsidRPr="00DA132A">
        <w:rPr>
          <w:b/>
          <w:bCs/>
          <w:sz w:val="20"/>
          <w:szCs w:val="20"/>
          <w:lang w:eastAsia="ja-JP" w:bidi="hi-IN"/>
        </w:rPr>
        <w:t>singleUL</w:t>
      </w:r>
      <w:proofErr w:type="spellEnd"/>
      <w:r w:rsidRPr="00DA132A">
        <w:rPr>
          <w:b/>
          <w:bCs/>
          <w:sz w:val="20"/>
          <w:szCs w:val="20"/>
          <w:lang w:eastAsia="ja-JP" w:bidi="hi-IN"/>
        </w:rPr>
        <w:t>-Transmission for the difficult BC listed in 38.101</w:t>
      </w:r>
    </w:p>
    <w:p w14:paraId="0391770C" w14:textId="77777777" w:rsidR="00DA132A" w:rsidRPr="00DA132A" w:rsidRDefault="00DA132A" w:rsidP="00DA132A">
      <w:pPr>
        <w:numPr>
          <w:ilvl w:val="1"/>
          <w:numId w:val="31"/>
        </w:numPr>
        <w:rPr>
          <w:b/>
          <w:bCs/>
          <w:sz w:val="20"/>
          <w:szCs w:val="20"/>
          <w:lang w:eastAsia="ja-JP" w:bidi="hi-IN"/>
        </w:rPr>
      </w:pPr>
      <w:r w:rsidRPr="00DA132A">
        <w:rPr>
          <w:b/>
          <w:bCs/>
          <w:sz w:val="20"/>
          <w:szCs w:val="20"/>
          <w:lang w:eastAsia="ja-JP" w:bidi="hi-IN"/>
        </w:rPr>
        <w:t xml:space="preserve">Case 2): type 1 UE indicates </w:t>
      </w:r>
      <w:proofErr w:type="spellStart"/>
      <w:r w:rsidRPr="00DA132A">
        <w:rPr>
          <w:b/>
          <w:bCs/>
          <w:sz w:val="20"/>
          <w:szCs w:val="20"/>
          <w:lang w:eastAsia="ja-JP" w:bidi="hi-IN"/>
        </w:rPr>
        <w:t>tdm</w:t>
      </w:r>
      <w:proofErr w:type="spellEnd"/>
      <w:r w:rsidRPr="00DA132A">
        <w:rPr>
          <w:b/>
          <w:bCs/>
          <w:sz w:val="20"/>
          <w:szCs w:val="20"/>
          <w:lang w:eastAsia="ja-JP" w:bidi="hi-IN"/>
        </w:rPr>
        <w:t>-pattern-</w:t>
      </w:r>
      <w:proofErr w:type="spellStart"/>
      <w:r w:rsidRPr="00DA132A">
        <w:rPr>
          <w:b/>
          <w:bCs/>
          <w:sz w:val="20"/>
          <w:szCs w:val="20"/>
          <w:lang w:eastAsia="ja-JP" w:bidi="hi-IN"/>
        </w:rPr>
        <w:t>dualTx</w:t>
      </w:r>
      <w:proofErr w:type="spellEnd"/>
      <w:r w:rsidRPr="00DA132A">
        <w:rPr>
          <w:b/>
          <w:bCs/>
          <w:sz w:val="20"/>
          <w:szCs w:val="20"/>
          <w:lang w:eastAsia="ja-JP" w:bidi="hi-IN"/>
        </w:rPr>
        <w:t xml:space="preserve"> for BC with potential DL de-sense due to harmonics</w:t>
      </w:r>
    </w:p>
    <w:p w14:paraId="7E90C519" w14:textId="77777777" w:rsidR="00DA132A" w:rsidRPr="00DA132A" w:rsidRDefault="00DA132A" w:rsidP="00DA132A">
      <w:pPr>
        <w:numPr>
          <w:ilvl w:val="1"/>
          <w:numId w:val="31"/>
        </w:numPr>
        <w:rPr>
          <w:b/>
          <w:bCs/>
          <w:sz w:val="20"/>
          <w:szCs w:val="20"/>
          <w:lang w:eastAsia="ja-JP" w:bidi="hi-IN"/>
        </w:rPr>
      </w:pPr>
      <w:r w:rsidRPr="00DA132A">
        <w:rPr>
          <w:b/>
          <w:bCs/>
          <w:sz w:val="20"/>
          <w:szCs w:val="20"/>
          <w:lang w:eastAsia="ja-JP" w:bidi="hi-IN"/>
        </w:rPr>
        <w:t xml:space="preserve">Case 3): type 2 UE configured with </w:t>
      </w:r>
      <w:proofErr w:type="spellStart"/>
      <w:r w:rsidRPr="00DA132A">
        <w:rPr>
          <w:b/>
          <w:bCs/>
          <w:sz w:val="20"/>
          <w:szCs w:val="20"/>
          <w:lang w:eastAsia="ja-JP" w:bidi="hi-IN"/>
        </w:rPr>
        <w:t>P_lte</w:t>
      </w:r>
      <w:proofErr w:type="spellEnd"/>
      <w:r w:rsidRPr="00DA132A">
        <w:rPr>
          <w:b/>
          <w:bCs/>
          <w:sz w:val="20"/>
          <w:szCs w:val="20"/>
          <w:lang w:eastAsia="ja-JP" w:bidi="hi-IN"/>
        </w:rPr>
        <w:t xml:space="preserve"> + </w:t>
      </w:r>
      <w:proofErr w:type="spellStart"/>
      <w:r w:rsidRPr="00DA132A">
        <w:rPr>
          <w:b/>
          <w:bCs/>
          <w:sz w:val="20"/>
          <w:szCs w:val="20"/>
          <w:lang w:eastAsia="ja-JP" w:bidi="hi-IN"/>
        </w:rPr>
        <w:t>P_nr</w:t>
      </w:r>
      <w:proofErr w:type="spellEnd"/>
      <w:r w:rsidRPr="00DA132A">
        <w:rPr>
          <w:b/>
          <w:bCs/>
          <w:sz w:val="20"/>
          <w:szCs w:val="20"/>
          <w:lang w:eastAsia="ja-JP" w:bidi="hi-IN"/>
        </w:rPr>
        <w:t xml:space="preserve"> &gt; </w:t>
      </w:r>
      <w:proofErr w:type="spellStart"/>
      <w:r w:rsidRPr="00DA132A">
        <w:rPr>
          <w:b/>
          <w:bCs/>
          <w:sz w:val="20"/>
          <w:szCs w:val="20"/>
          <w:lang w:eastAsia="ja-JP" w:bidi="hi-IN"/>
        </w:rPr>
        <w:t>P_total</w:t>
      </w:r>
      <w:proofErr w:type="spellEnd"/>
    </w:p>
    <w:bookmarkEnd w:id="3"/>
    <w:p w14:paraId="32B35BC4" w14:textId="0A415856" w:rsidR="00DA132A" w:rsidRDefault="00DA132A" w:rsidP="00E82C7D">
      <w:pPr>
        <w:rPr>
          <w:sz w:val="20"/>
          <w:szCs w:val="20"/>
          <w:lang w:eastAsia="ja-JP" w:bidi="hi-IN"/>
        </w:rPr>
      </w:pPr>
    </w:p>
    <w:tbl>
      <w:tblPr>
        <w:tblStyle w:val="TableGrid"/>
        <w:tblW w:w="0" w:type="auto"/>
        <w:tblLook w:val="04A0" w:firstRow="1" w:lastRow="0" w:firstColumn="1" w:lastColumn="0" w:noHBand="0" w:noVBand="1"/>
      </w:tblPr>
      <w:tblGrid>
        <w:gridCol w:w="1083"/>
        <w:gridCol w:w="8546"/>
      </w:tblGrid>
      <w:tr w:rsidR="00DA132A" w14:paraId="504F5F3A" w14:textId="77777777" w:rsidTr="004C6B69">
        <w:tc>
          <w:tcPr>
            <w:tcW w:w="985" w:type="dxa"/>
          </w:tcPr>
          <w:p w14:paraId="380CB650" w14:textId="10B58CF7" w:rsidR="00DA132A" w:rsidRDefault="00DA132A" w:rsidP="00E82C7D">
            <w:pPr>
              <w:rPr>
                <w:sz w:val="20"/>
                <w:szCs w:val="20"/>
                <w:lang w:eastAsia="ja-JP" w:bidi="hi-IN"/>
              </w:rPr>
            </w:pPr>
            <w:r>
              <w:rPr>
                <w:sz w:val="20"/>
                <w:szCs w:val="20"/>
                <w:lang w:eastAsia="ja-JP" w:bidi="hi-IN"/>
              </w:rPr>
              <w:t>Company</w:t>
            </w:r>
          </w:p>
        </w:tc>
        <w:tc>
          <w:tcPr>
            <w:tcW w:w="8644" w:type="dxa"/>
          </w:tcPr>
          <w:p w14:paraId="5ABAEE28" w14:textId="2835D190" w:rsidR="00DA132A" w:rsidRDefault="00DA132A" w:rsidP="00E82C7D">
            <w:pPr>
              <w:rPr>
                <w:sz w:val="20"/>
                <w:szCs w:val="20"/>
                <w:lang w:eastAsia="ja-JP" w:bidi="hi-IN"/>
              </w:rPr>
            </w:pPr>
            <w:r>
              <w:rPr>
                <w:sz w:val="20"/>
                <w:szCs w:val="20"/>
                <w:lang w:eastAsia="ja-JP" w:bidi="hi-IN"/>
              </w:rPr>
              <w:t>Comments</w:t>
            </w:r>
          </w:p>
        </w:tc>
      </w:tr>
      <w:tr w:rsidR="00DA132A" w14:paraId="4F537914" w14:textId="77777777" w:rsidTr="004C6B69">
        <w:tc>
          <w:tcPr>
            <w:tcW w:w="985" w:type="dxa"/>
          </w:tcPr>
          <w:p w14:paraId="10052717" w14:textId="6B7A7F67" w:rsidR="00DA132A" w:rsidRPr="00845433" w:rsidRDefault="00845433" w:rsidP="00E82C7D">
            <w:pPr>
              <w:rPr>
                <w:rFonts w:eastAsiaTheme="minorEastAsia"/>
                <w:sz w:val="20"/>
                <w:szCs w:val="20"/>
                <w:lang w:bidi="hi-IN"/>
              </w:rPr>
            </w:pPr>
            <w:r>
              <w:rPr>
                <w:rFonts w:eastAsiaTheme="minorEastAsia" w:hint="eastAsia"/>
                <w:sz w:val="20"/>
                <w:szCs w:val="20"/>
                <w:lang w:bidi="hi-IN"/>
              </w:rPr>
              <w:t>Z</w:t>
            </w:r>
            <w:r>
              <w:rPr>
                <w:rFonts w:eastAsiaTheme="minorEastAsia"/>
                <w:sz w:val="20"/>
                <w:szCs w:val="20"/>
                <w:lang w:bidi="hi-IN"/>
              </w:rPr>
              <w:t>TE</w:t>
            </w:r>
          </w:p>
        </w:tc>
        <w:tc>
          <w:tcPr>
            <w:tcW w:w="8644" w:type="dxa"/>
          </w:tcPr>
          <w:p w14:paraId="1CA552A0" w14:textId="6E7615CD" w:rsidR="00DA132A" w:rsidRDefault="00845433" w:rsidP="00845433">
            <w:pPr>
              <w:rPr>
                <w:rFonts w:eastAsiaTheme="minorEastAsia"/>
                <w:sz w:val="20"/>
                <w:szCs w:val="20"/>
                <w:lang w:bidi="hi-IN"/>
              </w:rPr>
            </w:pPr>
            <w:r>
              <w:rPr>
                <w:rFonts w:eastAsiaTheme="minorEastAsia" w:hint="eastAsia"/>
                <w:sz w:val="20"/>
                <w:szCs w:val="20"/>
                <w:lang w:bidi="hi-IN"/>
              </w:rPr>
              <w:t>W</w:t>
            </w:r>
            <w:r>
              <w:rPr>
                <w:rFonts w:eastAsiaTheme="minorEastAsia"/>
                <w:sz w:val="20"/>
                <w:szCs w:val="20"/>
                <w:lang w:bidi="hi-IN"/>
              </w:rPr>
              <w:t xml:space="preserve">e feel like the current spec doesn’t preclude configuring </w:t>
            </w:r>
            <w:proofErr w:type="spellStart"/>
            <w:r w:rsidRPr="00845433">
              <w:rPr>
                <w:rFonts w:eastAsiaTheme="minorEastAsia"/>
                <w:sz w:val="20"/>
                <w:szCs w:val="20"/>
                <w:lang w:bidi="hi-IN"/>
              </w:rPr>
              <w:t>tdm-PatternConfig</w:t>
            </w:r>
            <w:proofErr w:type="spellEnd"/>
            <w:r>
              <w:rPr>
                <w:rFonts w:eastAsiaTheme="minorEastAsia"/>
                <w:sz w:val="20"/>
                <w:szCs w:val="20"/>
                <w:lang w:bidi="hi-IN"/>
              </w:rPr>
              <w:t xml:space="preserve"> for other cases in addition to the above three cases. The key issue is, for a UE indicates neither </w:t>
            </w:r>
            <w:proofErr w:type="spellStart"/>
            <w:r w:rsidRPr="00845433">
              <w:rPr>
                <w:rFonts w:eastAsiaTheme="minorEastAsia"/>
                <w:sz w:val="20"/>
                <w:szCs w:val="20"/>
                <w:lang w:bidi="hi-IN"/>
              </w:rPr>
              <w:t>singleUL</w:t>
            </w:r>
            <w:proofErr w:type="spellEnd"/>
            <w:r w:rsidRPr="00845433">
              <w:rPr>
                <w:rFonts w:eastAsiaTheme="minorEastAsia"/>
                <w:sz w:val="20"/>
                <w:szCs w:val="20"/>
                <w:lang w:bidi="hi-IN"/>
              </w:rPr>
              <w:t>-Transmission</w:t>
            </w:r>
            <w:r>
              <w:rPr>
                <w:rFonts w:eastAsiaTheme="minorEastAsia"/>
                <w:sz w:val="20"/>
                <w:szCs w:val="20"/>
                <w:lang w:bidi="hi-IN"/>
              </w:rPr>
              <w:t xml:space="preserve"> or </w:t>
            </w:r>
            <w:proofErr w:type="spellStart"/>
            <w:r w:rsidRPr="00845433">
              <w:rPr>
                <w:rFonts w:eastAsiaTheme="minorEastAsia"/>
                <w:sz w:val="20"/>
                <w:szCs w:val="20"/>
                <w:lang w:bidi="hi-IN"/>
              </w:rPr>
              <w:t>tdm</w:t>
            </w:r>
            <w:proofErr w:type="spellEnd"/>
            <w:r w:rsidRPr="00845433">
              <w:rPr>
                <w:rFonts w:eastAsiaTheme="minorEastAsia"/>
                <w:sz w:val="20"/>
                <w:szCs w:val="20"/>
                <w:lang w:bidi="hi-IN"/>
              </w:rPr>
              <w:t>-pattern-</w:t>
            </w:r>
            <w:proofErr w:type="spellStart"/>
            <w:r w:rsidRPr="00845433">
              <w:rPr>
                <w:rFonts w:eastAsiaTheme="minorEastAsia"/>
                <w:sz w:val="20"/>
                <w:szCs w:val="20"/>
                <w:lang w:bidi="hi-IN"/>
              </w:rPr>
              <w:t>dualTx</w:t>
            </w:r>
            <w:proofErr w:type="spellEnd"/>
            <w:r>
              <w:rPr>
                <w:rFonts w:eastAsiaTheme="minorEastAsia"/>
                <w:sz w:val="20"/>
                <w:szCs w:val="20"/>
                <w:lang w:bidi="hi-IN"/>
              </w:rPr>
              <w:t xml:space="preserve">, it is not clear whether it should be regarded as a “single Tx” UE or a “dual Tx” UE. </w:t>
            </w:r>
          </w:p>
          <w:p w14:paraId="5DD343C3" w14:textId="77777777" w:rsidR="00845433" w:rsidRDefault="00845433" w:rsidP="00845433">
            <w:pPr>
              <w:rPr>
                <w:rFonts w:eastAsiaTheme="minorEastAsia"/>
                <w:sz w:val="20"/>
                <w:szCs w:val="20"/>
                <w:lang w:bidi="hi-IN"/>
              </w:rPr>
            </w:pPr>
          </w:p>
          <w:p w14:paraId="630F4A03" w14:textId="77777777" w:rsidR="00845433" w:rsidRPr="00845433" w:rsidRDefault="00845433" w:rsidP="00845433">
            <w:pPr>
              <w:keepNext/>
              <w:keepLines/>
              <w:widowControl w:val="0"/>
              <w:spacing w:before="0"/>
              <w:rPr>
                <w:rFonts w:ascii="Arial" w:eastAsia="Malgun Gothic" w:hAnsi="Arial"/>
                <w:b/>
                <w:bCs/>
                <w:i/>
                <w:iCs/>
                <w:sz w:val="15"/>
                <w:szCs w:val="18"/>
              </w:rPr>
            </w:pPr>
            <w:bookmarkStart w:id="4" w:name="_Hlk38457216"/>
            <w:proofErr w:type="spellStart"/>
            <w:r w:rsidRPr="00845433">
              <w:rPr>
                <w:rFonts w:ascii="Arial" w:eastAsia="Malgun Gothic" w:hAnsi="Arial"/>
                <w:b/>
                <w:bCs/>
                <w:i/>
                <w:iCs/>
                <w:sz w:val="15"/>
                <w:szCs w:val="18"/>
              </w:rPr>
              <w:t>tdm</w:t>
            </w:r>
            <w:proofErr w:type="spellEnd"/>
            <w:r w:rsidRPr="00845433">
              <w:rPr>
                <w:rFonts w:ascii="Arial" w:eastAsia="Malgun Gothic" w:hAnsi="Arial"/>
                <w:b/>
                <w:bCs/>
                <w:i/>
                <w:iCs/>
                <w:sz w:val="15"/>
                <w:szCs w:val="18"/>
              </w:rPr>
              <w:t>-Pattern</w:t>
            </w:r>
          </w:p>
          <w:p w14:paraId="30B949DD" w14:textId="56BD8CBC" w:rsidR="00845433" w:rsidRPr="00845433" w:rsidRDefault="00845433" w:rsidP="00845433">
            <w:pPr>
              <w:spacing w:before="0"/>
              <w:rPr>
                <w:rFonts w:eastAsiaTheme="minorEastAsia"/>
                <w:sz w:val="20"/>
              </w:rPr>
            </w:pPr>
            <w:r w:rsidRPr="00845433">
              <w:rPr>
                <w:rFonts w:eastAsia="Malgun Gothic"/>
                <w:sz w:val="20"/>
              </w:rPr>
              <w:t xml:space="preserve">Indicates whether the UE supports the </w:t>
            </w:r>
            <w:proofErr w:type="spellStart"/>
            <w:r w:rsidRPr="00845433">
              <w:rPr>
                <w:rFonts w:eastAsia="Malgun Gothic"/>
                <w:i/>
                <w:iCs/>
                <w:sz w:val="20"/>
              </w:rPr>
              <w:t>tdm-PatternConfig</w:t>
            </w:r>
            <w:proofErr w:type="spellEnd"/>
            <w:r w:rsidRPr="00845433">
              <w:rPr>
                <w:rFonts w:eastAsia="Malgun Gothic"/>
                <w:sz w:val="20"/>
              </w:rPr>
              <w:t xml:space="preserve"> for </w:t>
            </w:r>
            <w:r w:rsidRPr="00845433">
              <w:rPr>
                <w:rFonts w:eastAsia="Malgun Gothic"/>
                <w:i/>
                <w:iCs/>
                <w:sz w:val="20"/>
              </w:rPr>
              <w:t>single UL-transmission</w:t>
            </w:r>
            <w:r w:rsidRPr="00845433">
              <w:rPr>
                <w:rFonts w:eastAsia="Malgun Gothic"/>
                <w:sz w:val="20"/>
              </w:rPr>
              <w:t xml:space="preserve"> associated functionality, as specified in TS 36.331 [17]. Support is conditionally mandatory in (NG)EN-DC for UEs that do not support </w:t>
            </w:r>
            <w:proofErr w:type="spellStart"/>
            <w:r w:rsidRPr="00845433">
              <w:rPr>
                <w:rFonts w:eastAsia="Malgun Gothic"/>
                <w:sz w:val="20"/>
              </w:rPr>
              <w:t>dynamicPowerSharingENDC</w:t>
            </w:r>
            <w:proofErr w:type="spellEnd"/>
            <w:r w:rsidRPr="00845433">
              <w:rPr>
                <w:rFonts w:eastAsia="Malgun Gothic"/>
                <w:sz w:val="20"/>
              </w:rPr>
              <w:t xml:space="preserve"> and for UEs that indicate single UL transmission for any (NG)EN-DC BC. Support is conditionally mandatory in NE-DC for UEs that do not support </w:t>
            </w:r>
            <w:proofErr w:type="spellStart"/>
            <w:r w:rsidRPr="00845433">
              <w:rPr>
                <w:rFonts w:eastAsia="Malgun Gothic"/>
                <w:sz w:val="20"/>
              </w:rPr>
              <w:t>dynamicPowerSharingNEDC</w:t>
            </w:r>
            <w:proofErr w:type="spellEnd"/>
            <w:r w:rsidRPr="00845433">
              <w:rPr>
                <w:rFonts w:eastAsia="Malgun Gothic"/>
                <w:sz w:val="20"/>
              </w:rPr>
              <w:t xml:space="preserve"> and for UEs that indicate single UL transmission for any NE-DC BC. </w:t>
            </w:r>
            <w:r w:rsidRPr="00845433">
              <w:rPr>
                <w:rFonts w:eastAsia="Malgun Gothic"/>
                <w:sz w:val="20"/>
                <w:highlight w:val="yellow"/>
              </w:rPr>
              <w:t>The feature is optional otherwise</w:t>
            </w:r>
            <w:bookmarkEnd w:id="4"/>
            <w:r w:rsidRPr="00845433">
              <w:rPr>
                <w:rFonts w:eastAsia="Malgun Gothic"/>
                <w:sz w:val="20"/>
                <w:highlight w:val="yellow"/>
              </w:rPr>
              <w:t>.</w:t>
            </w:r>
          </w:p>
        </w:tc>
      </w:tr>
      <w:tr w:rsidR="00DA132A" w14:paraId="0BD6C247" w14:textId="77777777" w:rsidTr="004C6B69">
        <w:tc>
          <w:tcPr>
            <w:tcW w:w="985" w:type="dxa"/>
          </w:tcPr>
          <w:p w14:paraId="5058CD48" w14:textId="3C30D0AD" w:rsidR="00DA132A" w:rsidRDefault="00BD55D6" w:rsidP="00E82C7D">
            <w:pPr>
              <w:rPr>
                <w:sz w:val="20"/>
                <w:szCs w:val="20"/>
                <w:lang w:eastAsia="ja-JP" w:bidi="hi-IN"/>
              </w:rPr>
            </w:pPr>
            <w:r>
              <w:rPr>
                <w:sz w:val="20"/>
                <w:szCs w:val="20"/>
                <w:lang w:eastAsia="ja-JP" w:bidi="hi-IN"/>
              </w:rPr>
              <w:t>Apple</w:t>
            </w:r>
          </w:p>
        </w:tc>
        <w:tc>
          <w:tcPr>
            <w:tcW w:w="8644" w:type="dxa"/>
          </w:tcPr>
          <w:p w14:paraId="73A07ED9" w14:textId="77777777" w:rsidR="00DA132A" w:rsidRDefault="00074AEA" w:rsidP="00E82C7D">
            <w:pPr>
              <w:rPr>
                <w:rFonts w:eastAsia="Malgun Gothic"/>
                <w:i/>
                <w:iCs/>
                <w:sz w:val="20"/>
              </w:rPr>
            </w:pPr>
            <w:r>
              <w:rPr>
                <w:sz w:val="20"/>
                <w:szCs w:val="20"/>
                <w:lang w:eastAsia="ja-JP" w:bidi="hi-IN"/>
              </w:rPr>
              <w:t xml:space="preserve">For type 1 UE, supporting </w:t>
            </w:r>
            <w:r w:rsidR="00D512CE">
              <w:rPr>
                <w:sz w:val="20"/>
                <w:szCs w:val="20"/>
                <w:lang w:eastAsia="ja-JP" w:bidi="hi-IN"/>
              </w:rPr>
              <w:t>TDM pattern</w:t>
            </w:r>
            <w:r>
              <w:rPr>
                <w:sz w:val="20"/>
                <w:szCs w:val="20"/>
                <w:lang w:eastAsia="ja-JP" w:bidi="hi-IN"/>
              </w:rPr>
              <w:t xml:space="preserve"> is optional feature,</w:t>
            </w:r>
            <w:r w:rsidR="00D512CE">
              <w:rPr>
                <w:sz w:val="20"/>
                <w:szCs w:val="20"/>
                <w:lang w:eastAsia="ja-JP" w:bidi="hi-IN"/>
              </w:rPr>
              <w:t xml:space="preserve"> so only after UE indicated </w:t>
            </w:r>
            <w:proofErr w:type="spellStart"/>
            <w:r w:rsidR="00D512CE">
              <w:rPr>
                <w:sz w:val="20"/>
                <w:szCs w:val="20"/>
                <w:lang w:eastAsia="ja-JP" w:bidi="hi-IN"/>
              </w:rPr>
              <w:t>singleUL-Transimssion</w:t>
            </w:r>
            <w:proofErr w:type="spellEnd"/>
            <w:r w:rsidR="00D512CE">
              <w:rPr>
                <w:sz w:val="20"/>
                <w:szCs w:val="20"/>
                <w:lang w:eastAsia="ja-JP" w:bidi="hi-IN"/>
              </w:rPr>
              <w:t xml:space="preserve"> or </w:t>
            </w:r>
            <w:proofErr w:type="spellStart"/>
            <w:r w:rsidR="00D512CE">
              <w:rPr>
                <w:sz w:val="20"/>
                <w:szCs w:val="20"/>
                <w:lang w:eastAsia="ja-JP" w:bidi="hi-IN"/>
              </w:rPr>
              <w:t>tdm</w:t>
            </w:r>
            <w:proofErr w:type="spellEnd"/>
            <w:r w:rsidR="00D512CE">
              <w:rPr>
                <w:sz w:val="20"/>
                <w:szCs w:val="20"/>
                <w:lang w:eastAsia="ja-JP" w:bidi="hi-IN"/>
              </w:rPr>
              <w:t xml:space="preserve">-pattern-dual Tx, then </w:t>
            </w:r>
            <w:proofErr w:type="spellStart"/>
            <w:r w:rsidR="00D512CE">
              <w:rPr>
                <w:sz w:val="20"/>
                <w:szCs w:val="20"/>
                <w:lang w:eastAsia="ja-JP" w:bidi="hi-IN"/>
              </w:rPr>
              <w:t>gNB</w:t>
            </w:r>
            <w:proofErr w:type="spellEnd"/>
            <w:r w:rsidR="00D512CE">
              <w:rPr>
                <w:sz w:val="20"/>
                <w:szCs w:val="20"/>
                <w:lang w:eastAsia="ja-JP" w:bidi="hi-IN"/>
              </w:rPr>
              <w:t xml:space="preserve">  can configured t</w:t>
            </w:r>
            <w:r w:rsidR="00D512CE" w:rsidRPr="00845433">
              <w:rPr>
                <w:rFonts w:eastAsia="Malgun Gothic"/>
                <w:i/>
                <w:iCs/>
                <w:sz w:val="20"/>
              </w:rPr>
              <w:t xml:space="preserve"> tdm-PatternConfig</w:t>
            </w:r>
            <w:r w:rsidR="00D512CE">
              <w:rPr>
                <w:rFonts w:eastAsia="Malgun Gothic"/>
                <w:i/>
                <w:iCs/>
                <w:sz w:val="20"/>
              </w:rPr>
              <w:t>-16.</w:t>
            </w:r>
          </w:p>
          <w:p w14:paraId="551D1AA0" w14:textId="014D8D0E" w:rsidR="00D512CE" w:rsidRDefault="00D512CE" w:rsidP="00E82C7D">
            <w:pPr>
              <w:rPr>
                <w:sz w:val="20"/>
              </w:rPr>
            </w:pPr>
            <w:r w:rsidRPr="00D512CE">
              <w:rPr>
                <w:rFonts w:eastAsia="Malgun Gothic"/>
                <w:sz w:val="20"/>
              </w:rPr>
              <w:lastRenderedPageBreak/>
              <w:t>For type 2</w:t>
            </w:r>
            <w:r>
              <w:rPr>
                <w:rFonts w:eastAsia="Malgun Gothic"/>
                <w:sz w:val="20"/>
              </w:rPr>
              <w:t xml:space="preserve"> </w:t>
            </w:r>
            <w:r w:rsidRPr="00D512CE">
              <w:rPr>
                <w:rFonts w:eastAsia="Malgun Gothic"/>
                <w:sz w:val="20"/>
              </w:rPr>
              <w:t xml:space="preserve">UE, </w:t>
            </w:r>
            <w:r>
              <w:rPr>
                <w:rFonts w:eastAsia="Malgun Gothic"/>
                <w:sz w:val="20"/>
              </w:rPr>
              <w:t xml:space="preserve"> supporting TDM pattern is mandatory feature, so network can configure the </w:t>
            </w:r>
            <w:proofErr w:type="spellStart"/>
            <w:r w:rsidRPr="00845433">
              <w:rPr>
                <w:rFonts w:eastAsia="Malgun Gothic"/>
                <w:i/>
                <w:iCs/>
                <w:sz w:val="20"/>
              </w:rPr>
              <w:t>tdm-PatternConfig</w:t>
            </w:r>
            <w:proofErr w:type="spellEnd"/>
            <w:r>
              <w:rPr>
                <w:rFonts w:eastAsia="Malgun Gothic"/>
                <w:i/>
                <w:iCs/>
                <w:sz w:val="20"/>
              </w:rPr>
              <w:t>/</w:t>
            </w:r>
            <w:r w:rsidRPr="00845433">
              <w:rPr>
                <w:rFonts w:eastAsia="Malgun Gothic"/>
                <w:i/>
                <w:iCs/>
                <w:sz w:val="20"/>
              </w:rPr>
              <w:t xml:space="preserve"> tdm-PatternConfig</w:t>
            </w:r>
            <w:r>
              <w:rPr>
                <w:rFonts w:eastAsia="Malgun Gothic"/>
                <w:i/>
                <w:iCs/>
                <w:sz w:val="20"/>
              </w:rPr>
              <w:t>-16</w:t>
            </w:r>
            <w:r>
              <w:rPr>
                <w:rFonts w:eastAsia="Malgun Gothic"/>
                <w:sz w:val="20"/>
              </w:rPr>
              <w:t xml:space="preserve"> without UE reporting capability. And for the case of </w:t>
            </w:r>
            <w:r w:rsidRPr="00331FA2">
              <w:rPr>
                <w:sz w:val="20"/>
              </w:rPr>
              <w:t xml:space="preserve">P_LTE + P_NR &lt;= </w:t>
            </w:r>
            <w:proofErr w:type="spellStart"/>
            <w:r w:rsidRPr="00331FA2">
              <w:rPr>
                <w:sz w:val="20"/>
              </w:rPr>
              <w:t>Pcmax</w:t>
            </w:r>
            <w:proofErr w:type="spellEnd"/>
            <w:r>
              <w:rPr>
                <w:sz w:val="20"/>
              </w:rPr>
              <w:t>, the network can configure the TMD pattern as well, this was agreed in RAN1#91 meeting, but it was not captured in the spec.</w:t>
            </w:r>
          </w:p>
          <w:p w14:paraId="589356F9" w14:textId="77777777" w:rsidR="00D512CE" w:rsidRPr="00331FA2" w:rsidRDefault="00D512CE" w:rsidP="00D512CE">
            <w:pPr>
              <w:pStyle w:val="bullet2"/>
              <w:rPr>
                <w:sz w:val="20"/>
              </w:rPr>
            </w:pPr>
            <w:r w:rsidRPr="00331FA2">
              <w:rPr>
                <w:sz w:val="20"/>
                <w:lang w:val="en-US"/>
              </w:rPr>
              <w:t xml:space="preserve">Operation B with Case1: P_LTE + P_NR &lt;= </w:t>
            </w:r>
            <w:proofErr w:type="spellStart"/>
            <w:r w:rsidRPr="00331FA2">
              <w:rPr>
                <w:sz w:val="20"/>
                <w:lang w:val="en-US"/>
              </w:rPr>
              <w:t>Pcmax</w:t>
            </w:r>
            <w:proofErr w:type="spellEnd"/>
            <w:r w:rsidRPr="00331FA2">
              <w:rPr>
                <w:sz w:val="20"/>
                <w:lang w:val="en-US"/>
              </w:rPr>
              <w:t xml:space="preserve">, in which case NR UL can be scheduled in any UL subframe/slot (while </w:t>
            </w:r>
            <w:r w:rsidRPr="00331FA2">
              <w:rPr>
                <w:sz w:val="20"/>
              </w:rPr>
              <w:t xml:space="preserve">the UE behaviour in case of being simultaneously scheduled on LTE and NR uplinks is not specified) </w:t>
            </w:r>
          </w:p>
          <w:p w14:paraId="79C814E6" w14:textId="28BD4D5C" w:rsidR="00D512CE" w:rsidRPr="00D512CE" w:rsidRDefault="00D512CE" w:rsidP="00E82C7D">
            <w:pPr>
              <w:rPr>
                <w:sz w:val="20"/>
                <w:szCs w:val="20"/>
                <w:lang w:val="en-GB" w:eastAsia="ja-JP" w:bidi="hi-IN"/>
              </w:rPr>
            </w:pPr>
            <w:r>
              <w:rPr>
                <w:sz w:val="20"/>
                <w:szCs w:val="20"/>
                <w:lang w:val="en-GB" w:eastAsia="ja-JP" w:bidi="hi-IN"/>
              </w:rPr>
              <w:t>As the issue#1 is only related to type1 UE, so network can only configure UE with TMD pattern for  case 1 and case 2.</w:t>
            </w:r>
          </w:p>
        </w:tc>
      </w:tr>
      <w:tr w:rsidR="00DA132A" w14:paraId="28708BD0" w14:textId="77777777" w:rsidTr="004C6B69">
        <w:tc>
          <w:tcPr>
            <w:tcW w:w="985" w:type="dxa"/>
          </w:tcPr>
          <w:p w14:paraId="48E7E80C" w14:textId="1C01070D" w:rsidR="00DA132A" w:rsidRDefault="00703E70" w:rsidP="00E82C7D">
            <w:pPr>
              <w:rPr>
                <w:sz w:val="20"/>
                <w:szCs w:val="20"/>
                <w:lang w:eastAsia="ja-JP" w:bidi="hi-IN"/>
              </w:rPr>
            </w:pPr>
            <w:r>
              <w:rPr>
                <w:sz w:val="20"/>
                <w:szCs w:val="20"/>
                <w:lang w:eastAsia="ja-JP" w:bidi="hi-IN"/>
              </w:rPr>
              <w:lastRenderedPageBreak/>
              <w:t>MTK</w:t>
            </w:r>
          </w:p>
        </w:tc>
        <w:tc>
          <w:tcPr>
            <w:tcW w:w="8644" w:type="dxa"/>
          </w:tcPr>
          <w:p w14:paraId="6E784DD2" w14:textId="77777777" w:rsidR="00703E70" w:rsidRDefault="00703E70" w:rsidP="00703E70">
            <w:pPr>
              <w:rPr>
                <w:bCs/>
                <w:sz w:val="20"/>
                <w:szCs w:val="20"/>
                <w:lang w:eastAsia="ja-JP" w:bidi="hi-IN"/>
              </w:rPr>
            </w:pPr>
            <w:r>
              <w:rPr>
                <w:sz w:val="20"/>
                <w:szCs w:val="20"/>
                <w:lang w:eastAsia="ja-JP" w:bidi="hi-IN"/>
              </w:rPr>
              <w:t xml:space="preserve">As quoted by ZTE about the </w:t>
            </w:r>
            <w:r w:rsidRPr="00E45137">
              <w:rPr>
                <w:sz w:val="20"/>
                <w:szCs w:val="20"/>
                <w:lang w:eastAsia="ja-JP" w:bidi="hi-IN"/>
              </w:rPr>
              <w:t xml:space="preserve">definition of </w:t>
            </w:r>
            <w:proofErr w:type="spellStart"/>
            <w:r w:rsidRPr="00E45137">
              <w:rPr>
                <w:rFonts w:ascii="Arial" w:eastAsia="Malgun Gothic" w:hAnsi="Arial"/>
                <w:b/>
                <w:bCs/>
                <w:i/>
                <w:iCs/>
                <w:sz w:val="16"/>
                <w:szCs w:val="20"/>
              </w:rPr>
              <w:t>tdm</w:t>
            </w:r>
            <w:proofErr w:type="spellEnd"/>
            <w:r w:rsidRPr="00E45137">
              <w:rPr>
                <w:rFonts w:ascii="Arial" w:eastAsia="Malgun Gothic" w:hAnsi="Arial"/>
                <w:b/>
                <w:bCs/>
                <w:i/>
                <w:iCs/>
                <w:sz w:val="16"/>
                <w:szCs w:val="20"/>
              </w:rPr>
              <w:t>-Pattern</w:t>
            </w:r>
            <w:r w:rsidRPr="00E45137">
              <w:rPr>
                <w:sz w:val="20"/>
                <w:szCs w:val="20"/>
                <w:lang w:eastAsia="ja-JP" w:bidi="hi-IN"/>
              </w:rPr>
              <w:t>,</w:t>
            </w:r>
            <w:r>
              <w:rPr>
                <w:sz w:val="20"/>
                <w:szCs w:val="20"/>
                <w:lang w:eastAsia="ja-JP" w:bidi="hi-IN"/>
              </w:rPr>
              <w:t xml:space="preserve"> it is mandatory for Type 2 UE and </w:t>
            </w:r>
            <w:r w:rsidRPr="00E45137">
              <w:rPr>
                <w:rFonts w:hint="eastAsia"/>
                <w:sz w:val="20"/>
                <w:szCs w:val="20"/>
                <w:lang w:eastAsia="ja-JP" w:bidi="hi-IN"/>
              </w:rPr>
              <w:t>single UL UE</w:t>
            </w:r>
            <w:r>
              <w:rPr>
                <w:sz w:val="20"/>
                <w:szCs w:val="20"/>
                <w:lang w:eastAsia="ja-JP" w:bidi="hi-IN"/>
              </w:rPr>
              <w:t>, and still can be configured for other scenarios. It seems to us the current spec does not</w:t>
            </w:r>
            <w:r w:rsidRPr="00E45137">
              <w:rPr>
                <w:sz w:val="20"/>
                <w:szCs w:val="20"/>
                <w:lang w:eastAsia="ja-JP" w:bidi="hi-IN"/>
              </w:rPr>
              <w:t xml:space="preserve"> preclude configuring </w:t>
            </w:r>
            <w:r w:rsidRPr="00E45137">
              <w:rPr>
                <w:b/>
                <w:sz w:val="20"/>
                <w:szCs w:val="20"/>
                <w:lang w:eastAsia="ja-JP" w:bidi="hi-IN"/>
              </w:rPr>
              <w:t>tdm-PatternConfig-r16</w:t>
            </w:r>
            <w:r w:rsidRPr="00E45137">
              <w:rPr>
                <w:sz w:val="20"/>
                <w:szCs w:val="20"/>
                <w:lang w:eastAsia="ja-JP" w:bidi="hi-IN"/>
              </w:rPr>
              <w:t xml:space="preserve"> </w:t>
            </w:r>
            <w:r>
              <w:rPr>
                <w:sz w:val="20"/>
                <w:szCs w:val="20"/>
                <w:lang w:eastAsia="ja-JP" w:bidi="hi-IN"/>
              </w:rPr>
              <w:t xml:space="preserve">to UE </w:t>
            </w:r>
            <w:r w:rsidRPr="00E45137">
              <w:rPr>
                <w:sz w:val="20"/>
                <w:szCs w:val="20"/>
                <w:lang w:eastAsia="ja-JP" w:bidi="hi-IN"/>
              </w:rPr>
              <w:t>for other</w:t>
            </w:r>
            <w:r>
              <w:rPr>
                <w:sz w:val="20"/>
                <w:szCs w:val="20"/>
                <w:lang w:eastAsia="ja-JP" w:bidi="hi-IN"/>
              </w:rPr>
              <w:t xml:space="preserve"> cases in addition to the </w:t>
            </w:r>
            <w:r w:rsidRPr="00E45137">
              <w:rPr>
                <w:sz w:val="20"/>
                <w:szCs w:val="20"/>
                <w:lang w:eastAsia="ja-JP" w:bidi="hi-IN"/>
              </w:rPr>
              <w:t>three cases</w:t>
            </w:r>
            <w:r>
              <w:rPr>
                <w:sz w:val="20"/>
                <w:szCs w:val="20"/>
                <w:lang w:eastAsia="ja-JP" w:bidi="hi-IN"/>
              </w:rPr>
              <w:t xml:space="preserve"> mentioned in Q1-1</w:t>
            </w:r>
            <w:r w:rsidRPr="00E45137">
              <w:rPr>
                <w:sz w:val="20"/>
                <w:szCs w:val="20"/>
                <w:lang w:eastAsia="ja-JP" w:bidi="hi-IN"/>
              </w:rPr>
              <w:t>.</w:t>
            </w:r>
            <w:r>
              <w:rPr>
                <w:sz w:val="20"/>
                <w:szCs w:val="20"/>
                <w:lang w:eastAsia="ja-JP" w:bidi="hi-IN"/>
              </w:rPr>
              <w:t xml:space="preserve"> We also think whether the network can configure </w:t>
            </w:r>
            <w:r w:rsidRPr="00E45137">
              <w:rPr>
                <w:b/>
                <w:sz w:val="20"/>
                <w:szCs w:val="20"/>
                <w:lang w:eastAsia="ja-JP" w:bidi="hi-IN"/>
              </w:rPr>
              <w:t>tdm-PatternConfig-r16</w:t>
            </w:r>
            <w:r>
              <w:rPr>
                <w:b/>
                <w:sz w:val="20"/>
                <w:szCs w:val="20"/>
                <w:lang w:eastAsia="ja-JP" w:bidi="hi-IN"/>
              </w:rPr>
              <w:t xml:space="preserve"> </w:t>
            </w:r>
            <w:r>
              <w:rPr>
                <w:sz w:val="20"/>
                <w:szCs w:val="20"/>
                <w:lang w:eastAsia="ja-JP" w:bidi="hi-IN"/>
              </w:rPr>
              <w:t xml:space="preserve">is not related to Type1/Type2 UE or </w:t>
            </w:r>
            <w:proofErr w:type="spellStart"/>
            <w:r w:rsidRPr="00F07AE5">
              <w:rPr>
                <w:bCs/>
                <w:sz w:val="20"/>
                <w:szCs w:val="20"/>
                <w:lang w:eastAsia="ja-JP" w:bidi="hi-IN"/>
              </w:rPr>
              <w:t>P_lte</w:t>
            </w:r>
            <w:proofErr w:type="spellEnd"/>
            <w:r w:rsidRPr="00F07AE5">
              <w:rPr>
                <w:bCs/>
                <w:sz w:val="20"/>
                <w:szCs w:val="20"/>
                <w:lang w:eastAsia="ja-JP" w:bidi="hi-IN"/>
              </w:rPr>
              <w:t xml:space="preserve"> + </w:t>
            </w:r>
            <w:proofErr w:type="spellStart"/>
            <w:r w:rsidRPr="00F07AE5">
              <w:rPr>
                <w:bCs/>
                <w:sz w:val="20"/>
                <w:szCs w:val="20"/>
                <w:lang w:eastAsia="ja-JP" w:bidi="hi-IN"/>
              </w:rPr>
              <w:t>P_nr</w:t>
            </w:r>
            <w:proofErr w:type="spellEnd"/>
            <w:r w:rsidRPr="00F07AE5">
              <w:rPr>
                <w:bCs/>
                <w:sz w:val="20"/>
                <w:szCs w:val="20"/>
                <w:lang w:eastAsia="ja-JP" w:bidi="hi-IN"/>
              </w:rPr>
              <w:t xml:space="preserve"> &gt; </w:t>
            </w:r>
            <w:proofErr w:type="spellStart"/>
            <w:r w:rsidRPr="00F07AE5">
              <w:rPr>
                <w:bCs/>
                <w:sz w:val="20"/>
                <w:szCs w:val="20"/>
                <w:lang w:eastAsia="ja-JP" w:bidi="hi-IN"/>
              </w:rPr>
              <w:t>P_total</w:t>
            </w:r>
            <w:proofErr w:type="spellEnd"/>
            <w:r>
              <w:rPr>
                <w:bCs/>
                <w:sz w:val="20"/>
                <w:szCs w:val="20"/>
                <w:lang w:eastAsia="ja-JP" w:bidi="hi-IN"/>
              </w:rPr>
              <w:t>. The expected UE behavior in our opinion is listed as below:</w:t>
            </w:r>
          </w:p>
          <w:p w14:paraId="03BDEE6D" w14:textId="1CA78B68" w:rsidR="00DA132A" w:rsidRDefault="00703E70" w:rsidP="00E82C7D">
            <w:pPr>
              <w:rPr>
                <w:sz w:val="20"/>
                <w:szCs w:val="20"/>
                <w:lang w:eastAsia="ja-JP" w:bidi="hi-IN"/>
              </w:rPr>
            </w:pPr>
            <w:r>
              <w:rPr>
                <w:noProof/>
                <w:lang w:eastAsia="ko-KR"/>
              </w:rPr>
              <w:drawing>
                <wp:inline distT="0" distB="0" distL="0" distR="0" wp14:anchorId="629BE780" wp14:editId="120D07B9">
                  <wp:extent cx="5406887" cy="1141510"/>
                  <wp:effectExtent l="0" t="0" r="3810" b="1905"/>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0"/>
                          <a:stretch>
                            <a:fillRect/>
                          </a:stretch>
                        </pic:blipFill>
                        <pic:spPr>
                          <a:xfrm>
                            <a:off x="0" y="0"/>
                            <a:ext cx="5438065" cy="1148092"/>
                          </a:xfrm>
                          <a:prstGeom prst="rect">
                            <a:avLst/>
                          </a:prstGeom>
                        </pic:spPr>
                      </pic:pic>
                    </a:graphicData>
                  </a:graphic>
                </wp:inline>
              </w:drawing>
            </w:r>
          </w:p>
        </w:tc>
      </w:tr>
      <w:tr w:rsidR="00DA132A" w14:paraId="54FCD171" w14:textId="77777777" w:rsidTr="004C6B69">
        <w:tc>
          <w:tcPr>
            <w:tcW w:w="985" w:type="dxa"/>
          </w:tcPr>
          <w:p w14:paraId="00B07798" w14:textId="24350166" w:rsidR="00DA132A" w:rsidRPr="002745DA" w:rsidRDefault="002745DA" w:rsidP="00E82C7D">
            <w:pPr>
              <w:rPr>
                <w:rFonts w:eastAsiaTheme="minorEastAsia"/>
                <w:sz w:val="20"/>
                <w:szCs w:val="20"/>
                <w:lang w:bidi="hi-IN"/>
              </w:rPr>
            </w:pPr>
            <w:r>
              <w:rPr>
                <w:rFonts w:eastAsiaTheme="minorEastAsia" w:hint="eastAsia"/>
                <w:sz w:val="20"/>
                <w:szCs w:val="20"/>
                <w:lang w:bidi="hi-IN"/>
              </w:rPr>
              <w:t>H</w:t>
            </w:r>
            <w:r>
              <w:rPr>
                <w:rFonts w:eastAsiaTheme="minorEastAsia"/>
                <w:sz w:val="20"/>
                <w:szCs w:val="20"/>
                <w:lang w:bidi="hi-IN"/>
              </w:rPr>
              <w:t xml:space="preserve">uawei, </w:t>
            </w:r>
            <w:proofErr w:type="spellStart"/>
            <w:r>
              <w:rPr>
                <w:rFonts w:eastAsiaTheme="minorEastAsia"/>
                <w:sz w:val="20"/>
                <w:szCs w:val="20"/>
                <w:lang w:bidi="hi-IN"/>
              </w:rPr>
              <w:t>HiSilicon</w:t>
            </w:r>
            <w:proofErr w:type="spellEnd"/>
          </w:p>
        </w:tc>
        <w:tc>
          <w:tcPr>
            <w:tcW w:w="8644" w:type="dxa"/>
          </w:tcPr>
          <w:p w14:paraId="32159635" w14:textId="3DC26F98" w:rsidR="00047A68" w:rsidRDefault="002745DA" w:rsidP="002745DA">
            <w:pPr>
              <w:rPr>
                <w:rFonts w:eastAsiaTheme="minorEastAsia"/>
                <w:sz w:val="20"/>
                <w:szCs w:val="20"/>
                <w:lang w:bidi="hi-IN"/>
              </w:rPr>
            </w:pPr>
            <w:r>
              <w:rPr>
                <w:rFonts w:eastAsiaTheme="minorEastAsia" w:hint="eastAsia"/>
                <w:sz w:val="20"/>
                <w:szCs w:val="20"/>
                <w:lang w:bidi="hi-IN"/>
              </w:rPr>
              <w:t>A</w:t>
            </w:r>
            <w:r>
              <w:rPr>
                <w:rFonts w:eastAsiaTheme="minorEastAsia"/>
                <w:sz w:val="20"/>
                <w:szCs w:val="20"/>
                <w:lang w:bidi="hi-IN"/>
              </w:rPr>
              <w:t xml:space="preserve">s MediaTek pointed out, there are three UE capabilities in Rel-16, and the first one </w:t>
            </w:r>
            <w:proofErr w:type="spellStart"/>
            <w:r>
              <w:rPr>
                <w:rFonts w:eastAsiaTheme="minorEastAsia"/>
                <w:sz w:val="20"/>
                <w:szCs w:val="20"/>
                <w:lang w:bidi="hi-IN"/>
              </w:rPr>
              <w:t>singleUL</w:t>
            </w:r>
            <w:proofErr w:type="spellEnd"/>
            <w:r>
              <w:rPr>
                <w:rFonts w:eastAsiaTheme="minorEastAsia"/>
                <w:sz w:val="20"/>
                <w:szCs w:val="20"/>
                <w:lang w:bidi="hi-IN"/>
              </w:rPr>
              <w:t xml:space="preserve">-Transmission is for IMD issue, a UE reporting support of </w:t>
            </w:r>
            <w:proofErr w:type="spellStart"/>
            <w:r>
              <w:rPr>
                <w:rFonts w:eastAsiaTheme="minorEastAsia"/>
                <w:sz w:val="20"/>
                <w:szCs w:val="20"/>
                <w:lang w:bidi="hi-IN"/>
              </w:rPr>
              <w:t>tdm</w:t>
            </w:r>
            <w:proofErr w:type="spellEnd"/>
            <w:r>
              <w:rPr>
                <w:rFonts w:eastAsiaTheme="minorEastAsia"/>
                <w:sz w:val="20"/>
                <w:szCs w:val="20"/>
                <w:lang w:bidi="hi-IN"/>
              </w:rPr>
              <w:t>-pattern can be a UE without IMD issue and capable of dynamic power sharing, which is proved by the sentence “</w:t>
            </w:r>
            <w:r w:rsidRPr="00845433">
              <w:rPr>
                <w:rFonts w:eastAsia="Malgun Gothic"/>
                <w:sz w:val="20"/>
                <w:highlight w:val="yellow"/>
              </w:rPr>
              <w:t>The feature is optional otherwise.</w:t>
            </w:r>
            <w:r>
              <w:rPr>
                <w:rFonts w:eastAsiaTheme="minorEastAsia"/>
                <w:sz w:val="20"/>
                <w:szCs w:val="20"/>
                <w:lang w:bidi="hi-IN"/>
              </w:rPr>
              <w:t xml:space="preserve">” in 38.306 highlighted by ZTE. </w:t>
            </w:r>
            <w:r w:rsidR="00047A68">
              <w:rPr>
                <w:rFonts w:eastAsiaTheme="minorEastAsia"/>
                <w:sz w:val="20"/>
                <w:szCs w:val="20"/>
                <w:lang w:bidi="hi-IN"/>
              </w:rPr>
              <w:t xml:space="preserve"> Therefore, the current UE behaviors for three capabilities are as the table below,</w:t>
            </w:r>
          </w:p>
          <w:p w14:paraId="19D0A8A7" w14:textId="77777777" w:rsidR="00047A68" w:rsidRDefault="00047A68" w:rsidP="00047A68">
            <w:pPr>
              <w:rPr>
                <w:rFonts w:eastAsiaTheme="minorEastAsia"/>
                <w:sz w:val="20"/>
                <w:szCs w:val="20"/>
                <w:lang w:bidi="hi-IN"/>
              </w:rPr>
            </w:pPr>
          </w:p>
          <w:tbl>
            <w:tblPr>
              <w:tblW w:w="8452" w:type="dxa"/>
              <w:tblLook w:val="04A0" w:firstRow="1" w:lastRow="0" w:firstColumn="1" w:lastColumn="0" w:noHBand="0" w:noVBand="1"/>
            </w:tblPr>
            <w:tblGrid>
              <w:gridCol w:w="2604"/>
              <w:gridCol w:w="2782"/>
              <w:gridCol w:w="3066"/>
            </w:tblGrid>
            <w:tr w:rsidR="00047A68" w:rsidRPr="00954332" w14:paraId="67AF53E3" w14:textId="77777777" w:rsidTr="00047A68">
              <w:trPr>
                <w:trHeight w:val="630"/>
              </w:trPr>
              <w:tc>
                <w:tcPr>
                  <w:tcW w:w="2604" w:type="dxa"/>
                  <w:tcBorders>
                    <w:top w:val="single" w:sz="4" w:space="0" w:color="5B9BD5"/>
                    <w:left w:val="single" w:sz="4" w:space="0" w:color="5B9BD5"/>
                    <w:bottom w:val="nil"/>
                    <w:right w:val="nil"/>
                  </w:tcBorders>
                  <w:shd w:val="clear" w:color="5B9BD5" w:fill="5B9BD5"/>
                  <w:vAlign w:val="center"/>
                  <w:hideMark/>
                </w:tcPr>
                <w:p w14:paraId="74E2CA28" w14:textId="77777777" w:rsidR="00047A68" w:rsidRPr="00954332" w:rsidRDefault="00047A68" w:rsidP="00047A68">
                  <w:pPr>
                    <w:rPr>
                      <w:rFonts w:ascii="Arial Unicode MS" w:eastAsia="Arial Unicode MS" w:hAnsi="Arial Unicode MS" w:cs="Arial Unicode MS"/>
                      <w:b/>
                      <w:bCs/>
                      <w:color w:val="FFFFFF"/>
                      <w:sz w:val="22"/>
                      <w:szCs w:val="22"/>
                    </w:rPr>
                  </w:pPr>
                  <w:r w:rsidRPr="00954332">
                    <w:rPr>
                      <w:rFonts w:ascii="Arial Unicode MS" w:eastAsia="Arial Unicode MS" w:hAnsi="Arial Unicode MS" w:cs="Arial Unicode MS" w:hint="eastAsia"/>
                      <w:b/>
                      <w:bCs/>
                      <w:color w:val="FFFFFF"/>
                      <w:sz w:val="22"/>
                      <w:szCs w:val="22"/>
                    </w:rPr>
                    <w:t xml:space="preserve">UE capability : </w:t>
                  </w:r>
                  <w:r w:rsidRPr="00954332">
                    <w:rPr>
                      <w:rFonts w:ascii="Arial Unicode MS" w:eastAsia="Arial Unicode MS" w:hAnsi="Arial Unicode MS" w:cs="Arial Unicode MS" w:hint="eastAsia"/>
                      <w:b/>
                      <w:bCs/>
                      <w:color w:val="FFFFFF"/>
                      <w:sz w:val="22"/>
                      <w:szCs w:val="22"/>
                    </w:rPr>
                    <w:br/>
                    <w:t>RRC configuration</w:t>
                  </w:r>
                </w:p>
              </w:tc>
              <w:tc>
                <w:tcPr>
                  <w:tcW w:w="2782" w:type="dxa"/>
                  <w:tcBorders>
                    <w:top w:val="single" w:sz="4" w:space="0" w:color="5B9BD5"/>
                    <w:left w:val="nil"/>
                    <w:bottom w:val="nil"/>
                    <w:right w:val="nil"/>
                  </w:tcBorders>
                  <w:shd w:val="clear" w:color="5B9BD5" w:fill="5B9BD5"/>
                  <w:vAlign w:val="center"/>
                  <w:hideMark/>
                </w:tcPr>
                <w:p w14:paraId="3B726947" w14:textId="77777777" w:rsidR="00047A68" w:rsidRPr="00954332" w:rsidRDefault="00047A68" w:rsidP="00047A68">
                  <w:pPr>
                    <w:rPr>
                      <w:rFonts w:ascii="Arial Unicode MS" w:eastAsia="Arial Unicode MS" w:hAnsi="Arial Unicode MS" w:cs="Arial Unicode MS"/>
                      <w:b/>
                      <w:bCs/>
                      <w:color w:val="FFFFFF"/>
                      <w:sz w:val="22"/>
                      <w:szCs w:val="22"/>
                    </w:rPr>
                  </w:pPr>
                  <w:r w:rsidRPr="00954332">
                    <w:rPr>
                      <w:rFonts w:ascii="Arial Unicode MS" w:eastAsia="Arial Unicode MS" w:hAnsi="Arial Unicode MS" w:cs="Arial Unicode MS" w:hint="eastAsia"/>
                      <w:b/>
                      <w:bCs/>
                      <w:color w:val="FFFFFF"/>
                      <w:sz w:val="22"/>
                      <w:szCs w:val="22"/>
                    </w:rPr>
                    <w:t>tdm-PatternConfig-r16 configured</w:t>
                  </w:r>
                </w:p>
              </w:tc>
              <w:tc>
                <w:tcPr>
                  <w:tcW w:w="3066" w:type="dxa"/>
                  <w:tcBorders>
                    <w:top w:val="single" w:sz="4" w:space="0" w:color="5B9BD5"/>
                    <w:left w:val="nil"/>
                    <w:bottom w:val="nil"/>
                    <w:right w:val="single" w:sz="4" w:space="0" w:color="5B9BD5"/>
                  </w:tcBorders>
                  <w:shd w:val="clear" w:color="5B9BD5" w:fill="5B9BD5"/>
                  <w:vAlign w:val="center"/>
                  <w:hideMark/>
                </w:tcPr>
                <w:p w14:paraId="2F3D8F4D" w14:textId="77777777" w:rsidR="00047A68" w:rsidRPr="00954332" w:rsidRDefault="00047A68" w:rsidP="00047A68">
                  <w:pPr>
                    <w:rPr>
                      <w:rFonts w:ascii="Arial Unicode MS" w:eastAsia="Arial Unicode MS" w:hAnsi="Arial Unicode MS" w:cs="Arial Unicode MS"/>
                      <w:b/>
                      <w:bCs/>
                      <w:color w:val="FFFFFF"/>
                      <w:sz w:val="20"/>
                      <w:szCs w:val="20"/>
                    </w:rPr>
                  </w:pPr>
                  <w:r w:rsidRPr="00954332">
                    <w:rPr>
                      <w:rFonts w:ascii="Arial Unicode MS" w:eastAsia="Arial Unicode MS" w:hAnsi="Arial Unicode MS" w:cs="Arial Unicode MS" w:hint="eastAsia"/>
                      <w:b/>
                      <w:bCs/>
                      <w:color w:val="FFFFFF"/>
                      <w:sz w:val="20"/>
                      <w:szCs w:val="20"/>
                    </w:rPr>
                    <w:t>tdm-PatternConfig-r16 NOT configured</w:t>
                  </w:r>
                </w:p>
              </w:tc>
            </w:tr>
            <w:tr w:rsidR="00047A68" w:rsidRPr="00954332" w14:paraId="11E70F1F" w14:textId="77777777" w:rsidTr="00047A68">
              <w:trPr>
                <w:trHeight w:val="315"/>
              </w:trPr>
              <w:tc>
                <w:tcPr>
                  <w:tcW w:w="2604" w:type="dxa"/>
                  <w:tcBorders>
                    <w:top w:val="single" w:sz="4" w:space="0" w:color="5B9BD5"/>
                    <w:left w:val="single" w:sz="4" w:space="0" w:color="5B9BD5"/>
                    <w:bottom w:val="nil"/>
                    <w:right w:val="nil"/>
                  </w:tcBorders>
                  <w:shd w:val="clear" w:color="auto" w:fill="auto"/>
                  <w:vAlign w:val="center"/>
                  <w:hideMark/>
                </w:tcPr>
                <w:p w14:paraId="4C322047" w14:textId="77777777" w:rsidR="00047A68" w:rsidRPr="00954332" w:rsidRDefault="00047A68" w:rsidP="00047A68">
                  <w:pPr>
                    <w:rPr>
                      <w:rFonts w:ascii="Arial Unicode MS" w:eastAsia="Arial Unicode MS" w:hAnsi="Arial Unicode MS" w:cs="Arial Unicode MS"/>
                      <w:color w:val="000000"/>
                      <w:sz w:val="22"/>
                      <w:szCs w:val="22"/>
                    </w:rPr>
                  </w:pPr>
                  <w:proofErr w:type="spellStart"/>
                  <w:r w:rsidRPr="00954332">
                    <w:rPr>
                      <w:rFonts w:ascii="Arial Unicode MS" w:eastAsia="Arial Unicode MS" w:hAnsi="Arial Unicode MS" w:cs="Arial Unicode MS" w:hint="eastAsia"/>
                      <w:color w:val="000000"/>
                      <w:sz w:val="22"/>
                      <w:szCs w:val="22"/>
                    </w:rPr>
                    <w:t>tdm</w:t>
                  </w:r>
                  <w:proofErr w:type="spellEnd"/>
                  <w:r w:rsidRPr="00954332">
                    <w:rPr>
                      <w:rFonts w:ascii="Arial Unicode MS" w:eastAsia="Arial Unicode MS" w:hAnsi="Arial Unicode MS" w:cs="Arial Unicode MS" w:hint="eastAsia"/>
                      <w:color w:val="000000"/>
                      <w:sz w:val="22"/>
                      <w:szCs w:val="22"/>
                    </w:rPr>
                    <w:t>-pattern</w:t>
                  </w:r>
                </w:p>
              </w:tc>
              <w:tc>
                <w:tcPr>
                  <w:tcW w:w="2782" w:type="dxa"/>
                  <w:tcBorders>
                    <w:top w:val="single" w:sz="4" w:space="0" w:color="5B9BD5"/>
                    <w:left w:val="nil"/>
                    <w:bottom w:val="nil"/>
                    <w:right w:val="nil"/>
                  </w:tcBorders>
                  <w:shd w:val="clear" w:color="000000" w:fill="FFFF00"/>
                  <w:vAlign w:val="center"/>
                  <w:hideMark/>
                </w:tcPr>
                <w:p w14:paraId="3A0D2473" w14:textId="77777777" w:rsidR="00047A68" w:rsidRPr="00954332" w:rsidRDefault="00047A68" w:rsidP="00047A68">
                  <w:pPr>
                    <w:rPr>
                      <w:rFonts w:ascii="Arial Unicode MS" w:eastAsia="Arial Unicode MS" w:hAnsi="Arial Unicode MS" w:cs="Arial Unicode MS"/>
                      <w:color w:val="000000"/>
                      <w:sz w:val="22"/>
                      <w:szCs w:val="22"/>
                    </w:rPr>
                  </w:pPr>
                  <w:r w:rsidRPr="00954332">
                    <w:rPr>
                      <w:rFonts w:ascii="Arial Unicode MS" w:eastAsia="Arial Unicode MS" w:hAnsi="Arial Unicode MS" w:cs="Arial Unicode MS" w:hint="eastAsia"/>
                      <w:color w:val="000000"/>
                      <w:sz w:val="22"/>
                      <w:szCs w:val="22"/>
                    </w:rPr>
                    <w:t>Single UL Tx</w:t>
                  </w:r>
                </w:p>
              </w:tc>
              <w:tc>
                <w:tcPr>
                  <w:tcW w:w="3066" w:type="dxa"/>
                  <w:tcBorders>
                    <w:top w:val="single" w:sz="4" w:space="0" w:color="5B9BD5"/>
                    <w:left w:val="nil"/>
                    <w:bottom w:val="nil"/>
                    <w:right w:val="single" w:sz="4" w:space="0" w:color="5B9BD5"/>
                  </w:tcBorders>
                  <w:shd w:val="clear" w:color="auto" w:fill="auto"/>
                  <w:vAlign w:val="center"/>
                  <w:hideMark/>
                </w:tcPr>
                <w:p w14:paraId="253C35C2" w14:textId="77777777" w:rsidR="00047A68" w:rsidRPr="00954332" w:rsidRDefault="00047A68" w:rsidP="00047A68">
                  <w:pPr>
                    <w:rPr>
                      <w:rFonts w:ascii="Arial Unicode MS" w:eastAsia="Arial Unicode MS" w:hAnsi="Arial Unicode MS" w:cs="Arial Unicode MS"/>
                      <w:color w:val="000000"/>
                      <w:sz w:val="22"/>
                      <w:szCs w:val="22"/>
                    </w:rPr>
                  </w:pPr>
                  <w:r w:rsidRPr="00954332">
                    <w:rPr>
                      <w:rFonts w:ascii="Arial Unicode MS" w:eastAsia="Arial Unicode MS" w:hAnsi="Arial Unicode MS" w:cs="Arial Unicode MS" w:hint="eastAsia"/>
                      <w:color w:val="000000"/>
                      <w:sz w:val="22"/>
                      <w:szCs w:val="22"/>
                    </w:rPr>
                    <w:t>N/A</w:t>
                  </w:r>
                </w:p>
              </w:tc>
            </w:tr>
            <w:tr w:rsidR="00047A68" w:rsidRPr="00954332" w14:paraId="3CB8DB1F" w14:textId="77777777" w:rsidTr="00047A68">
              <w:trPr>
                <w:trHeight w:val="315"/>
              </w:trPr>
              <w:tc>
                <w:tcPr>
                  <w:tcW w:w="2604" w:type="dxa"/>
                  <w:tcBorders>
                    <w:top w:val="single" w:sz="4" w:space="0" w:color="5B9BD5"/>
                    <w:left w:val="single" w:sz="4" w:space="0" w:color="5B9BD5"/>
                    <w:bottom w:val="nil"/>
                    <w:right w:val="nil"/>
                  </w:tcBorders>
                  <w:shd w:val="clear" w:color="auto" w:fill="auto"/>
                  <w:vAlign w:val="center"/>
                  <w:hideMark/>
                </w:tcPr>
                <w:p w14:paraId="683BE237" w14:textId="77777777" w:rsidR="00047A68" w:rsidRPr="00954332" w:rsidRDefault="00047A68" w:rsidP="00047A68">
                  <w:pPr>
                    <w:rPr>
                      <w:rFonts w:ascii="Arial Unicode MS" w:eastAsia="Arial Unicode MS" w:hAnsi="Arial Unicode MS" w:cs="Arial Unicode MS"/>
                      <w:color w:val="000000"/>
                      <w:sz w:val="22"/>
                      <w:szCs w:val="22"/>
                    </w:rPr>
                  </w:pPr>
                  <w:proofErr w:type="spellStart"/>
                  <w:r w:rsidRPr="00954332">
                    <w:rPr>
                      <w:rFonts w:ascii="Arial Unicode MS" w:eastAsia="Arial Unicode MS" w:hAnsi="Arial Unicode MS" w:cs="Arial Unicode MS" w:hint="eastAsia"/>
                      <w:color w:val="000000"/>
                      <w:sz w:val="22"/>
                      <w:szCs w:val="22"/>
                    </w:rPr>
                    <w:t>tdm</w:t>
                  </w:r>
                  <w:proofErr w:type="spellEnd"/>
                  <w:r w:rsidRPr="00954332">
                    <w:rPr>
                      <w:rFonts w:ascii="Arial Unicode MS" w:eastAsia="Arial Unicode MS" w:hAnsi="Arial Unicode MS" w:cs="Arial Unicode MS" w:hint="eastAsia"/>
                      <w:color w:val="000000"/>
                      <w:sz w:val="22"/>
                      <w:szCs w:val="22"/>
                    </w:rPr>
                    <w:t>-pattern-dual-Tx</w:t>
                  </w:r>
                </w:p>
              </w:tc>
              <w:tc>
                <w:tcPr>
                  <w:tcW w:w="2782" w:type="dxa"/>
                  <w:tcBorders>
                    <w:top w:val="single" w:sz="4" w:space="0" w:color="5B9BD5"/>
                    <w:left w:val="nil"/>
                    <w:bottom w:val="nil"/>
                    <w:right w:val="nil"/>
                  </w:tcBorders>
                  <w:shd w:val="clear" w:color="auto" w:fill="auto"/>
                  <w:vAlign w:val="center"/>
                  <w:hideMark/>
                </w:tcPr>
                <w:p w14:paraId="5C623C88" w14:textId="77777777" w:rsidR="00047A68" w:rsidRPr="00954332" w:rsidRDefault="00047A68" w:rsidP="00047A68">
                  <w:pPr>
                    <w:rPr>
                      <w:rFonts w:ascii="Arial Unicode MS" w:eastAsia="Arial Unicode MS" w:hAnsi="Arial Unicode MS" w:cs="Arial Unicode MS"/>
                      <w:color w:val="000000"/>
                      <w:sz w:val="22"/>
                      <w:szCs w:val="22"/>
                    </w:rPr>
                  </w:pPr>
                  <w:r w:rsidRPr="00954332">
                    <w:rPr>
                      <w:rFonts w:ascii="Arial Unicode MS" w:eastAsia="Arial Unicode MS" w:hAnsi="Arial Unicode MS" w:cs="Arial Unicode MS" w:hint="eastAsia"/>
                      <w:color w:val="000000"/>
                      <w:sz w:val="22"/>
                      <w:szCs w:val="22"/>
                    </w:rPr>
                    <w:t>Dual UL Tx</w:t>
                  </w:r>
                </w:p>
              </w:tc>
              <w:tc>
                <w:tcPr>
                  <w:tcW w:w="3066" w:type="dxa"/>
                  <w:tcBorders>
                    <w:top w:val="single" w:sz="4" w:space="0" w:color="5B9BD5"/>
                    <w:left w:val="nil"/>
                    <w:bottom w:val="nil"/>
                    <w:right w:val="single" w:sz="4" w:space="0" w:color="5B9BD5"/>
                  </w:tcBorders>
                  <w:shd w:val="clear" w:color="auto" w:fill="auto"/>
                  <w:vAlign w:val="center"/>
                  <w:hideMark/>
                </w:tcPr>
                <w:p w14:paraId="3FB92478" w14:textId="77777777" w:rsidR="00047A68" w:rsidRPr="00954332" w:rsidRDefault="00047A68" w:rsidP="00047A68">
                  <w:pPr>
                    <w:rPr>
                      <w:rFonts w:ascii="Arial Unicode MS" w:eastAsia="Arial Unicode MS" w:hAnsi="Arial Unicode MS" w:cs="Arial Unicode MS"/>
                      <w:color w:val="000000"/>
                      <w:sz w:val="22"/>
                      <w:szCs w:val="22"/>
                    </w:rPr>
                  </w:pPr>
                  <w:r w:rsidRPr="00954332">
                    <w:rPr>
                      <w:rFonts w:ascii="Arial Unicode MS" w:eastAsia="Arial Unicode MS" w:hAnsi="Arial Unicode MS" w:cs="Arial Unicode MS" w:hint="eastAsia"/>
                      <w:color w:val="000000"/>
                      <w:sz w:val="22"/>
                      <w:szCs w:val="22"/>
                    </w:rPr>
                    <w:t>N/A</w:t>
                  </w:r>
                </w:p>
              </w:tc>
            </w:tr>
            <w:tr w:rsidR="00047A68" w:rsidRPr="00954332" w14:paraId="7495DBD6" w14:textId="77777777" w:rsidTr="00047A68">
              <w:trPr>
                <w:trHeight w:val="630"/>
              </w:trPr>
              <w:tc>
                <w:tcPr>
                  <w:tcW w:w="2604" w:type="dxa"/>
                  <w:tcBorders>
                    <w:top w:val="single" w:sz="4" w:space="0" w:color="5B9BD5"/>
                    <w:left w:val="single" w:sz="4" w:space="0" w:color="5B9BD5"/>
                    <w:bottom w:val="single" w:sz="4" w:space="0" w:color="5B9BD5"/>
                    <w:right w:val="nil"/>
                  </w:tcBorders>
                  <w:shd w:val="clear" w:color="auto" w:fill="auto"/>
                  <w:vAlign w:val="center"/>
                  <w:hideMark/>
                </w:tcPr>
                <w:p w14:paraId="1ABB11B3" w14:textId="77777777" w:rsidR="00047A68" w:rsidRPr="00954332" w:rsidRDefault="00047A68" w:rsidP="00047A68">
                  <w:pPr>
                    <w:rPr>
                      <w:rFonts w:ascii="Arial Unicode MS" w:eastAsia="Arial Unicode MS" w:hAnsi="Arial Unicode MS" w:cs="Arial Unicode MS"/>
                      <w:color w:val="000000"/>
                      <w:sz w:val="22"/>
                      <w:szCs w:val="22"/>
                    </w:rPr>
                  </w:pPr>
                  <w:proofErr w:type="spellStart"/>
                  <w:r w:rsidRPr="00954332">
                    <w:rPr>
                      <w:rFonts w:ascii="Arial Unicode MS" w:eastAsia="Arial Unicode MS" w:hAnsi="Arial Unicode MS" w:cs="Arial Unicode MS" w:hint="eastAsia"/>
                      <w:color w:val="000000"/>
                      <w:sz w:val="22"/>
                      <w:szCs w:val="22"/>
                    </w:rPr>
                    <w:t>singleUL</w:t>
                  </w:r>
                  <w:proofErr w:type="spellEnd"/>
                  <w:r w:rsidRPr="00954332">
                    <w:rPr>
                      <w:rFonts w:ascii="Arial Unicode MS" w:eastAsia="Arial Unicode MS" w:hAnsi="Arial Unicode MS" w:cs="Arial Unicode MS" w:hint="eastAsia"/>
                      <w:color w:val="000000"/>
                      <w:sz w:val="22"/>
                      <w:szCs w:val="22"/>
                    </w:rPr>
                    <w:t>-Transmission</w:t>
                  </w:r>
                </w:p>
              </w:tc>
              <w:tc>
                <w:tcPr>
                  <w:tcW w:w="2782" w:type="dxa"/>
                  <w:tcBorders>
                    <w:top w:val="single" w:sz="4" w:space="0" w:color="5B9BD5"/>
                    <w:left w:val="nil"/>
                    <w:bottom w:val="single" w:sz="4" w:space="0" w:color="5B9BD5"/>
                    <w:right w:val="nil"/>
                  </w:tcBorders>
                  <w:shd w:val="clear" w:color="auto" w:fill="auto"/>
                  <w:vAlign w:val="center"/>
                  <w:hideMark/>
                </w:tcPr>
                <w:p w14:paraId="15A2C6EA" w14:textId="77777777" w:rsidR="00047A68" w:rsidRPr="00954332" w:rsidRDefault="00047A68" w:rsidP="00047A68">
                  <w:pPr>
                    <w:rPr>
                      <w:rFonts w:ascii="Arial Unicode MS" w:eastAsia="Arial Unicode MS" w:hAnsi="Arial Unicode MS" w:cs="Arial Unicode MS"/>
                      <w:color w:val="000000"/>
                      <w:sz w:val="22"/>
                      <w:szCs w:val="22"/>
                    </w:rPr>
                  </w:pPr>
                  <w:r w:rsidRPr="00954332">
                    <w:rPr>
                      <w:rFonts w:ascii="Arial Unicode MS" w:eastAsia="Arial Unicode MS" w:hAnsi="Arial Unicode MS" w:cs="Arial Unicode MS" w:hint="eastAsia"/>
                      <w:color w:val="000000"/>
                      <w:sz w:val="22"/>
                      <w:szCs w:val="22"/>
                    </w:rPr>
                    <w:t>Single UL Tx</w:t>
                  </w:r>
                </w:p>
              </w:tc>
              <w:tc>
                <w:tcPr>
                  <w:tcW w:w="3066" w:type="dxa"/>
                  <w:tcBorders>
                    <w:top w:val="single" w:sz="4" w:space="0" w:color="5B9BD5"/>
                    <w:left w:val="nil"/>
                    <w:bottom w:val="single" w:sz="4" w:space="0" w:color="5B9BD5"/>
                    <w:right w:val="single" w:sz="4" w:space="0" w:color="5B9BD5"/>
                  </w:tcBorders>
                  <w:shd w:val="clear" w:color="auto" w:fill="auto"/>
                  <w:vAlign w:val="center"/>
                  <w:hideMark/>
                </w:tcPr>
                <w:p w14:paraId="20B5AC0B" w14:textId="77777777" w:rsidR="00047A68" w:rsidRPr="00954332" w:rsidRDefault="00047A68" w:rsidP="00047A68">
                  <w:pPr>
                    <w:rPr>
                      <w:rFonts w:ascii="Arial Unicode MS" w:eastAsia="Arial Unicode MS" w:hAnsi="Arial Unicode MS" w:cs="Arial Unicode MS"/>
                      <w:color w:val="000000"/>
                      <w:sz w:val="22"/>
                      <w:szCs w:val="22"/>
                    </w:rPr>
                  </w:pPr>
                  <w:r w:rsidRPr="00954332">
                    <w:rPr>
                      <w:rFonts w:ascii="Arial Unicode MS" w:eastAsia="Arial Unicode MS" w:hAnsi="Arial Unicode MS" w:cs="Arial Unicode MS" w:hint="eastAsia"/>
                      <w:color w:val="000000"/>
                      <w:sz w:val="22"/>
                      <w:szCs w:val="22"/>
                    </w:rPr>
                    <w:t>Single UL Tx</w:t>
                  </w:r>
                </w:p>
              </w:tc>
            </w:tr>
          </w:tbl>
          <w:p w14:paraId="341FA9A3" w14:textId="77777777" w:rsidR="00047A68" w:rsidRPr="00954332" w:rsidRDefault="00047A68" w:rsidP="00047A68">
            <w:pPr>
              <w:rPr>
                <w:rFonts w:eastAsiaTheme="minorEastAsia"/>
                <w:sz w:val="20"/>
                <w:szCs w:val="20"/>
                <w:lang w:bidi="hi-IN"/>
              </w:rPr>
            </w:pPr>
          </w:p>
          <w:p w14:paraId="2F89DCDC" w14:textId="6D6209C7" w:rsidR="00DA132A" w:rsidRDefault="002745DA" w:rsidP="002745DA">
            <w:pPr>
              <w:rPr>
                <w:rFonts w:eastAsiaTheme="minorEastAsia"/>
                <w:sz w:val="20"/>
                <w:szCs w:val="20"/>
                <w:lang w:bidi="hi-IN"/>
              </w:rPr>
            </w:pPr>
            <w:r>
              <w:rPr>
                <w:rFonts w:eastAsiaTheme="minorEastAsia"/>
                <w:sz w:val="20"/>
                <w:szCs w:val="20"/>
                <w:lang w:bidi="hi-IN"/>
              </w:rPr>
              <w:t xml:space="preserve">Regarding ZTE’s question whether the UE is regarded as “dual Tx” or “single Tx”, it has been answered by the first agreement below, i.e. </w:t>
            </w:r>
            <w:r w:rsidR="00047A68" w:rsidRPr="00047A68">
              <w:rPr>
                <w:rFonts w:eastAsiaTheme="minorEastAsia"/>
                <w:b/>
                <w:sz w:val="20"/>
                <w:szCs w:val="20"/>
                <w:highlight w:val="yellow"/>
                <w:lang w:bidi="hi-IN"/>
              </w:rPr>
              <w:t xml:space="preserve">the reason to introduce </w:t>
            </w:r>
            <w:proofErr w:type="spellStart"/>
            <w:r w:rsidR="00047A68" w:rsidRPr="00047A68">
              <w:rPr>
                <w:rFonts w:eastAsiaTheme="minorEastAsia"/>
                <w:b/>
                <w:sz w:val="20"/>
                <w:szCs w:val="20"/>
                <w:highlight w:val="yellow"/>
                <w:lang w:bidi="hi-IN"/>
              </w:rPr>
              <w:t>tdm</w:t>
            </w:r>
            <w:proofErr w:type="spellEnd"/>
            <w:r w:rsidR="00047A68" w:rsidRPr="00047A68">
              <w:rPr>
                <w:rFonts w:eastAsiaTheme="minorEastAsia"/>
                <w:b/>
                <w:sz w:val="20"/>
                <w:szCs w:val="20"/>
                <w:highlight w:val="yellow"/>
                <w:lang w:bidi="hi-IN"/>
              </w:rPr>
              <w:t xml:space="preserve">-pattern-dual-Tx was, as the highlight in the table above, </w:t>
            </w:r>
            <w:proofErr w:type="spellStart"/>
            <w:r w:rsidR="00047A68" w:rsidRPr="00047A68">
              <w:rPr>
                <w:rFonts w:eastAsiaTheme="minorEastAsia"/>
                <w:b/>
                <w:sz w:val="20"/>
                <w:szCs w:val="20"/>
                <w:highlight w:val="yellow"/>
                <w:lang w:bidi="hi-IN"/>
              </w:rPr>
              <w:t>tdm</w:t>
            </w:r>
            <w:proofErr w:type="spellEnd"/>
            <w:r w:rsidR="00047A68" w:rsidRPr="00047A68">
              <w:rPr>
                <w:rFonts w:eastAsiaTheme="minorEastAsia"/>
                <w:b/>
                <w:sz w:val="20"/>
                <w:szCs w:val="20"/>
                <w:highlight w:val="yellow"/>
                <w:lang w:bidi="hi-IN"/>
              </w:rPr>
              <w:t xml:space="preserve">-pattern only indicates Single UL Tx under </w:t>
            </w:r>
            <w:r w:rsidR="00E844C3">
              <w:rPr>
                <w:rFonts w:eastAsiaTheme="minorEastAsia"/>
                <w:b/>
                <w:sz w:val="20"/>
                <w:szCs w:val="20"/>
                <w:highlight w:val="yellow"/>
                <w:lang w:bidi="hi-IN"/>
              </w:rPr>
              <w:t xml:space="preserve">Rel-16 </w:t>
            </w:r>
            <w:r w:rsidR="00047A68" w:rsidRPr="00047A68">
              <w:rPr>
                <w:rFonts w:eastAsiaTheme="minorEastAsia"/>
                <w:b/>
                <w:sz w:val="20"/>
                <w:szCs w:val="20"/>
                <w:highlight w:val="yellow"/>
                <w:lang w:bidi="hi-IN"/>
              </w:rPr>
              <w:t>TDM pattern configuration, but no restriction if TDM pattern is not configured.</w:t>
            </w:r>
            <w:r w:rsidR="00047A68">
              <w:rPr>
                <w:rFonts w:eastAsiaTheme="minorEastAsia"/>
                <w:sz w:val="20"/>
                <w:szCs w:val="20"/>
                <w:lang w:bidi="hi-IN"/>
              </w:rPr>
              <w:t xml:space="preserve"> </w:t>
            </w:r>
            <w:r w:rsidR="00047A68" w:rsidRPr="00902DFE">
              <w:rPr>
                <w:rFonts w:eastAsiaTheme="minorEastAsia"/>
                <w:b/>
                <w:sz w:val="20"/>
                <w:szCs w:val="20"/>
                <w:lang w:bidi="hi-IN"/>
              </w:rPr>
              <w:t xml:space="preserve">If </w:t>
            </w:r>
            <w:proofErr w:type="spellStart"/>
            <w:r w:rsidR="00047A68" w:rsidRPr="00902DFE">
              <w:rPr>
                <w:rFonts w:eastAsiaTheme="minorEastAsia"/>
                <w:b/>
                <w:sz w:val="20"/>
                <w:szCs w:val="20"/>
                <w:lang w:bidi="hi-IN"/>
              </w:rPr>
              <w:t>tdm</w:t>
            </w:r>
            <w:proofErr w:type="spellEnd"/>
            <w:r w:rsidR="00047A68" w:rsidRPr="00902DFE">
              <w:rPr>
                <w:rFonts w:eastAsiaTheme="minorEastAsia"/>
                <w:b/>
                <w:sz w:val="20"/>
                <w:szCs w:val="20"/>
                <w:lang w:bidi="hi-IN"/>
              </w:rPr>
              <w:t xml:space="preserve">-pattern were indicating Dual UL Tx in Rel-16, we would not have introduced a new UE capability </w:t>
            </w:r>
            <w:proofErr w:type="spellStart"/>
            <w:r w:rsidR="00047A68" w:rsidRPr="00902DFE">
              <w:rPr>
                <w:rFonts w:eastAsiaTheme="minorEastAsia"/>
                <w:b/>
                <w:sz w:val="20"/>
                <w:szCs w:val="20"/>
                <w:lang w:bidi="hi-IN"/>
              </w:rPr>
              <w:t>tdm</w:t>
            </w:r>
            <w:proofErr w:type="spellEnd"/>
            <w:r w:rsidR="00047A68" w:rsidRPr="00902DFE">
              <w:rPr>
                <w:rFonts w:eastAsiaTheme="minorEastAsia"/>
                <w:b/>
                <w:sz w:val="20"/>
                <w:szCs w:val="20"/>
                <w:lang w:bidi="hi-IN"/>
              </w:rPr>
              <w:t>-pattern-Dual-Tx</w:t>
            </w:r>
            <w:r w:rsidR="00047A68">
              <w:rPr>
                <w:rFonts w:eastAsiaTheme="minorEastAsia"/>
                <w:sz w:val="20"/>
                <w:szCs w:val="20"/>
                <w:lang w:bidi="hi-IN"/>
              </w:rPr>
              <w:t xml:space="preserve">. </w:t>
            </w:r>
          </w:p>
          <w:p w14:paraId="545793FD" w14:textId="603AA3DF" w:rsidR="00E844C3" w:rsidRDefault="00E844C3" w:rsidP="002745DA">
            <w:pPr>
              <w:rPr>
                <w:rFonts w:eastAsiaTheme="minorEastAsia"/>
                <w:sz w:val="20"/>
                <w:szCs w:val="20"/>
                <w:lang w:bidi="hi-IN"/>
              </w:rPr>
            </w:pPr>
            <w:r>
              <w:rPr>
                <w:rFonts w:eastAsiaTheme="minorEastAsia"/>
                <w:sz w:val="20"/>
                <w:szCs w:val="20"/>
                <w:lang w:bidi="hi-IN"/>
              </w:rPr>
              <w:t xml:space="preserve">Please note that the two agreements following the agreement of dual-Tx capability was to discuss the UE behavior for a UE configured with TDM pattern, instead of a UE suffering IMD issue or not. Under a TDM pattern configuration, the dual-Tx case refers to a UE capable of the new </w:t>
            </w:r>
            <w:proofErr w:type="spellStart"/>
            <w:r>
              <w:rPr>
                <w:rFonts w:eastAsiaTheme="minorEastAsia"/>
                <w:sz w:val="20"/>
                <w:szCs w:val="20"/>
                <w:lang w:bidi="hi-IN"/>
              </w:rPr>
              <w:t>tdm</w:t>
            </w:r>
            <w:proofErr w:type="spellEnd"/>
            <w:r>
              <w:rPr>
                <w:rFonts w:eastAsiaTheme="minorEastAsia"/>
                <w:sz w:val="20"/>
                <w:szCs w:val="20"/>
                <w:lang w:bidi="hi-IN"/>
              </w:rPr>
              <w:t>-pattern-dual-Tx instead of a UE not reporting IMD issue. Similarly, the single-Tx case is not bound to IMD issue.</w:t>
            </w:r>
          </w:p>
          <w:p w14:paraId="46E58E51" w14:textId="1CD5E24E" w:rsidR="00047A68" w:rsidRDefault="00047A68" w:rsidP="002745DA">
            <w:pPr>
              <w:rPr>
                <w:rFonts w:eastAsiaTheme="minorEastAsia"/>
                <w:sz w:val="20"/>
                <w:szCs w:val="20"/>
                <w:lang w:bidi="hi-IN"/>
              </w:rPr>
            </w:pPr>
            <w:r>
              <w:rPr>
                <w:rFonts w:eastAsiaTheme="minorEastAsia"/>
                <w:sz w:val="20"/>
                <w:szCs w:val="20"/>
                <w:lang w:bidi="hi-IN"/>
              </w:rPr>
              <w:t xml:space="preserve">In short, </w:t>
            </w:r>
            <w:r w:rsidR="00E844C3">
              <w:rPr>
                <w:rFonts w:eastAsiaTheme="minorEastAsia"/>
                <w:sz w:val="20"/>
                <w:szCs w:val="20"/>
                <w:lang w:bidi="hi-IN"/>
              </w:rPr>
              <w:t>only Option 2 is in line with the agreements.</w:t>
            </w:r>
          </w:p>
          <w:p w14:paraId="04CF86EA" w14:textId="77777777" w:rsidR="002745DA" w:rsidRDefault="002745DA" w:rsidP="002745DA">
            <w:pPr>
              <w:spacing w:after="180"/>
            </w:pPr>
            <w:r>
              <w:rPr>
                <w:sz w:val="20"/>
                <w:szCs w:val="20"/>
                <w:shd w:val="clear" w:color="auto" w:fill="00FF00"/>
                <w:lang w:val="en-GB"/>
              </w:rPr>
              <w:lastRenderedPageBreak/>
              <w:t>Agreements</w:t>
            </w:r>
            <w:r>
              <w:rPr>
                <w:sz w:val="20"/>
                <w:szCs w:val="20"/>
                <w:lang w:val="en-GB"/>
              </w:rPr>
              <w:t>:</w:t>
            </w:r>
          </w:p>
          <w:p w14:paraId="28777662" w14:textId="77777777" w:rsidR="002745DA" w:rsidRDefault="002745DA" w:rsidP="002745DA">
            <w:pPr>
              <w:widowControl w:val="0"/>
              <w:numPr>
                <w:ilvl w:val="0"/>
                <w:numId w:val="36"/>
              </w:numPr>
              <w:spacing w:after="180"/>
            </w:pPr>
            <w:r>
              <w:rPr>
                <w:sz w:val="20"/>
                <w:szCs w:val="20"/>
              </w:rPr>
              <w:t>Introduce a new UE capability of supporting DL reference configuration for dual-Tx UL (e.g., to handle DL de-sensing from harmonics)</w:t>
            </w:r>
          </w:p>
          <w:p w14:paraId="0A0549FF" w14:textId="77777777" w:rsidR="002745DA" w:rsidRDefault="002745DA" w:rsidP="002745DA">
            <w:pPr>
              <w:spacing w:after="160" w:line="283" w:lineRule="atLeast"/>
            </w:pPr>
            <w:r>
              <w:rPr>
                <w:sz w:val="20"/>
                <w:szCs w:val="20"/>
                <w:shd w:val="clear" w:color="auto" w:fill="00FF00"/>
              </w:rPr>
              <w:t>Agreements:</w:t>
            </w:r>
          </w:p>
          <w:p w14:paraId="07F47E8D" w14:textId="77777777" w:rsidR="002745DA" w:rsidRDefault="002745DA" w:rsidP="002745DA">
            <w:pPr>
              <w:widowControl w:val="0"/>
              <w:numPr>
                <w:ilvl w:val="0"/>
                <w:numId w:val="37"/>
              </w:numPr>
              <w:spacing w:after="180"/>
            </w:pPr>
            <w:r>
              <w:rPr>
                <w:sz w:val="20"/>
                <w:szCs w:val="20"/>
              </w:rPr>
              <w:t xml:space="preserve">For the single-Tx case, for FDD LTE </w:t>
            </w:r>
            <w:proofErr w:type="spellStart"/>
            <w:r>
              <w:rPr>
                <w:sz w:val="20"/>
                <w:szCs w:val="20"/>
              </w:rPr>
              <w:t>Pcell</w:t>
            </w:r>
            <w:proofErr w:type="spellEnd"/>
            <w:r>
              <w:rPr>
                <w:sz w:val="20"/>
                <w:szCs w:val="20"/>
              </w:rPr>
              <w:t>,</w:t>
            </w:r>
          </w:p>
          <w:p w14:paraId="49A7A291" w14:textId="77777777" w:rsidR="002745DA" w:rsidRDefault="002745DA" w:rsidP="002745DA">
            <w:pPr>
              <w:widowControl w:val="0"/>
              <w:numPr>
                <w:ilvl w:val="1"/>
                <w:numId w:val="38"/>
              </w:numPr>
              <w:spacing w:after="180"/>
            </w:pPr>
            <w:r>
              <w:rPr>
                <w:sz w:val="20"/>
                <w:szCs w:val="20"/>
              </w:rPr>
              <w:t>All uplink subframes can be scheduled for LTE for type 1 UEs</w:t>
            </w:r>
          </w:p>
          <w:p w14:paraId="3F14691F" w14:textId="77777777" w:rsidR="002745DA" w:rsidRDefault="002745DA" w:rsidP="002745DA">
            <w:pPr>
              <w:widowControl w:val="0"/>
              <w:numPr>
                <w:ilvl w:val="2"/>
                <w:numId w:val="39"/>
              </w:numPr>
              <w:spacing w:after="180"/>
            </w:pPr>
            <w:r>
              <w:rPr>
                <w:sz w:val="20"/>
                <w:szCs w:val="20"/>
              </w:rPr>
              <w:t>In which case, NR transmission is dropped for when the LTE and NR transmissions collide</w:t>
            </w:r>
          </w:p>
          <w:p w14:paraId="0D1198F1" w14:textId="77777777" w:rsidR="002745DA" w:rsidRDefault="002745DA" w:rsidP="002745DA">
            <w:pPr>
              <w:widowControl w:val="0"/>
              <w:numPr>
                <w:ilvl w:val="2"/>
                <w:numId w:val="39"/>
              </w:numPr>
              <w:spacing w:after="180"/>
            </w:pPr>
            <w:r>
              <w:rPr>
                <w:sz w:val="20"/>
                <w:szCs w:val="20"/>
              </w:rPr>
              <w:t>Note: there is no change of UL scheduling timing for LTE</w:t>
            </w:r>
          </w:p>
          <w:p w14:paraId="7724FE62" w14:textId="77777777" w:rsidR="002745DA" w:rsidRDefault="002745DA" w:rsidP="002745DA">
            <w:pPr>
              <w:spacing w:after="160" w:line="283" w:lineRule="atLeast"/>
            </w:pPr>
            <w:r>
              <w:rPr>
                <w:sz w:val="20"/>
                <w:szCs w:val="20"/>
                <w:shd w:val="clear" w:color="auto" w:fill="00FF00"/>
              </w:rPr>
              <w:t>Agreements</w:t>
            </w:r>
            <w:r>
              <w:rPr>
                <w:sz w:val="20"/>
                <w:szCs w:val="20"/>
              </w:rPr>
              <w:t>:</w:t>
            </w:r>
          </w:p>
          <w:p w14:paraId="613FF594" w14:textId="77777777" w:rsidR="002745DA" w:rsidRDefault="002745DA" w:rsidP="002745DA">
            <w:pPr>
              <w:widowControl w:val="0"/>
              <w:numPr>
                <w:ilvl w:val="0"/>
                <w:numId w:val="40"/>
              </w:numPr>
              <w:spacing w:after="180"/>
            </w:pPr>
            <w:r>
              <w:rPr>
                <w:sz w:val="20"/>
                <w:szCs w:val="20"/>
              </w:rPr>
              <w:t xml:space="preserve">For the dual-Tx case, for FDD LTE </w:t>
            </w:r>
            <w:proofErr w:type="spellStart"/>
            <w:r>
              <w:rPr>
                <w:sz w:val="20"/>
                <w:szCs w:val="20"/>
              </w:rPr>
              <w:t>Pcell</w:t>
            </w:r>
            <w:proofErr w:type="spellEnd"/>
            <w:r>
              <w:rPr>
                <w:sz w:val="20"/>
                <w:szCs w:val="20"/>
              </w:rPr>
              <w:t>,</w:t>
            </w:r>
          </w:p>
          <w:p w14:paraId="6DBD11E5" w14:textId="77777777" w:rsidR="002745DA" w:rsidRDefault="002745DA" w:rsidP="002745DA">
            <w:pPr>
              <w:widowControl w:val="0"/>
              <w:numPr>
                <w:ilvl w:val="1"/>
                <w:numId w:val="41"/>
              </w:numPr>
              <w:spacing w:after="180"/>
            </w:pPr>
            <w:r>
              <w:rPr>
                <w:sz w:val="20"/>
                <w:szCs w:val="20"/>
              </w:rPr>
              <w:t>All uplink subframes can be scheduled for LTE at least for type 1 UEs</w:t>
            </w:r>
          </w:p>
          <w:p w14:paraId="0CE8AB35" w14:textId="096463F3" w:rsidR="002745DA" w:rsidRPr="002745DA" w:rsidRDefault="002745DA" w:rsidP="00E844C3">
            <w:pPr>
              <w:widowControl w:val="0"/>
              <w:numPr>
                <w:ilvl w:val="1"/>
                <w:numId w:val="41"/>
              </w:numPr>
              <w:spacing w:after="180"/>
              <w:rPr>
                <w:rFonts w:eastAsiaTheme="minorEastAsia"/>
                <w:sz w:val="20"/>
                <w:szCs w:val="20"/>
                <w:lang w:bidi="hi-IN"/>
              </w:rPr>
            </w:pPr>
            <w:r>
              <w:rPr>
                <w:sz w:val="20"/>
                <w:szCs w:val="20"/>
              </w:rPr>
              <w:t>Note: there is no change of UL scheduling timing for LTE</w:t>
            </w:r>
          </w:p>
        </w:tc>
      </w:tr>
      <w:tr w:rsidR="004C6B69" w14:paraId="09EF6984" w14:textId="77777777" w:rsidTr="004C6B69">
        <w:tc>
          <w:tcPr>
            <w:tcW w:w="985" w:type="dxa"/>
          </w:tcPr>
          <w:p w14:paraId="01FBC272" w14:textId="3B726F62" w:rsidR="004C6B69" w:rsidRDefault="004C6B69" w:rsidP="004C6B69">
            <w:pPr>
              <w:rPr>
                <w:sz w:val="20"/>
                <w:szCs w:val="20"/>
                <w:lang w:eastAsia="ja-JP" w:bidi="hi-IN"/>
              </w:rPr>
            </w:pPr>
            <w:r>
              <w:rPr>
                <w:rFonts w:eastAsia="Yu Mincho" w:hint="eastAsia"/>
                <w:sz w:val="20"/>
                <w:szCs w:val="20"/>
                <w:lang w:eastAsia="ja-JP" w:bidi="hi-IN"/>
              </w:rPr>
              <w:lastRenderedPageBreak/>
              <w:t>Q</w:t>
            </w:r>
            <w:r>
              <w:rPr>
                <w:rFonts w:eastAsia="Yu Mincho"/>
                <w:sz w:val="20"/>
                <w:szCs w:val="20"/>
                <w:lang w:eastAsia="ja-JP" w:bidi="hi-IN"/>
              </w:rPr>
              <w:t>ualcomm</w:t>
            </w:r>
          </w:p>
        </w:tc>
        <w:tc>
          <w:tcPr>
            <w:tcW w:w="8644" w:type="dxa"/>
          </w:tcPr>
          <w:p w14:paraId="6B4F1431" w14:textId="339A4B9A" w:rsidR="00D3114A" w:rsidRDefault="00D3114A" w:rsidP="004C6B69">
            <w:pPr>
              <w:rPr>
                <w:rFonts w:eastAsia="Yu Mincho"/>
                <w:sz w:val="20"/>
                <w:szCs w:val="20"/>
                <w:lang w:eastAsia="ja-JP" w:bidi="hi-IN"/>
              </w:rPr>
            </w:pPr>
            <w:r>
              <w:rPr>
                <w:rFonts w:eastAsia="Yu Mincho" w:hint="eastAsia"/>
                <w:sz w:val="20"/>
                <w:szCs w:val="20"/>
                <w:lang w:eastAsia="ja-JP" w:bidi="hi-IN"/>
              </w:rPr>
              <w:t>C</w:t>
            </w:r>
            <w:r>
              <w:rPr>
                <w:rFonts w:eastAsia="Yu Mincho"/>
                <w:sz w:val="20"/>
                <w:szCs w:val="20"/>
                <w:lang w:eastAsia="ja-JP" w:bidi="hi-IN"/>
              </w:rPr>
              <w:t xml:space="preserve">ase 1) should be </w:t>
            </w:r>
            <w:r w:rsidR="0073323F">
              <w:rPr>
                <w:rFonts w:eastAsia="Yu Mincho"/>
                <w:sz w:val="20"/>
                <w:szCs w:val="20"/>
                <w:lang w:eastAsia="ja-JP" w:bidi="hi-IN"/>
              </w:rPr>
              <w:t>“</w:t>
            </w:r>
            <w:r w:rsidR="0073323F" w:rsidRPr="0073323F">
              <w:rPr>
                <w:rFonts w:eastAsia="Yu Mincho"/>
                <w:sz w:val="20"/>
                <w:szCs w:val="20"/>
                <w:lang w:eastAsia="ja-JP" w:bidi="hi-IN"/>
              </w:rPr>
              <w:t xml:space="preserve">type 1 UE indicates </w:t>
            </w:r>
            <w:proofErr w:type="spellStart"/>
            <w:r w:rsidR="0073323F" w:rsidRPr="0073323F">
              <w:rPr>
                <w:rFonts w:eastAsia="Yu Mincho"/>
                <w:i/>
                <w:iCs/>
                <w:sz w:val="20"/>
                <w:szCs w:val="20"/>
                <w:lang w:eastAsia="ja-JP" w:bidi="hi-IN"/>
              </w:rPr>
              <w:t>singleUL</w:t>
            </w:r>
            <w:proofErr w:type="spellEnd"/>
            <w:r w:rsidR="0073323F" w:rsidRPr="0073323F">
              <w:rPr>
                <w:rFonts w:eastAsia="Yu Mincho"/>
                <w:i/>
                <w:iCs/>
                <w:sz w:val="20"/>
                <w:szCs w:val="20"/>
                <w:lang w:eastAsia="ja-JP" w:bidi="hi-IN"/>
              </w:rPr>
              <w:t>-Transmission</w:t>
            </w:r>
            <w:r w:rsidR="0073323F" w:rsidRPr="0073323F">
              <w:rPr>
                <w:rFonts w:eastAsia="Yu Mincho"/>
                <w:sz w:val="20"/>
                <w:szCs w:val="20"/>
                <w:lang w:eastAsia="ja-JP" w:bidi="hi-IN"/>
              </w:rPr>
              <w:t xml:space="preserve"> for the difficult BC listed in 38.101</w:t>
            </w:r>
            <w:r w:rsidR="0073323F">
              <w:rPr>
                <w:rFonts w:eastAsia="Yu Mincho"/>
                <w:sz w:val="20"/>
                <w:szCs w:val="20"/>
                <w:lang w:eastAsia="ja-JP" w:bidi="hi-IN"/>
              </w:rPr>
              <w:t xml:space="preserve">-3 and the condition of single-UL allowed described in Annex I of 38.101-3 is </w:t>
            </w:r>
            <w:r w:rsidR="00281959">
              <w:rPr>
                <w:rFonts w:eastAsia="Yu Mincho"/>
                <w:sz w:val="20"/>
                <w:szCs w:val="20"/>
                <w:lang w:eastAsia="ja-JP" w:bidi="hi-IN"/>
              </w:rPr>
              <w:t>satisfied”.</w:t>
            </w:r>
          </w:p>
          <w:p w14:paraId="4153249E" w14:textId="77777777" w:rsidR="00114FF5" w:rsidRDefault="00114FF5" w:rsidP="004C6B69">
            <w:pPr>
              <w:rPr>
                <w:rFonts w:eastAsia="Yu Mincho"/>
                <w:sz w:val="20"/>
                <w:szCs w:val="20"/>
                <w:lang w:eastAsia="ja-JP" w:bidi="hi-IN"/>
              </w:rPr>
            </w:pPr>
          </w:p>
          <w:p w14:paraId="3027CCB5" w14:textId="166D9C72" w:rsidR="004C6B69" w:rsidRDefault="004C6B69" w:rsidP="004C6B69">
            <w:pPr>
              <w:rPr>
                <w:rFonts w:eastAsia="Yu Mincho"/>
                <w:sz w:val="20"/>
                <w:szCs w:val="20"/>
                <w:lang w:eastAsia="ja-JP" w:bidi="hi-IN"/>
              </w:rPr>
            </w:pPr>
            <w:r>
              <w:rPr>
                <w:rFonts w:eastAsia="Yu Mincho"/>
                <w:sz w:val="20"/>
                <w:szCs w:val="20"/>
                <w:lang w:eastAsia="ja-JP" w:bidi="hi-IN"/>
              </w:rPr>
              <w:t xml:space="preserve">Let us clarify why we propose TP option 3. </w:t>
            </w:r>
            <w:r w:rsidR="00114FF5">
              <w:rPr>
                <w:rFonts w:eastAsia="Yu Mincho"/>
                <w:sz w:val="20"/>
                <w:szCs w:val="20"/>
                <w:lang w:eastAsia="ja-JP" w:bidi="hi-IN"/>
              </w:rPr>
              <w:t>There are three different points.</w:t>
            </w:r>
          </w:p>
          <w:p w14:paraId="01E507E3" w14:textId="77777777" w:rsidR="004C6B69" w:rsidRPr="00EB50A3" w:rsidRDefault="004C6B69" w:rsidP="004C6B69">
            <w:pPr>
              <w:rPr>
                <w:rFonts w:eastAsia="Yu Mincho"/>
                <w:b/>
                <w:bCs/>
                <w:sz w:val="20"/>
                <w:szCs w:val="20"/>
                <w:u w:val="single"/>
                <w:lang w:eastAsia="ja-JP" w:bidi="hi-IN"/>
              </w:rPr>
            </w:pPr>
            <w:r w:rsidRPr="00EB50A3">
              <w:rPr>
                <w:rFonts w:eastAsia="Yu Mincho"/>
                <w:b/>
                <w:bCs/>
                <w:sz w:val="20"/>
                <w:szCs w:val="20"/>
                <w:u w:val="single"/>
                <w:lang w:eastAsia="ja-JP" w:bidi="hi-IN"/>
              </w:rPr>
              <w:t>1) The condition where single-UL is allowed</w:t>
            </w:r>
          </w:p>
          <w:p w14:paraId="4A6C318F" w14:textId="77777777" w:rsidR="004C6B69" w:rsidRDefault="004C6B69" w:rsidP="004C6B69">
            <w:pPr>
              <w:rPr>
                <w:rFonts w:eastAsia="Yu Mincho"/>
                <w:sz w:val="20"/>
                <w:szCs w:val="20"/>
                <w:lang w:eastAsia="ja-JP" w:bidi="hi-IN"/>
              </w:rPr>
            </w:pPr>
            <w:r>
              <w:rPr>
                <w:rFonts w:eastAsia="Yu Mincho"/>
                <w:sz w:val="20"/>
                <w:szCs w:val="20"/>
                <w:lang w:eastAsia="ja-JP" w:bidi="hi-IN"/>
              </w:rPr>
              <w:t xml:space="preserve">The condition where single-UL is allowed is specified in RAN4 spec; even for a band combination where the UE reports </w:t>
            </w:r>
            <w:proofErr w:type="spellStart"/>
            <w:r w:rsidRPr="00946302">
              <w:rPr>
                <w:rFonts w:eastAsia="Yu Mincho"/>
                <w:i/>
                <w:iCs/>
                <w:sz w:val="20"/>
                <w:szCs w:val="20"/>
                <w:lang w:eastAsia="ja-JP" w:bidi="hi-IN"/>
              </w:rPr>
              <w:t>singleUL</w:t>
            </w:r>
            <w:proofErr w:type="spellEnd"/>
            <w:r w:rsidRPr="00946302">
              <w:rPr>
                <w:rFonts w:eastAsia="Yu Mincho"/>
                <w:i/>
                <w:iCs/>
                <w:sz w:val="20"/>
                <w:szCs w:val="20"/>
                <w:lang w:eastAsia="ja-JP" w:bidi="hi-IN"/>
              </w:rPr>
              <w:t>-Transmission</w:t>
            </w:r>
            <w:r>
              <w:rPr>
                <w:rFonts w:eastAsia="Yu Mincho"/>
                <w:sz w:val="20"/>
                <w:szCs w:val="20"/>
                <w:lang w:eastAsia="ja-JP" w:bidi="hi-IN"/>
              </w:rPr>
              <w:t>, single-UL is not always allowed. Since the text proposals will define the UE behavior of single-UL transmission, the text shall refer the RAN4’s condition where the single-UL transmission is allowed. Therefore, Option 3 has the text “</w:t>
            </w:r>
            <w:r w:rsidRPr="00B16DB2">
              <w:rPr>
                <w:rFonts w:eastAsia="Yu Mincho"/>
                <w:i/>
                <w:iCs/>
                <w:color w:val="FF0000"/>
                <w:sz w:val="20"/>
                <w:szCs w:val="20"/>
                <w:u w:val="single"/>
                <w:lang w:eastAsia="ja-JP" w:bidi="hi-IN"/>
              </w:rPr>
              <w:t xml:space="preserve">if the conditions in TS 38.101-3 [8-3] are </w:t>
            </w:r>
            <w:proofErr w:type="spellStart"/>
            <w:r w:rsidRPr="00B16DB2">
              <w:rPr>
                <w:rFonts w:eastAsia="Yu Mincho"/>
                <w:i/>
                <w:iCs/>
                <w:color w:val="FF0000"/>
                <w:sz w:val="20"/>
                <w:szCs w:val="20"/>
                <w:u w:val="single"/>
                <w:lang w:eastAsia="ja-JP" w:bidi="hi-IN"/>
              </w:rPr>
              <w:t>fullfilled</w:t>
            </w:r>
            <w:proofErr w:type="spellEnd"/>
            <w:r>
              <w:rPr>
                <w:rFonts w:eastAsia="Yu Mincho"/>
                <w:sz w:val="20"/>
                <w:szCs w:val="20"/>
                <w:lang w:eastAsia="ja-JP" w:bidi="hi-IN"/>
              </w:rPr>
              <w:t xml:space="preserve">”. Without this clarification, the case where the single-UL is allowed is expanded compared to Rel.15, which should not be the case. Corresponding RAN4 spec is copied below from TS38.101-3 for the convenience. Companies </w:t>
            </w:r>
            <w:r>
              <w:rPr>
                <w:rFonts w:eastAsia="Yu Mincho" w:hint="eastAsia"/>
                <w:sz w:val="20"/>
                <w:szCs w:val="20"/>
                <w:lang w:eastAsia="ja-JP" w:bidi="hi-IN"/>
              </w:rPr>
              <w:t>should</w:t>
            </w:r>
            <w:r>
              <w:rPr>
                <w:rFonts w:eastAsia="Yu Mincho"/>
                <w:sz w:val="20"/>
                <w:szCs w:val="20"/>
                <w:lang w:eastAsia="ja-JP" w:bidi="hi-IN"/>
              </w:rPr>
              <w:t xml:space="preserve"> check with RAN4 colleagues. </w:t>
            </w:r>
          </w:p>
          <w:p w14:paraId="33B6073B" w14:textId="77777777" w:rsidR="004C6B69" w:rsidRPr="004270A9" w:rsidRDefault="004C6B69" w:rsidP="004C6B69">
            <w:pPr>
              <w:keepNext/>
              <w:keepLines/>
              <w:pBdr>
                <w:top w:val="single" w:sz="12" w:space="3" w:color="auto"/>
              </w:pBdr>
              <w:spacing w:before="240" w:after="180"/>
              <w:jc w:val="left"/>
              <w:outlineLvl w:val="7"/>
              <w:rPr>
                <w:rFonts w:ascii="Arial" w:eastAsia="SimSun" w:hAnsi="Arial"/>
                <w:sz w:val="36"/>
                <w:szCs w:val="20"/>
                <w:lang w:val="en-GB" w:eastAsia="en-US"/>
              </w:rPr>
            </w:pPr>
            <w:bookmarkStart w:id="5" w:name="_Toc21351812"/>
            <w:bookmarkStart w:id="6" w:name="_Toc29807394"/>
            <w:r w:rsidRPr="004270A9">
              <w:rPr>
                <w:rFonts w:ascii="Arial" w:eastAsia="SimSun" w:hAnsi="Arial"/>
                <w:sz w:val="36"/>
                <w:szCs w:val="20"/>
                <w:lang w:val="en-GB" w:eastAsia="en-US"/>
              </w:rPr>
              <w:t>Annex I (normative):</w:t>
            </w:r>
            <w:r w:rsidRPr="004270A9">
              <w:rPr>
                <w:rFonts w:ascii="Arial" w:eastAsia="SimSun" w:hAnsi="Arial"/>
                <w:sz w:val="36"/>
                <w:szCs w:val="20"/>
                <w:lang w:val="en-GB" w:eastAsia="en-US"/>
              </w:rPr>
              <w:br/>
              <w:t>Dual uplink interferer</w:t>
            </w:r>
            <w:bookmarkEnd w:id="5"/>
            <w:bookmarkEnd w:id="6"/>
          </w:p>
          <w:p w14:paraId="69402977" w14:textId="77777777" w:rsidR="004C6B69" w:rsidRPr="004270A9" w:rsidRDefault="004C6B69" w:rsidP="004C6B69">
            <w:pPr>
              <w:spacing w:after="180"/>
              <w:rPr>
                <w:rFonts w:eastAsia="SimSun"/>
                <w:sz w:val="20"/>
                <w:szCs w:val="20"/>
                <w:lang w:val="en-GB" w:eastAsia="en-US"/>
              </w:rPr>
            </w:pPr>
            <w:r w:rsidRPr="004270A9">
              <w:rPr>
                <w:rFonts w:eastAsia="SimSun"/>
                <w:sz w:val="20"/>
                <w:szCs w:val="20"/>
                <w:highlight w:val="yellow"/>
                <w:lang w:val="en-GB" w:eastAsia="en-US"/>
              </w:rPr>
              <w:t xml:space="preserve">UE is mandated to support operation in dual and triple uplink mode for EN-DC configuration in NR FR1 listed in Table 5.5B.2-1, Table 5.5B.3-1, and Table 5.5B.4.1-1 and indicated by column single uplink allowed, Table 7.3B.2.3.5.1-1, Table 7.3B.2.3.5.2-0, Table 7.3B.2.3.5.2-1 or NE-DC configuration in NR FR1 listed in Table 5.5B.4a.1-1 and indicated by column single uplink allowed if the intermodulation products caused by the dual uplink operation do not interfere with its own primary downlink transmission channel bandwidth of </w:t>
            </w:r>
            <w:proofErr w:type="spellStart"/>
            <w:r w:rsidRPr="004270A9">
              <w:rPr>
                <w:rFonts w:eastAsia="SimSun"/>
                <w:sz w:val="20"/>
                <w:szCs w:val="20"/>
                <w:highlight w:val="yellow"/>
                <w:lang w:val="en-GB" w:eastAsia="en-US"/>
              </w:rPr>
              <w:t>PCell</w:t>
            </w:r>
            <w:proofErr w:type="spellEnd"/>
            <w:r w:rsidRPr="004270A9">
              <w:rPr>
                <w:rFonts w:eastAsia="SimSun"/>
                <w:sz w:val="20"/>
                <w:szCs w:val="20"/>
                <w:highlight w:val="yellow"/>
                <w:lang w:val="en-GB" w:eastAsia="en-US"/>
              </w:rPr>
              <w:t xml:space="preserve"> or </w:t>
            </w:r>
            <w:proofErr w:type="spellStart"/>
            <w:r w:rsidRPr="004270A9">
              <w:rPr>
                <w:rFonts w:eastAsia="SimSun"/>
                <w:sz w:val="20"/>
                <w:szCs w:val="20"/>
                <w:highlight w:val="yellow"/>
                <w:lang w:val="en-GB" w:eastAsia="en-US"/>
              </w:rPr>
              <w:t>PSCell</w:t>
            </w:r>
            <w:proofErr w:type="spellEnd"/>
            <w:r w:rsidRPr="004270A9">
              <w:rPr>
                <w:rFonts w:eastAsia="SimSun"/>
                <w:sz w:val="20"/>
                <w:szCs w:val="20"/>
                <w:lang w:val="en-GB" w:eastAsia="en-US"/>
              </w:rPr>
              <w:t>. For intermodulation products falling into any secondary downlink channel bandwidth, UE single UL capability is not considered.</w:t>
            </w:r>
          </w:p>
          <w:p w14:paraId="5D839B90" w14:textId="77777777" w:rsidR="004C6B69" w:rsidRDefault="004C6B69" w:rsidP="004C6B69">
            <w:pPr>
              <w:rPr>
                <w:rFonts w:eastAsia="Yu Mincho"/>
                <w:sz w:val="20"/>
                <w:szCs w:val="20"/>
                <w:lang w:val="en-GB" w:eastAsia="ja-JP" w:bidi="hi-IN"/>
              </w:rPr>
            </w:pPr>
          </w:p>
          <w:p w14:paraId="1CF3BB48" w14:textId="47E826DF" w:rsidR="004C6B69" w:rsidRPr="00EB50A3" w:rsidRDefault="004C6B69" w:rsidP="004C6B69">
            <w:pPr>
              <w:rPr>
                <w:rFonts w:eastAsia="Yu Mincho"/>
                <w:b/>
                <w:bCs/>
                <w:sz w:val="20"/>
                <w:szCs w:val="20"/>
                <w:u w:val="single"/>
                <w:lang w:val="en-GB" w:eastAsia="ja-JP" w:bidi="hi-IN"/>
              </w:rPr>
            </w:pPr>
            <w:r w:rsidRPr="00EB50A3">
              <w:rPr>
                <w:rFonts w:eastAsia="Yu Mincho" w:hint="eastAsia"/>
                <w:b/>
                <w:bCs/>
                <w:sz w:val="20"/>
                <w:szCs w:val="20"/>
                <w:u w:val="single"/>
                <w:lang w:val="en-GB" w:eastAsia="ja-JP" w:bidi="hi-IN"/>
              </w:rPr>
              <w:t>2</w:t>
            </w:r>
            <w:r w:rsidRPr="00EB50A3">
              <w:rPr>
                <w:rFonts w:eastAsia="Yu Mincho"/>
                <w:b/>
                <w:bCs/>
                <w:sz w:val="20"/>
                <w:szCs w:val="20"/>
                <w:u w:val="single"/>
                <w:lang w:val="en-GB" w:eastAsia="ja-JP" w:bidi="hi-IN"/>
              </w:rPr>
              <w:t xml:space="preserve">) Handling </w:t>
            </w:r>
            <w:r w:rsidR="00B93C26">
              <w:rPr>
                <w:rFonts w:eastAsia="Yu Mincho"/>
                <w:b/>
                <w:bCs/>
                <w:sz w:val="20"/>
                <w:szCs w:val="20"/>
                <w:u w:val="single"/>
                <w:lang w:val="en-GB" w:eastAsia="ja-JP" w:bidi="hi-IN"/>
              </w:rPr>
              <w:t xml:space="preserve">LTE + NR </w:t>
            </w:r>
            <w:r>
              <w:rPr>
                <w:rFonts w:eastAsia="Yu Mincho"/>
                <w:b/>
                <w:bCs/>
                <w:sz w:val="20"/>
                <w:szCs w:val="20"/>
                <w:u w:val="single"/>
                <w:lang w:val="en-GB" w:eastAsia="ja-JP" w:bidi="hi-IN"/>
              </w:rPr>
              <w:t>collision</w:t>
            </w:r>
            <w:r w:rsidRPr="00EB50A3">
              <w:rPr>
                <w:rFonts w:eastAsia="Yu Mincho"/>
                <w:b/>
                <w:bCs/>
                <w:sz w:val="20"/>
                <w:szCs w:val="20"/>
                <w:u w:val="single"/>
                <w:lang w:val="en-GB" w:eastAsia="ja-JP" w:bidi="hi-IN"/>
              </w:rPr>
              <w:t xml:space="preserve"> if the UE is not configured with </w:t>
            </w:r>
            <w:r w:rsidRPr="00B16DB2">
              <w:rPr>
                <w:rFonts w:eastAsia="Yu Mincho"/>
                <w:b/>
                <w:bCs/>
                <w:i/>
                <w:iCs/>
                <w:sz w:val="20"/>
                <w:szCs w:val="20"/>
                <w:u w:val="single"/>
                <w:lang w:val="en-GB" w:eastAsia="ja-JP" w:bidi="hi-IN"/>
              </w:rPr>
              <w:t>tdm-PatternConfig-r16</w:t>
            </w:r>
          </w:p>
          <w:p w14:paraId="315AD0CB" w14:textId="77777777" w:rsidR="00EF061D" w:rsidRDefault="004C6B69" w:rsidP="004C6B69">
            <w:pPr>
              <w:rPr>
                <w:rFonts w:eastAsia="Yu Mincho"/>
                <w:sz w:val="20"/>
                <w:szCs w:val="20"/>
                <w:lang w:val="en-GB" w:eastAsia="ja-JP" w:bidi="hi-IN"/>
              </w:rPr>
            </w:pPr>
            <w:r>
              <w:rPr>
                <w:rFonts w:eastAsia="Yu Mincho" w:hint="eastAsia"/>
                <w:sz w:val="20"/>
                <w:szCs w:val="20"/>
                <w:lang w:val="en-GB" w:eastAsia="ja-JP" w:bidi="hi-IN"/>
              </w:rPr>
              <w:lastRenderedPageBreak/>
              <w:t>T</w:t>
            </w:r>
            <w:r>
              <w:rPr>
                <w:rFonts w:eastAsia="Yu Mincho"/>
                <w:sz w:val="20"/>
                <w:szCs w:val="20"/>
                <w:lang w:val="en-GB" w:eastAsia="ja-JP" w:bidi="hi-IN"/>
              </w:rPr>
              <w:t xml:space="preserve">here is no spec on how the UE should do if the UE indicates a capability for dynamic power sharing between E-UTRA and NR for EN-DC and the UE needs single-Tx operation, but the UE is not configured with </w:t>
            </w:r>
            <w:r w:rsidRPr="006B0059">
              <w:rPr>
                <w:rFonts w:eastAsia="Yu Mincho"/>
                <w:i/>
                <w:iCs/>
                <w:sz w:val="20"/>
                <w:szCs w:val="20"/>
                <w:lang w:val="en-GB" w:eastAsia="ja-JP" w:bidi="hi-IN"/>
              </w:rPr>
              <w:t>tdm-PatternConfig-r16</w:t>
            </w:r>
            <w:r>
              <w:rPr>
                <w:rFonts w:eastAsia="Yu Mincho"/>
                <w:sz w:val="20"/>
                <w:szCs w:val="20"/>
                <w:lang w:val="en-GB" w:eastAsia="ja-JP" w:bidi="hi-IN"/>
              </w:rPr>
              <w:t xml:space="preserve">. In this is not configured, the UE behaviour should follow the Rel.15 </w:t>
            </w:r>
            <w:proofErr w:type="spellStart"/>
            <w:r>
              <w:rPr>
                <w:rFonts w:eastAsia="Yu Mincho"/>
                <w:sz w:val="20"/>
                <w:szCs w:val="20"/>
                <w:lang w:val="en-GB" w:eastAsia="ja-JP" w:bidi="hi-IN"/>
              </w:rPr>
              <w:t>behavior</w:t>
            </w:r>
            <w:proofErr w:type="spellEnd"/>
            <w:r>
              <w:rPr>
                <w:rFonts w:eastAsia="Yu Mincho"/>
                <w:sz w:val="20"/>
                <w:szCs w:val="20"/>
                <w:lang w:val="en-GB" w:eastAsia="ja-JP" w:bidi="hi-IN"/>
              </w:rPr>
              <w:t>: i.e., “</w:t>
            </w:r>
            <w:r w:rsidRPr="000A73A4">
              <w:rPr>
                <w:rFonts w:eastAsia="Yu Mincho"/>
                <w:sz w:val="20"/>
                <w:szCs w:val="20"/>
                <w:lang w:val="en-GB" w:eastAsia="ja-JP" w:bidi="hi-IN"/>
              </w:rPr>
              <w:t>The UE behaviour in case of being simultaneously scheduled on LTE and NR uplinks is not specified</w:t>
            </w:r>
            <w:r>
              <w:rPr>
                <w:rFonts w:eastAsia="Yu Mincho"/>
                <w:sz w:val="20"/>
                <w:szCs w:val="20"/>
                <w:lang w:val="en-GB" w:eastAsia="ja-JP" w:bidi="hi-IN"/>
              </w:rPr>
              <w:t xml:space="preserve">” as per RAN1#90b agreement. This is why Option 3 has the text </w:t>
            </w:r>
            <w:r w:rsidR="00EF061D">
              <w:rPr>
                <w:rFonts w:eastAsia="Yu Mincho"/>
                <w:sz w:val="20"/>
                <w:szCs w:val="20"/>
                <w:lang w:val="en-GB" w:eastAsia="ja-JP" w:bidi="hi-IN"/>
              </w:rPr>
              <w:t>below:</w:t>
            </w:r>
          </w:p>
          <w:p w14:paraId="64C3711B" w14:textId="77777777" w:rsidR="00EF061D" w:rsidRPr="00265161" w:rsidRDefault="00EF061D" w:rsidP="00EF061D">
            <w:pPr>
              <w:ind w:left="568" w:hanging="284"/>
              <w:jc w:val="left"/>
              <w:rPr>
                <w:rFonts w:eastAsia="Yu Mincho"/>
                <w:color w:val="FF0000"/>
                <w:sz w:val="20"/>
                <w:szCs w:val="20"/>
                <w:u w:val="single"/>
              </w:rPr>
            </w:pPr>
            <w:r w:rsidRPr="00265161">
              <w:rPr>
                <w:rFonts w:eastAsia="Yu Mincho"/>
                <w:color w:val="FF0000"/>
                <w:sz w:val="20"/>
                <w:szCs w:val="20"/>
                <w:u w:val="single"/>
                <w:lang w:val="x-none"/>
              </w:rPr>
              <w:t>-</w:t>
            </w:r>
            <w:r w:rsidRPr="00265161">
              <w:rPr>
                <w:rFonts w:eastAsia="Yu Mincho"/>
                <w:color w:val="FF0000"/>
                <w:sz w:val="20"/>
                <w:szCs w:val="20"/>
                <w:u w:val="single"/>
                <w:lang w:val="x-none"/>
              </w:rPr>
              <w:tab/>
              <w:t>Otherwise</w:t>
            </w:r>
            <w:r w:rsidRPr="00265161">
              <w:rPr>
                <w:rFonts w:eastAsia="Yu Mincho"/>
                <w:color w:val="FF0000"/>
                <w:sz w:val="20"/>
                <w:szCs w:val="20"/>
                <w:u w:val="single"/>
              </w:rPr>
              <w:t xml:space="preserve">, </w:t>
            </w:r>
          </w:p>
          <w:p w14:paraId="4D647613" w14:textId="4E00F9F3" w:rsidR="004C6B69" w:rsidRPr="00EF061D" w:rsidRDefault="00EF061D" w:rsidP="00EF061D">
            <w:pPr>
              <w:ind w:left="851" w:hanging="284"/>
              <w:jc w:val="left"/>
              <w:rPr>
                <w:rFonts w:eastAsiaTheme="minorEastAsia"/>
                <w:color w:val="FF0000"/>
                <w:sz w:val="20"/>
                <w:szCs w:val="20"/>
                <w:u w:val="single"/>
                <w:lang w:val="x-none"/>
              </w:rPr>
            </w:pPr>
            <w:r w:rsidRPr="00265161">
              <w:rPr>
                <w:rFonts w:eastAsia="Yu Mincho"/>
                <w:color w:val="FF0000"/>
                <w:sz w:val="20"/>
                <w:szCs w:val="20"/>
                <w:u w:val="single"/>
              </w:rPr>
              <w:t>-</w:t>
            </w:r>
            <w:r w:rsidRPr="00265161">
              <w:rPr>
                <w:rFonts w:eastAsia="Yu Mincho"/>
                <w:color w:val="FF0000"/>
                <w:sz w:val="20"/>
                <w:szCs w:val="20"/>
                <w:u w:val="single"/>
              </w:rPr>
              <w:tab/>
              <w:t>the UE does not expect to be configured or indicated to transmit on the SCG in FR1 when the UE has overlapped transmission on any subframe on the MCG.</w:t>
            </w:r>
          </w:p>
          <w:p w14:paraId="2212843B" w14:textId="77777777" w:rsidR="004C6B69" w:rsidRDefault="004C6B69" w:rsidP="004C6B69">
            <w:pPr>
              <w:rPr>
                <w:sz w:val="20"/>
                <w:szCs w:val="20"/>
                <w:lang w:val="en-GB" w:eastAsia="ja-JP" w:bidi="hi-IN"/>
              </w:rPr>
            </w:pPr>
          </w:p>
          <w:p w14:paraId="3B67904B" w14:textId="34BC678F" w:rsidR="004C6B69" w:rsidRPr="000A73A4" w:rsidRDefault="004C6B69" w:rsidP="004C6B69">
            <w:pPr>
              <w:rPr>
                <w:rFonts w:eastAsia="Yu Mincho"/>
                <w:b/>
                <w:bCs/>
                <w:sz w:val="20"/>
                <w:szCs w:val="20"/>
                <w:u w:val="single"/>
                <w:lang w:val="en-GB" w:eastAsia="ja-JP" w:bidi="hi-IN"/>
              </w:rPr>
            </w:pPr>
            <w:r w:rsidRPr="000A73A4">
              <w:rPr>
                <w:rFonts w:eastAsia="Yu Mincho" w:hint="eastAsia"/>
                <w:b/>
                <w:bCs/>
                <w:sz w:val="20"/>
                <w:szCs w:val="20"/>
                <w:u w:val="single"/>
                <w:lang w:val="en-GB" w:eastAsia="ja-JP" w:bidi="hi-IN"/>
              </w:rPr>
              <w:t>3</w:t>
            </w:r>
            <w:r w:rsidRPr="000A73A4">
              <w:rPr>
                <w:rFonts w:eastAsia="Yu Mincho"/>
                <w:b/>
                <w:bCs/>
                <w:sz w:val="20"/>
                <w:szCs w:val="20"/>
                <w:u w:val="single"/>
                <w:lang w:val="en-GB" w:eastAsia="ja-JP" w:bidi="hi-IN"/>
              </w:rPr>
              <w:t xml:space="preserve">) </w:t>
            </w:r>
            <w:r>
              <w:rPr>
                <w:rFonts w:eastAsia="Yu Mincho"/>
                <w:b/>
                <w:bCs/>
                <w:sz w:val="20"/>
                <w:szCs w:val="20"/>
                <w:u w:val="single"/>
                <w:lang w:val="en-GB" w:eastAsia="ja-JP" w:bidi="hi-IN"/>
              </w:rPr>
              <w:t>H</w:t>
            </w:r>
            <w:r w:rsidRPr="000A73A4">
              <w:rPr>
                <w:rFonts w:eastAsia="Yu Mincho"/>
                <w:b/>
                <w:bCs/>
                <w:sz w:val="20"/>
                <w:szCs w:val="20"/>
                <w:u w:val="single"/>
                <w:lang w:val="en-GB" w:eastAsia="ja-JP" w:bidi="hi-IN"/>
              </w:rPr>
              <w:t xml:space="preserve">andling </w:t>
            </w:r>
            <w:r w:rsidR="00B93C26">
              <w:rPr>
                <w:rFonts w:eastAsia="Yu Mincho"/>
                <w:b/>
                <w:bCs/>
                <w:sz w:val="20"/>
                <w:szCs w:val="20"/>
                <w:u w:val="single"/>
                <w:lang w:val="en-GB" w:eastAsia="ja-JP" w:bidi="hi-IN"/>
              </w:rPr>
              <w:t xml:space="preserve">LTE + NR </w:t>
            </w:r>
            <w:r w:rsidRPr="000A73A4">
              <w:rPr>
                <w:rFonts w:eastAsia="Yu Mincho"/>
                <w:b/>
                <w:bCs/>
                <w:sz w:val="20"/>
                <w:szCs w:val="20"/>
                <w:u w:val="single"/>
                <w:lang w:val="en-GB" w:eastAsia="ja-JP" w:bidi="hi-IN"/>
              </w:rPr>
              <w:t xml:space="preserve">collision if the UE is configured with </w:t>
            </w:r>
            <w:r w:rsidRPr="000A73A4">
              <w:rPr>
                <w:rFonts w:eastAsia="Yu Mincho"/>
                <w:b/>
                <w:bCs/>
                <w:i/>
                <w:iCs/>
                <w:sz w:val="20"/>
                <w:szCs w:val="20"/>
                <w:u w:val="single"/>
                <w:lang w:val="en-GB" w:eastAsia="ja-JP" w:bidi="hi-IN"/>
              </w:rPr>
              <w:t>tdm-PatternConfig-r16</w:t>
            </w:r>
          </w:p>
          <w:p w14:paraId="0F176451" w14:textId="77777777" w:rsidR="004C6B69" w:rsidRDefault="004C6B69" w:rsidP="004C6B69">
            <w:pPr>
              <w:rPr>
                <w:rFonts w:eastAsia="Yu Mincho"/>
                <w:sz w:val="20"/>
                <w:szCs w:val="20"/>
                <w:lang w:val="en-GB" w:eastAsia="ja-JP" w:bidi="hi-IN"/>
              </w:rPr>
            </w:pPr>
            <w:r>
              <w:rPr>
                <w:rFonts w:eastAsia="Yu Mincho"/>
                <w:sz w:val="20"/>
                <w:szCs w:val="20"/>
                <w:lang w:val="en-GB" w:eastAsia="ja-JP" w:bidi="hi-IN"/>
              </w:rPr>
              <w:t>We prefer to define the UE behaviour as following: (1) the UE drops NR UL if it collides with LTE UL in the offset-UL subframes, and (2) the UE does not expect collision of NR UL with LTE UL in a subframe other than offset-UL subframes. The reason behind this is following.</w:t>
            </w:r>
          </w:p>
          <w:p w14:paraId="0F702D74" w14:textId="65E464C4" w:rsidR="004C6B69" w:rsidRDefault="00AA560B" w:rsidP="004C6B69">
            <w:pPr>
              <w:rPr>
                <w:rFonts w:eastAsia="Yu Mincho"/>
                <w:sz w:val="20"/>
                <w:szCs w:val="20"/>
                <w:lang w:val="en-GB" w:eastAsia="ja-JP" w:bidi="hi-IN"/>
              </w:rPr>
            </w:pPr>
            <w:r>
              <w:rPr>
                <w:rFonts w:eastAsia="Yu Mincho"/>
                <w:sz w:val="20"/>
                <w:szCs w:val="20"/>
                <w:lang w:val="en-GB" w:eastAsia="ja-JP" w:bidi="hi-IN"/>
              </w:rPr>
              <w:t>We propose following formulation for UE features</w:t>
            </w:r>
            <w:r w:rsidR="004C6B69">
              <w:rPr>
                <w:rFonts w:eastAsia="Yu Mincho"/>
                <w:sz w:val="20"/>
                <w:szCs w:val="20"/>
                <w:lang w:val="en-GB" w:eastAsia="ja-JP" w:bidi="hi-IN"/>
              </w:rPr>
              <w:t>:</w:t>
            </w:r>
          </w:p>
          <w:p w14:paraId="5D8C6D31" w14:textId="77777777" w:rsidR="004C6B69" w:rsidRPr="00982A36" w:rsidRDefault="004C6B69" w:rsidP="004C6B69">
            <w:pPr>
              <w:rPr>
                <w:rFonts w:eastAsia="Yu Mincho"/>
                <w:sz w:val="20"/>
                <w:szCs w:val="20"/>
                <w:u w:val="single"/>
                <w:lang w:val="en-GB" w:eastAsia="ja-JP" w:bidi="hi-IN"/>
              </w:rPr>
            </w:pPr>
            <w:r w:rsidRPr="00982A36">
              <w:rPr>
                <w:rFonts w:eastAsia="Yu Mincho"/>
                <w:sz w:val="20"/>
                <w:szCs w:val="20"/>
                <w:u w:val="single"/>
                <w:lang w:val="en-GB" w:eastAsia="ja-JP" w:bidi="hi-IN"/>
              </w:rPr>
              <w:t>Case 1: EN-DC single-Tx with TDD-</w:t>
            </w:r>
            <w:proofErr w:type="spellStart"/>
            <w:r w:rsidRPr="00982A36">
              <w:rPr>
                <w:rFonts w:eastAsia="Yu Mincho"/>
                <w:sz w:val="20"/>
                <w:szCs w:val="20"/>
                <w:u w:val="single"/>
                <w:lang w:val="en-GB" w:eastAsia="ja-JP" w:bidi="hi-IN"/>
              </w:rPr>
              <w:t>PCell</w:t>
            </w:r>
            <w:proofErr w:type="spellEnd"/>
          </w:p>
          <w:p w14:paraId="6F45D786" w14:textId="77777777" w:rsidR="004C6B69" w:rsidRDefault="004C6B69" w:rsidP="004C6B69">
            <w:pPr>
              <w:rPr>
                <w:rFonts w:eastAsia="Yu Mincho"/>
                <w:sz w:val="20"/>
                <w:szCs w:val="20"/>
                <w:lang w:val="en-GB" w:eastAsia="ja-JP" w:bidi="hi-IN"/>
              </w:rPr>
            </w:pPr>
            <w:r>
              <w:rPr>
                <w:rFonts w:eastAsia="Yu Mincho"/>
                <w:sz w:val="20"/>
                <w:szCs w:val="20"/>
                <w:lang w:val="en-GB" w:eastAsia="ja-JP" w:bidi="hi-IN"/>
              </w:rPr>
              <w:t>For EN-DC single-Tx with TDD-</w:t>
            </w:r>
            <w:proofErr w:type="spellStart"/>
            <w:r>
              <w:rPr>
                <w:rFonts w:eastAsia="Yu Mincho"/>
                <w:sz w:val="20"/>
                <w:szCs w:val="20"/>
                <w:lang w:val="en-GB" w:eastAsia="ja-JP" w:bidi="hi-IN"/>
              </w:rPr>
              <w:t>PCell</w:t>
            </w:r>
            <w:proofErr w:type="spellEnd"/>
            <w:r>
              <w:rPr>
                <w:rFonts w:eastAsia="Yu Mincho"/>
                <w:sz w:val="20"/>
                <w:szCs w:val="20"/>
                <w:lang w:val="en-GB" w:eastAsia="ja-JP" w:bidi="hi-IN"/>
              </w:rPr>
              <w:t xml:space="preserve">, we propose to define FG18-2 such that it supports EN-DC single-Tx operation using </w:t>
            </w:r>
            <w:r w:rsidRPr="00A84650">
              <w:rPr>
                <w:rFonts w:eastAsia="Yu Mincho"/>
                <w:i/>
                <w:iCs/>
                <w:sz w:val="20"/>
                <w:szCs w:val="20"/>
                <w:lang w:val="en-GB" w:eastAsia="ja-JP" w:bidi="hi-IN"/>
              </w:rPr>
              <w:t>tdm-PatternConfig-r16</w:t>
            </w:r>
            <w:r>
              <w:rPr>
                <w:rFonts w:eastAsia="Yu Mincho"/>
                <w:sz w:val="20"/>
                <w:szCs w:val="20"/>
                <w:lang w:val="en-GB" w:eastAsia="ja-JP" w:bidi="hi-IN"/>
              </w:rPr>
              <w:t xml:space="preserve"> but all LTE UL transmissions are confined within the offset-UL subframes, and FG18-3a such that it additionally supports LTE UL transmissions on subframes other than offset-UL subframes on top of FG18-2. Then for NR UL transmissions, the UE behaviour is consistent between FG18-2 and FG18-3a; the UE drops NR UL if it collides with LTE UL in a offset-UL subframes, and the UE does not expect NR UL if it collides with LTE UL in a subframe other than offset-UL subframes.</w:t>
            </w:r>
          </w:p>
          <w:p w14:paraId="656A3101" w14:textId="77777777" w:rsidR="004C6B69" w:rsidRPr="00982A36" w:rsidRDefault="004C6B69" w:rsidP="004C6B69">
            <w:pPr>
              <w:rPr>
                <w:rFonts w:eastAsia="Yu Mincho"/>
                <w:sz w:val="20"/>
                <w:szCs w:val="20"/>
                <w:u w:val="single"/>
                <w:lang w:val="en-GB" w:eastAsia="ja-JP" w:bidi="hi-IN"/>
              </w:rPr>
            </w:pPr>
            <w:r w:rsidRPr="00982A36">
              <w:rPr>
                <w:rFonts w:eastAsia="Yu Mincho" w:hint="eastAsia"/>
                <w:sz w:val="20"/>
                <w:szCs w:val="20"/>
                <w:u w:val="single"/>
                <w:lang w:val="en-GB" w:eastAsia="ja-JP" w:bidi="hi-IN"/>
              </w:rPr>
              <w:t>C</w:t>
            </w:r>
            <w:r w:rsidRPr="00982A36">
              <w:rPr>
                <w:rFonts w:eastAsia="Yu Mincho"/>
                <w:sz w:val="20"/>
                <w:szCs w:val="20"/>
                <w:u w:val="single"/>
                <w:lang w:val="en-GB" w:eastAsia="ja-JP" w:bidi="hi-IN"/>
              </w:rPr>
              <w:t>ase 2: EN-DC single-Tx with FDD-</w:t>
            </w:r>
            <w:proofErr w:type="spellStart"/>
            <w:r w:rsidRPr="00982A36">
              <w:rPr>
                <w:rFonts w:eastAsia="Yu Mincho"/>
                <w:sz w:val="20"/>
                <w:szCs w:val="20"/>
                <w:u w:val="single"/>
                <w:lang w:val="en-GB" w:eastAsia="ja-JP" w:bidi="hi-IN"/>
              </w:rPr>
              <w:t>PCell</w:t>
            </w:r>
            <w:proofErr w:type="spellEnd"/>
          </w:p>
          <w:p w14:paraId="35E6E0FC" w14:textId="77777777" w:rsidR="004C6B69" w:rsidRDefault="004C6B69" w:rsidP="004C6B69">
            <w:pPr>
              <w:rPr>
                <w:rFonts w:eastAsia="Yu Mincho"/>
                <w:sz w:val="20"/>
                <w:szCs w:val="20"/>
                <w:lang w:val="en-GB" w:eastAsia="ja-JP" w:bidi="hi-IN"/>
              </w:rPr>
            </w:pPr>
            <w:r>
              <w:rPr>
                <w:rFonts w:eastAsia="Yu Mincho" w:hint="eastAsia"/>
                <w:sz w:val="20"/>
                <w:szCs w:val="20"/>
                <w:lang w:val="en-GB" w:eastAsia="ja-JP" w:bidi="hi-IN"/>
              </w:rPr>
              <w:t>F</w:t>
            </w:r>
            <w:r>
              <w:rPr>
                <w:rFonts w:eastAsia="Yu Mincho"/>
                <w:sz w:val="20"/>
                <w:szCs w:val="20"/>
                <w:lang w:val="en-GB" w:eastAsia="ja-JP" w:bidi="hi-IN"/>
              </w:rPr>
              <w:t>or EN-DC single-Tx with FDD-</w:t>
            </w:r>
            <w:proofErr w:type="spellStart"/>
            <w:r>
              <w:rPr>
                <w:rFonts w:eastAsia="Yu Mincho"/>
                <w:sz w:val="20"/>
                <w:szCs w:val="20"/>
                <w:lang w:val="en-GB" w:eastAsia="ja-JP" w:bidi="hi-IN"/>
              </w:rPr>
              <w:t>PCell</w:t>
            </w:r>
            <w:proofErr w:type="spellEnd"/>
            <w:r>
              <w:rPr>
                <w:rFonts w:eastAsia="Yu Mincho"/>
                <w:sz w:val="20"/>
                <w:szCs w:val="20"/>
                <w:lang w:val="en-GB" w:eastAsia="ja-JP" w:bidi="hi-IN"/>
              </w:rPr>
              <w:t xml:space="preserve">, there has been a FG6-13 that supports EN-DC single-Tx operation using </w:t>
            </w:r>
            <w:r w:rsidRPr="00910D9E">
              <w:rPr>
                <w:rFonts w:eastAsia="Yu Mincho"/>
                <w:i/>
                <w:iCs/>
                <w:sz w:val="20"/>
                <w:szCs w:val="20"/>
                <w:lang w:val="en-GB" w:eastAsia="ja-JP" w:bidi="hi-IN"/>
              </w:rPr>
              <w:t>tdm-PatternConfig-</w:t>
            </w:r>
            <w:proofErr w:type="gramStart"/>
            <w:r w:rsidRPr="00910D9E">
              <w:rPr>
                <w:rFonts w:eastAsia="Yu Mincho"/>
                <w:i/>
                <w:iCs/>
                <w:sz w:val="20"/>
                <w:szCs w:val="20"/>
                <w:lang w:val="en-GB" w:eastAsia="ja-JP" w:bidi="hi-IN"/>
              </w:rPr>
              <w:t>r15</w:t>
            </w:r>
            <w:proofErr w:type="gramEnd"/>
            <w:r>
              <w:rPr>
                <w:rFonts w:eastAsia="Yu Mincho"/>
                <w:sz w:val="20"/>
                <w:szCs w:val="20"/>
                <w:lang w:val="en-GB" w:eastAsia="ja-JP" w:bidi="hi-IN"/>
              </w:rPr>
              <w:t xml:space="preserve"> but all LTE UL transmissions are confined within the offset-UL subframes. FG18-2a can work same as FG18-3a to FG18-2, i.e., if the UE supports FG18-3a, then the UE is able to transmit LTE UL on a subframe other than offset-UL subframes.</w:t>
            </w:r>
          </w:p>
          <w:p w14:paraId="7551F36B" w14:textId="77777777" w:rsidR="004C6B69" w:rsidRDefault="004C6B69" w:rsidP="004C6B69">
            <w:pPr>
              <w:rPr>
                <w:rFonts w:eastAsia="Yu Mincho"/>
                <w:sz w:val="20"/>
                <w:szCs w:val="20"/>
                <w:lang w:val="en-GB" w:eastAsia="ja-JP" w:bidi="hi-IN"/>
              </w:rPr>
            </w:pPr>
            <w:r>
              <w:rPr>
                <w:rFonts w:eastAsia="Yu Mincho" w:hint="eastAsia"/>
                <w:sz w:val="20"/>
                <w:szCs w:val="20"/>
                <w:lang w:val="en-GB" w:eastAsia="ja-JP" w:bidi="hi-IN"/>
              </w:rPr>
              <w:t>I</w:t>
            </w:r>
            <w:r>
              <w:rPr>
                <w:rFonts w:eastAsia="Yu Mincho"/>
                <w:sz w:val="20"/>
                <w:szCs w:val="20"/>
                <w:lang w:val="en-GB" w:eastAsia="ja-JP" w:bidi="hi-IN"/>
              </w:rPr>
              <w:t>f the clarifications of FGs as above are achieved, then there are two categories of UEs: one UE category can transmit LTE UL only within offset-UL subframes, and the other UE category can transmit LTE UL any UL subframes. The proposal “(1) the UE drops NR UL if it collides with LTE UL in the offset-UL subframes, and (2) the UE does not expect collision of NR UL with LTE UL in a subframe other than offset-UL subframes” does requires UE the common behaviour for NR side. This is why Option 3 has the text below:</w:t>
            </w:r>
          </w:p>
          <w:p w14:paraId="63F441D6" w14:textId="77777777" w:rsidR="004C6B69" w:rsidRPr="00265161" w:rsidRDefault="004C6B69" w:rsidP="004C6B69">
            <w:pPr>
              <w:ind w:left="568" w:hanging="284"/>
              <w:jc w:val="left"/>
              <w:rPr>
                <w:rFonts w:eastAsia="Yu Mincho"/>
                <w:color w:val="FF0000"/>
                <w:sz w:val="20"/>
                <w:szCs w:val="20"/>
                <w:u w:val="single"/>
              </w:rPr>
            </w:pPr>
            <w:r w:rsidRPr="00265161">
              <w:rPr>
                <w:rFonts w:eastAsia="Yu Mincho"/>
                <w:color w:val="FF0000"/>
                <w:sz w:val="20"/>
                <w:szCs w:val="20"/>
                <w:u w:val="single"/>
                <w:lang w:val="x-none"/>
              </w:rPr>
              <w:t xml:space="preserve">If the UE </w:t>
            </w:r>
            <w:r w:rsidRPr="00265161">
              <w:rPr>
                <w:rFonts w:eastAsia="Yu Mincho"/>
                <w:color w:val="FF0000"/>
                <w:sz w:val="20"/>
                <w:szCs w:val="20"/>
                <w:u w:val="single"/>
              </w:rPr>
              <w:t xml:space="preserve">is </w:t>
            </w:r>
            <w:r w:rsidRPr="00265161">
              <w:rPr>
                <w:rFonts w:eastAsia="Yu Mincho" w:hint="eastAsia"/>
                <w:color w:val="FF0000"/>
                <w:sz w:val="20"/>
                <w:szCs w:val="20"/>
                <w:u w:val="single"/>
                <w:lang w:val="x-none"/>
              </w:rPr>
              <w:t>configured</w:t>
            </w:r>
            <w:r w:rsidRPr="00265161">
              <w:rPr>
                <w:rFonts w:eastAsia="Yu Mincho"/>
                <w:color w:val="FF0000"/>
                <w:sz w:val="20"/>
                <w:szCs w:val="20"/>
                <w:u w:val="single"/>
                <w:lang w:val="x-none"/>
              </w:rPr>
              <w:t xml:space="preserve"> </w:t>
            </w:r>
            <w:r w:rsidRPr="00265161">
              <w:rPr>
                <w:rFonts w:eastAsia="Yu Mincho" w:hint="eastAsia"/>
                <w:color w:val="FF0000"/>
                <w:sz w:val="20"/>
                <w:szCs w:val="20"/>
                <w:u w:val="single"/>
                <w:lang w:val="x-none"/>
              </w:rPr>
              <w:t xml:space="preserve">with </w:t>
            </w:r>
            <w:r w:rsidRPr="00265161">
              <w:rPr>
                <w:rFonts w:eastAsia="Yu Mincho"/>
                <w:color w:val="FF0000"/>
                <w:sz w:val="20"/>
                <w:szCs w:val="20"/>
                <w:u w:val="single"/>
                <w:lang w:val="x-none"/>
              </w:rPr>
              <w:t>reference TDD configuration</w:t>
            </w:r>
            <w:r w:rsidRPr="00265161">
              <w:rPr>
                <w:rFonts w:eastAsia="Yu Mincho" w:hint="eastAsia"/>
                <w:color w:val="FF0000"/>
                <w:sz w:val="20"/>
                <w:szCs w:val="20"/>
                <w:u w:val="single"/>
                <w:lang w:val="x-none"/>
              </w:rPr>
              <w:t xml:space="preserve"> </w:t>
            </w:r>
            <w:r w:rsidRPr="00265161">
              <w:rPr>
                <w:rFonts w:eastAsia="Yu Mincho"/>
                <w:color w:val="FF0000"/>
                <w:sz w:val="20"/>
                <w:szCs w:val="20"/>
                <w:u w:val="single"/>
              </w:rPr>
              <w:t xml:space="preserve">for E-UTRA (by </w:t>
            </w:r>
            <w:r w:rsidRPr="00265161">
              <w:rPr>
                <w:rFonts w:eastAsia="Yu Mincho"/>
                <w:i/>
                <w:iCs/>
                <w:color w:val="FF0000"/>
                <w:sz w:val="20"/>
                <w:szCs w:val="20"/>
                <w:u w:val="single"/>
                <w:lang w:val="x-none"/>
              </w:rPr>
              <w:t>tdm-PatternConfig-r16</w:t>
            </w:r>
            <w:r w:rsidRPr="00265161">
              <w:rPr>
                <w:rFonts w:eastAsia="Yu Mincho"/>
                <w:color w:val="FF0000"/>
                <w:sz w:val="20"/>
                <w:szCs w:val="20"/>
                <w:u w:val="single"/>
                <w:lang w:val="x-none"/>
              </w:rPr>
              <w:t xml:space="preserve"> </w:t>
            </w:r>
            <w:r w:rsidRPr="00265161">
              <w:rPr>
                <w:rFonts w:eastAsia="Yu Mincho"/>
                <w:color w:val="FF0000"/>
                <w:sz w:val="20"/>
                <w:szCs w:val="20"/>
                <w:u w:val="single"/>
              </w:rPr>
              <w:t xml:space="preserve">in </w:t>
            </w:r>
            <w:r w:rsidRPr="00265161">
              <w:rPr>
                <w:rFonts w:eastAsia="Yu Mincho" w:hint="eastAsia"/>
                <w:color w:val="FF0000"/>
                <w:sz w:val="20"/>
                <w:szCs w:val="20"/>
                <w:u w:val="single"/>
                <w:lang w:val="x-none"/>
              </w:rPr>
              <w:t>[13, TS</w:t>
            </w:r>
            <w:r w:rsidRPr="00265161">
              <w:rPr>
                <w:rFonts w:eastAsia="Yu Mincho"/>
                <w:color w:val="FF0000"/>
                <w:sz w:val="20"/>
                <w:szCs w:val="20"/>
                <w:u w:val="single"/>
                <w:lang w:val="x-none"/>
              </w:rPr>
              <w:t xml:space="preserve"> </w:t>
            </w:r>
            <w:r w:rsidRPr="00265161">
              <w:rPr>
                <w:rFonts w:eastAsia="Yu Mincho" w:hint="eastAsia"/>
                <w:color w:val="FF0000"/>
                <w:sz w:val="20"/>
                <w:szCs w:val="20"/>
                <w:u w:val="single"/>
                <w:lang w:val="x-none"/>
              </w:rPr>
              <w:t>36.213]</w:t>
            </w:r>
            <w:r w:rsidRPr="00265161">
              <w:rPr>
                <w:rFonts w:eastAsia="Yu Mincho"/>
                <w:color w:val="FF0000"/>
                <w:sz w:val="20"/>
                <w:szCs w:val="20"/>
                <w:u w:val="single"/>
              </w:rPr>
              <w:t xml:space="preserve">), </w:t>
            </w:r>
          </w:p>
          <w:p w14:paraId="2C8E9339" w14:textId="77777777" w:rsidR="004C6B69" w:rsidRPr="00265161" w:rsidRDefault="004C6B69" w:rsidP="004C6B69">
            <w:pPr>
              <w:ind w:left="851" w:hanging="284"/>
              <w:jc w:val="left"/>
              <w:rPr>
                <w:rFonts w:eastAsia="Yu Mincho"/>
                <w:color w:val="FF0000"/>
                <w:sz w:val="20"/>
                <w:szCs w:val="20"/>
                <w:u w:val="single"/>
                <w:lang w:val="x-none"/>
              </w:rPr>
            </w:pPr>
            <w:r w:rsidRPr="00265161">
              <w:rPr>
                <w:rFonts w:eastAsia="Yu Mincho"/>
                <w:color w:val="FF0000"/>
                <w:sz w:val="20"/>
                <w:szCs w:val="20"/>
                <w:u w:val="single"/>
              </w:rPr>
              <w:t>-</w:t>
            </w:r>
            <w:r w:rsidRPr="00265161">
              <w:rPr>
                <w:rFonts w:eastAsia="Yu Mincho"/>
                <w:color w:val="FF0000"/>
                <w:sz w:val="20"/>
                <w:szCs w:val="20"/>
                <w:u w:val="single"/>
              </w:rPr>
              <w:tab/>
              <w:t>the UE does not transmit on the SCG in FR1 when the UE has overlapped transmission on an UL-offset subframe (as specified in [13, TS 36.213]) on the MCG</w:t>
            </w:r>
          </w:p>
          <w:p w14:paraId="74B2BB6F" w14:textId="77777777" w:rsidR="004C6B69" w:rsidRDefault="004C6B69" w:rsidP="004C6B69">
            <w:pPr>
              <w:ind w:left="851" w:hanging="284"/>
              <w:jc w:val="left"/>
              <w:rPr>
                <w:rFonts w:eastAsia="Yu Mincho"/>
                <w:sz w:val="20"/>
                <w:szCs w:val="20"/>
                <w:lang w:val="en-GB" w:eastAsia="ja-JP" w:bidi="hi-IN"/>
              </w:rPr>
            </w:pPr>
            <w:r w:rsidRPr="00265161">
              <w:rPr>
                <w:rFonts w:eastAsia="Yu Mincho"/>
                <w:color w:val="FF0000"/>
                <w:sz w:val="20"/>
                <w:szCs w:val="20"/>
                <w:u w:val="single"/>
              </w:rPr>
              <w:t>-</w:t>
            </w:r>
            <w:r w:rsidRPr="00265161">
              <w:rPr>
                <w:rFonts w:eastAsia="Yu Mincho"/>
                <w:color w:val="FF0000"/>
                <w:sz w:val="20"/>
                <w:szCs w:val="20"/>
                <w:u w:val="single"/>
              </w:rPr>
              <w:tab/>
              <w:t>the UE does not expect to be configured or indicated to transmit on the SCG in FR1 when the UE has overlapped transmission on a subframe other than the UL-offset subframes (as specified in [13, TS 36.213]) on the MCG</w:t>
            </w:r>
          </w:p>
          <w:p w14:paraId="325F37E0" w14:textId="77777777" w:rsidR="004C6B69" w:rsidRDefault="004C6B69" w:rsidP="004C6B69">
            <w:pPr>
              <w:rPr>
                <w:sz w:val="20"/>
                <w:szCs w:val="20"/>
                <w:lang w:eastAsia="ja-JP" w:bidi="hi-IN"/>
              </w:rPr>
            </w:pPr>
          </w:p>
        </w:tc>
      </w:tr>
      <w:tr w:rsidR="00C83685" w14:paraId="58EF6147" w14:textId="77777777" w:rsidTr="004C6B69">
        <w:tc>
          <w:tcPr>
            <w:tcW w:w="985" w:type="dxa"/>
          </w:tcPr>
          <w:p w14:paraId="2372170D" w14:textId="62D4A84E" w:rsidR="00C83685" w:rsidRDefault="00C83685" w:rsidP="004C6B69">
            <w:pPr>
              <w:rPr>
                <w:rFonts w:eastAsia="Yu Mincho"/>
                <w:sz w:val="20"/>
                <w:szCs w:val="20"/>
                <w:lang w:eastAsia="ja-JP" w:bidi="hi-IN"/>
              </w:rPr>
            </w:pPr>
            <w:r>
              <w:rPr>
                <w:rFonts w:eastAsia="Yu Mincho"/>
                <w:sz w:val="20"/>
                <w:szCs w:val="20"/>
                <w:lang w:eastAsia="ja-JP" w:bidi="hi-IN"/>
              </w:rPr>
              <w:lastRenderedPageBreak/>
              <w:t>Ericsson</w:t>
            </w:r>
          </w:p>
        </w:tc>
        <w:tc>
          <w:tcPr>
            <w:tcW w:w="8644" w:type="dxa"/>
          </w:tcPr>
          <w:p w14:paraId="0EA47959" w14:textId="1D9FA739" w:rsidR="00C83685" w:rsidRDefault="003B49B6" w:rsidP="004C6B69">
            <w:pPr>
              <w:rPr>
                <w:rFonts w:eastAsiaTheme="minorEastAsia"/>
                <w:sz w:val="20"/>
                <w:szCs w:val="20"/>
                <w:lang w:bidi="hi-IN"/>
              </w:rPr>
            </w:pPr>
            <w:r w:rsidRPr="00C83685">
              <w:rPr>
                <w:rFonts w:eastAsiaTheme="minorEastAsia"/>
                <w:sz w:val="20"/>
                <w:szCs w:val="20"/>
                <w:lang w:bidi="hi-IN"/>
              </w:rPr>
              <w:t>NW ha</w:t>
            </w:r>
            <w:r>
              <w:rPr>
                <w:rFonts w:eastAsiaTheme="minorEastAsia"/>
                <w:sz w:val="20"/>
                <w:szCs w:val="20"/>
                <w:lang w:bidi="hi-IN"/>
              </w:rPr>
              <w:t xml:space="preserve">s </w:t>
            </w:r>
            <w:r w:rsidRPr="00C83685">
              <w:rPr>
                <w:rFonts w:eastAsiaTheme="minorEastAsia"/>
                <w:sz w:val="20"/>
                <w:szCs w:val="20"/>
                <w:lang w:bidi="hi-IN"/>
              </w:rPr>
              <w:t xml:space="preserve">to know </w:t>
            </w:r>
            <w:r>
              <w:rPr>
                <w:rFonts w:eastAsiaTheme="minorEastAsia"/>
                <w:sz w:val="20"/>
                <w:szCs w:val="20"/>
                <w:lang w:bidi="hi-IN"/>
              </w:rPr>
              <w:t xml:space="preserve">whether </w:t>
            </w:r>
            <w:r w:rsidRPr="00C83685">
              <w:rPr>
                <w:rFonts w:eastAsiaTheme="minorEastAsia"/>
                <w:sz w:val="20"/>
                <w:szCs w:val="20"/>
                <w:lang w:bidi="hi-IN"/>
              </w:rPr>
              <w:t xml:space="preserve">UE supports </w:t>
            </w:r>
            <w:r w:rsidR="00E05D11">
              <w:rPr>
                <w:rFonts w:eastAsiaTheme="minorEastAsia"/>
                <w:sz w:val="20"/>
                <w:szCs w:val="20"/>
                <w:lang w:bidi="hi-IN"/>
              </w:rPr>
              <w:t>corresponding</w:t>
            </w:r>
            <w:r>
              <w:rPr>
                <w:rFonts w:eastAsiaTheme="minorEastAsia"/>
                <w:sz w:val="20"/>
                <w:szCs w:val="20"/>
                <w:lang w:bidi="hi-IN"/>
              </w:rPr>
              <w:t xml:space="preserve"> behavior </w:t>
            </w:r>
            <w:r w:rsidRPr="00C83685">
              <w:rPr>
                <w:rFonts w:eastAsiaTheme="minorEastAsia"/>
                <w:sz w:val="20"/>
                <w:szCs w:val="20"/>
                <w:lang w:bidi="hi-IN"/>
              </w:rPr>
              <w:t xml:space="preserve">before it can configure </w:t>
            </w:r>
            <w:r w:rsidR="00E05D11">
              <w:rPr>
                <w:rFonts w:eastAsiaTheme="minorEastAsia"/>
                <w:sz w:val="20"/>
                <w:szCs w:val="20"/>
                <w:lang w:bidi="hi-IN"/>
              </w:rPr>
              <w:t xml:space="preserve">the parameter </w:t>
            </w:r>
            <w:r w:rsidRPr="00C83685">
              <w:rPr>
                <w:rFonts w:eastAsiaTheme="minorEastAsia"/>
                <w:sz w:val="20"/>
                <w:szCs w:val="20"/>
                <w:lang w:bidi="hi-IN"/>
              </w:rPr>
              <w:t>for the UE</w:t>
            </w:r>
            <w:r>
              <w:rPr>
                <w:rFonts w:eastAsiaTheme="minorEastAsia"/>
                <w:sz w:val="20"/>
                <w:szCs w:val="20"/>
                <w:lang w:bidi="hi-IN"/>
              </w:rPr>
              <w:t xml:space="preserve">. This is determined by capability signaling. </w:t>
            </w:r>
            <w:r w:rsidR="00C83685">
              <w:rPr>
                <w:rFonts w:eastAsiaTheme="minorEastAsia"/>
                <w:sz w:val="20"/>
                <w:szCs w:val="20"/>
                <w:lang w:bidi="hi-IN"/>
              </w:rPr>
              <w:t xml:space="preserve"> </w:t>
            </w:r>
            <w:r>
              <w:rPr>
                <w:rFonts w:eastAsiaTheme="minorEastAsia"/>
                <w:sz w:val="20"/>
                <w:szCs w:val="20"/>
                <w:lang w:bidi="hi-IN"/>
              </w:rPr>
              <w:t>S</w:t>
            </w:r>
            <w:r w:rsidR="00C83685">
              <w:rPr>
                <w:rFonts w:eastAsiaTheme="minorEastAsia"/>
                <w:sz w:val="20"/>
                <w:szCs w:val="20"/>
                <w:lang w:bidi="hi-IN"/>
              </w:rPr>
              <w:t>pecifically</w:t>
            </w:r>
          </w:p>
          <w:p w14:paraId="432C9783" w14:textId="3DB38675" w:rsidR="00C83685" w:rsidRDefault="00E05D11" w:rsidP="00C83685">
            <w:pPr>
              <w:pStyle w:val="ListParagraph"/>
              <w:numPr>
                <w:ilvl w:val="0"/>
                <w:numId w:val="30"/>
              </w:numPr>
              <w:rPr>
                <w:rFonts w:eastAsiaTheme="minorEastAsia"/>
                <w:sz w:val="20"/>
                <w:szCs w:val="20"/>
              </w:rPr>
            </w:pPr>
            <w:r w:rsidRPr="00E05D11">
              <w:rPr>
                <w:rFonts w:eastAsiaTheme="minorEastAsia"/>
                <w:sz w:val="20"/>
                <w:szCs w:val="20"/>
              </w:rPr>
              <w:lastRenderedPageBreak/>
              <w:t>For</w:t>
            </w:r>
            <w:r>
              <w:rPr>
                <w:rFonts w:eastAsiaTheme="minorEastAsia"/>
                <w:i/>
                <w:iCs/>
                <w:sz w:val="20"/>
                <w:szCs w:val="20"/>
              </w:rPr>
              <w:t xml:space="preserve"> </w:t>
            </w:r>
            <w:r w:rsidR="00C83685" w:rsidRPr="003B49B6">
              <w:rPr>
                <w:rFonts w:eastAsiaTheme="minorEastAsia"/>
                <w:i/>
                <w:iCs/>
                <w:sz w:val="20"/>
                <w:szCs w:val="20"/>
              </w:rPr>
              <w:t>tdm-PatternConfig-r15</w:t>
            </w:r>
            <w:r w:rsidR="00C83685" w:rsidRPr="00C83685">
              <w:rPr>
                <w:rFonts w:eastAsiaTheme="minorEastAsia"/>
                <w:sz w:val="20"/>
                <w:szCs w:val="20"/>
              </w:rPr>
              <w:t xml:space="preserve"> </w:t>
            </w:r>
            <w:r w:rsidR="00C83685" w:rsidRPr="00C83685">
              <w:sym w:font="Wingdings" w:char="F0E0"/>
            </w:r>
            <w:r w:rsidR="00C83685" w:rsidRPr="00C83685">
              <w:rPr>
                <w:rFonts w:eastAsiaTheme="minorEastAsia"/>
                <w:sz w:val="20"/>
                <w:szCs w:val="20"/>
              </w:rPr>
              <w:t xml:space="preserve"> </w:t>
            </w:r>
            <w:r w:rsidR="003B49B6">
              <w:rPr>
                <w:rFonts w:eastAsiaTheme="minorEastAsia"/>
                <w:sz w:val="20"/>
                <w:szCs w:val="20"/>
              </w:rPr>
              <w:t xml:space="preserve">NW </w:t>
            </w:r>
            <w:r w:rsidR="00C83685" w:rsidRPr="00C83685">
              <w:rPr>
                <w:rFonts w:eastAsiaTheme="minorEastAsia"/>
                <w:sz w:val="20"/>
                <w:szCs w:val="20"/>
              </w:rPr>
              <w:t>know</w:t>
            </w:r>
            <w:r w:rsidR="00C83685">
              <w:rPr>
                <w:rFonts w:eastAsiaTheme="minorEastAsia"/>
                <w:sz w:val="20"/>
                <w:szCs w:val="20"/>
              </w:rPr>
              <w:t>s</w:t>
            </w:r>
            <w:r w:rsidR="00C83685" w:rsidRPr="00C83685">
              <w:rPr>
                <w:rFonts w:eastAsiaTheme="minorEastAsia"/>
                <w:sz w:val="20"/>
                <w:szCs w:val="20"/>
              </w:rPr>
              <w:t xml:space="preserve"> via </w:t>
            </w:r>
            <w:proofErr w:type="spellStart"/>
            <w:r w:rsidR="00C83685" w:rsidRPr="003B49B6">
              <w:rPr>
                <w:rFonts w:eastAsiaTheme="minorEastAsia"/>
                <w:i/>
                <w:iCs/>
                <w:sz w:val="20"/>
                <w:szCs w:val="20"/>
              </w:rPr>
              <w:t>tdm</w:t>
            </w:r>
            <w:proofErr w:type="spellEnd"/>
            <w:r w:rsidR="00C83685" w:rsidRPr="003B49B6">
              <w:rPr>
                <w:rFonts w:eastAsiaTheme="minorEastAsia"/>
                <w:i/>
                <w:iCs/>
                <w:sz w:val="20"/>
                <w:szCs w:val="20"/>
              </w:rPr>
              <w:t>-Pattern</w:t>
            </w:r>
            <w:r w:rsidR="00C83685" w:rsidRPr="00C83685">
              <w:rPr>
                <w:rFonts w:eastAsiaTheme="minorEastAsia"/>
                <w:sz w:val="20"/>
                <w:szCs w:val="20"/>
              </w:rPr>
              <w:t xml:space="preserve"> UE capability</w:t>
            </w:r>
            <w:r w:rsidR="00C83685">
              <w:rPr>
                <w:rFonts w:eastAsiaTheme="minorEastAsia"/>
                <w:sz w:val="20"/>
                <w:szCs w:val="20"/>
              </w:rPr>
              <w:t xml:space="preserve"> </w:t>
            </w:r>
            <w:r w:rsidR="003B49B6">
              <w:rPr>
                <w:rFonts w:eastAsiaTheme="minorEastAsia"/>
                <w:sz w:val="20"/>
                <w:szCs w:val="20"/>
              </w:rPr>
              <w:t>indication</w:t>
            </w:r>
          </w:p>
          <w:p w14:paraId="1811A083" w14:textId="3D2313CE" w:rsidR="00C83685" w:rsidRPr="00542477" w:rsidRDefault="00CB3C3B" w:rsidP="0071007F">
            <w:pPr>
              <w:pStyle w:val="ListParagraph"/>
              <w:numPr>
                <w:ilvl w:val="0"/>
                <w:numId w:val="30"/>
              </w:numPr>
              <w:rPr>
                <w:rFonts w:eastAsia="Yu Mincho"/>
                <w:sz w:val="20"/>
                <w:szCs w:val="20"/>
              </w:rPr>
            </w:pPr>
            <w:r w:rsidRPr="00542477">
              <w:rPr>
                <w:rFonts w:eastAsiaTheme="minorEastAsia"/>
                <w:sz w:val="20"/>
                <w:szCs w:val="20"/>
              </w:rPr>
              <w:t>For</w:t>
            </w:r>
            <w:r w:rsidRPr="00542477">
              <w:rPr>
                <w:rFonts w:eastAsiaTheme="minorEastAsia"/>
                <w:i/>
                <w:iCs/>
                <w:sz w:val="20"/>
                <w:szCs w:val="20"/>
              </w:rPr>
              <w:t xml:space="preserve"> tdm-PatternConfig-r16</w:t>
            </w:r>
            <w:r w:rsidRPr="00542477">
              <w:rPr>
                <w:rFonts w:eastAsiaTheme="minorEastAsia"/>
                <w:sz w:val="20"/>
                <w:szCs w:val="20"/>
              </w:rPr>
              <w:t xml:space="preserve"> </w:t>
            </w:r>
            <w:r w:rsidRPr="00C83685">
              <w:sym w:font="Wingdings" w:char="F0E0"/>
            </w:r>
            <w:r w:rsidRPr="00542477">
              <w:rPr>
                <w:rFonts w:eastAsiaTheme="minorEastAsia"/>
                <w:sz w:val="20"/>
                <w:szCs w:val="20"/>
              </w:rPr>
              <w:t xml:space="preserve"> </w:t>
            </w:r>
            <w:r w:rsidR="004644C0" w:rsidRPr="00542477">
              <w:rPr>
                <w:rFonts w:eastAsiaTheme="minorEastAsia"/>
                <w:sz w:val="20"/>
                <w:szCs w:val="20"/>
              </w:rPr>
              <w:t>UE capabilities are still being discussed</w:t>
            </w:r>
          </w:p>
          <w:p w14:paraId="6AEB1E1E" w14:textId="20BD4520" w:rsidR="00C83685" w:rsidRDefault="00C83685" w:rsidP="004C6B69">
            <w:pPr>
              <w:rPr>
                <w:rFonts w:eastAsia="Yu Mincho"/>
                <w:sz w:val="20"/>
                <w:szCs w:val="20"/>
                <w:lang w:eastAsia="ja-JP" w:bidi="hi-IN"/>
              </w:rPr>
            </w:pPr>
          </w:p>
        </w:tc>
      </w:tr>
      <w:tr w:rsidR="00004039" w14:paraId="6196FF37" w14:textId="77777777" w:rsidTr="00004039">
        <w:tc>
          <w:tcPr>
            <w:tcW w:w="985" w:type="dxa"/>
          </w:tcPr>
          <w:p w14:paraId="6AA5D878" w14:textId="126E81E1" w:rsidR="00004039" w:rsidRPr="00004039" w:rsidRDefault="00004039" w:rsidP="00004039">
            <w:pPr>
              <w:rPr>
                <w:rFonts w:eastAsia="Malgun Gothic"/>
                <w:sz w:val="20"/>
                <w:szCs w:val="20"/>
                <w:lang w:eastAsia="ko-KR" w:bidi="hi-IN"/>
              </w:rPr>
            </w:pPr>
            <w:r>
              <w:rPr>
                <w:rFonts w:eastAsia="Malgun Gothic" w:hint="eastAsia"/>
                <w:sz w:val="20"/>
                <w:szCs w:val="20"/>
                <w:lang w:eastAsia="ko-KR" w:bidi="hi-IN"/>
              </w:rPr>
              <w:lastRenderedPageBreak/>
              <w:t>Samsung</w:t>
            </w:r>
          </w:p>
        </w:tc>
        <w:tc>
          <w:tcPr>
            <w:tcW w:w="8644" w:type="dxa"/>
          </w:tcPr>
          <w:p w14:paraId="776E67F4" w14:textId="0D5868F6" w:rsidR="00004039" w:rsidRPr="00C83685" w:rsidRDefault="00166A2E" w:rsidP="00166A2E">
            <w:pPr>
              <w:rPr>
                <w:rFonts w:eastAsiaTheme="minorEastAsia"/>
                <w:sz w:val="20"/>
                <w:szCs w:val="20"/>
                <w:lang w:bidi="hi-IN"/>
              </w:rPr>
            </w:pPr>
            <w:r>
              <w:rPr>
                <w:rFonts w:eastAsiaTheme="minorEastAsia"/>
                <w:sz w:val="20"/>
                <w:szCs w:val="20"/>
                <w:lang w:bidi="hi-IN"/>
              </w:rPr>
              <w:t>Yes. T</w:t>
            </w:r>
            <w:r w:rsidR="00004039">
              <w:rPr>
                <w:rFonts w:eastAsiaTheme="minorEastAsia"/>
                <w:sz w:val="20"/>
                <w:szCs w:val="20"/>
                <w:lang w:bidi="hi-IN"/>
              </w:rPr>
              <w:t xml:space="preserve">here are </w:t>
            </w:r>
            <w:r w:rsidR="00004039" w:rsidRPr="00004039">
              <w:rPr>
                <w:rFonts w:eastAsiaTheme="minorEastAsia"/>
                <w:sz w:val="20"/>
                <w:szCs w:val="20"/>
                <w:lang w:bidi="hi-IN"/>
              </w:rPr>
              <w:t>other case</w:t>
            </w:r>
            <w:r w:rsidR="00004039">
              <w:rPr>
                <w:rFonts w:eastAsiaTheme="minorEastAsia"/>
                <w:sz w:val="20"/>
                <w:szCs w:val="20"/>
                <w:lang w:bidi="hi-IN"/>
              </w:rPr>
              <w:t>s</w:t>
            </w:r>
            <w:r w:rsidR="00004039" w:rsidRPr="00004039">
              <w:rPr>
                <w:rFonts w:eastAsiaTheme="minorEastAsia"/>
                <w:sz w:val="20"/>
                <w:szCs w:val="20"/>
                <w:lang w:bidi="hi-IN"/>
              </w:rPr>
              <w:t xml:space="preserve"> where network can configure a UE with </w:t>
            </w:r>
            <w:r w:rsidR="00004039" w:rsidRPr="00004039">
              <w:rPr>
                <w:rFonts w:eastAsiaTheme="minorEastAsia"/>
                <w:i/>
                <w:sz w:val="20"/>
                <w:szCs w:val="20"/>
                <w:lang w:bidi="hi-IN"/>
              </w:rPr>
              <w:t xml:space="preserve">tdm-PatternConfig-r16 </w:t>
            </w:r>
            <w:r w:rsidR="00004039">
              <w:rPr>
                <w:rFonts w:eastAsiaTheme="minorEastAsia"/>
                <w:sz w:val="20"/>
                <w:szCs w:val="20"/>
                <w:lang w:bidi="hi-IN"/>
              </w:rPr>
              <w:t xml:space="preserve">which can be justified by the wording “the feature is optional otherwise” in </w:t>
            </w:r>
            <w:proofErr w:type="spellStart"/>
            <w:r w:rsidR="00004039" w:rsidRPr="00004039">
              <w:rPr>
                <w:rFonts w:eastAsiaTheme="minorEastAsia"/>
                <w:i/>
                <w:sz w:val="20"/>
                <w:szCs w:val="20"/>
                <w:lang w:bidi="hi-IN"/>
              </w:rPr>
              <w:t>tdm</w:t>
            </w:r>
            <w:proofErr w:type="spellEnd"/>
            <w:r w:rsidR="00004039" w:rsidRPr="00004039">
              <w:rPr>
                <w:rFonts w:eastAsiaTheme="minorEastAsia"/>
                <w:i/>
                <w:sz w:val="20"/>
                <w:szCs w:val="20"/>
                <w:lang w:bidi="hi-IN"/>
              </w:rPr>
              <w:t>-Pattern</w:t>
            </w:r>
            <w:r w:rsidR="00004039">
              <w:rPr>
                <w:rFonts w:eastAsiaTheme="minorEastAsia"/>
                <w:sz w:val="20"/>
                <w:szCs w:val="20"/>
                <w:lang w:bidi="hi-IN"/>
              </w:rPr>
              <w:t xml:space="preserve"> highlighted by ZTE. </w:t>
            </w:r>
          </w:p>
        </w:tc>
      </w:tr>
      <w:tr w:rsidR="00054970" w14:paraId="54232417" w14:textId="77777777" w:rsidTr="00004039">
        <w:tc>
          <w:tcPr>
            <w:tcW w:w="985" w:type="dxa"/>
          </w:tcPr>
          <w:p w14:paraId="15848D5B" w14:textId="058E8CF8" w:rsidR="00054970" w:rsidRDefault="00054970" w:rsidP="00004039">
            <w:pPr>
              <w:rPr>
                <w:rFonts w:eastAsia="Malgun Gothic"/>
                <w:sz w:val="20"/>
                <w:szCs w:val="20"/>
                <w:lang w:eastAsia="ko-KR" w:bidi="hi-IN"/>
              </w:rPr>
            </w:pPr>
            <w:r>
              <w:rPr>
                <w:rFonts w:eastAsia="Malgun Gothic"/>
                <w:sz w:val="20"/>
                <w:szCs w:val="20"/>
                <w:lang w:eastAsia="ko-KR" w:bidi="hi-IN"/>
              </w:rPr>
              <w:t>Nokia</w:t>
            </w:r>
          </w:p>
        </w:tc>
        <w:tc>
          <w:tcPr>
            <w:tcW w:w="8644" w:type="dxa"/>
          </w:tcPr>
          <w:p w14:paraId="192FA6EA" w14:textId="1CA220AF" w:rsidR="00054970" w:rsidRDefault="002F4997" w:rsidP="00166A2E">
            <w:pPr>
              <w:rPr>
                <w:rFonts w:eastAsiaTheme="minorEastAsia"/>
                <w:sz w:val="20"/>
                <w:szCs w:val="20"/>
                <w:lang w:bidi="hi-IN"/>
              </w:rPr>
            </w:pPr>
            <w:r>
              <w:rPr>
                <w:rFonts w:eastAsiaTheme="minorEastAsia"/>
                <w:sz w:val="20"/>
                <w:szCs w:val="20"/>
                <w:lang w:bidi="hi-IN"/>
              </w:rPr>
              <w:t>Agree with ZTE.</w:t>
            </w:r>
          </w:p>
        </w:tc>
      </w:tr>
      <w:tr w:rsidR="006C59C5" w14:paraId="0096AD75" w14:textId="77777777" w:rsidTr="00004039">
        <w:tc>
          <w:tcPr>
            <w:tcW w:w="985" w:type="dxa"/>
          </w:tcPr>
          <w:p w14:paraId="450A3FDA" w14:textId="7BEAAFBD" w:rsidR="006C59C5" w:rsidRDefault="006C59C5" w:rsidP="00004039">
            <w:pPr>
              <w:rPr>
                <w:rFonts w:eastAsia="Malgun Gothic"/>
                <w:sz w:val="20"/>
                <w:szCs w:val="20"/>
                <w:lang w:eastAsia="ko-KR" w:bidi="hi-IN"/>
              </w:rPr>
            </w:pPr>
            <w:r>
              <w:rPr>
                <w:rFonts w:eastAsia="Malgun Gothic"/>
                <w:sz w:val="20"/>
                <w:szCs w:val="20"/>
                <w:lang w:eastAsia="ko-KR" w:bidi="hi-IN"/>
              </w:rPr>
              <w:t>Intel</w:t>
            </w:r>
          </w:p>
        </w:tc>
        <w:tc>
          <w:tcPr>
            <w:tcW w:w="8644" w:type="dxa"/>
          </w:tcPr>
          <w:p w14:paraId="354058AD" w14:textId="391C88FA" w:rsidR="001632F6" w:rsidRDefault="006C59C5" w:rsidP="00166A2E">
            <w:pPr>
              <w:rPr>
                <w:rFonts w:eastAsiaTheme="minorEastAsia"/>
                <w:sz w:val="20"/>
                <w:szCs w:val="20"/>
                <w:lang w:bidi="hi-IN"/>
              </w:rPr>
            </w:pPr>
            <w:r>
              <w:rPr>
                <w:rFonts w:eastAsiaTheme="minorEastAsia"/>
                <w:sz w:val="20"/>
                <w:szCs w:val="20"/>
                <w:lang w:bidi="hi-IN"/>
              </w:rPr>
              <w:t xml:space="preserve">Yes, other combinations of the parameters are possible. </w:t>
            </w:r>
          </w:p>
        </w:tc>
      </w:tr>
      <w:tr w:rsidR="001632F6" w14:paraId="32BA388D" w14:textId="77777777" w:rsidTr="00004039">
        <w:tc>
          <w:tcPr>
            <w:tcW w:w="985" w:type="dxa"/>
          </w:tcPr>
          <w:p w14:paraId="05D5F3CA" w14:textId="765519D1" w:rsidR="001632F6" w:rsidRDefault="001632F6" w:rsidP="00004039">
            <w:pPr>
              <w:rPr>
                <w:rFonts w:eastAsia="Malgun Gothic"/>
                <w:sz w:val="20"/>
                <w:szCs w:val="20"/>
                <w:lang w:eastAsia="ko-KR" w:bidi="hi-IN"/>
              </w:rPr>
            </w:pPr>
            <w:r>
              <w:rPr>
                <w:rFonts w:eastAsia="Malgun Gothic"/>
                <w:sz w:val="20"/>
                <w:szCs w:val="20"/>
                <w:lang w:eastAsia="ko-KR" w:bidi="hi-IN"/>
              </w:rPr>
              <w:t>Apple 2</w:t>
            </w:r>
          </w:p>
        </w:tc>
        <w:tc>
          <w:tcPr>
            <w:tcW w:w="8644" w:type="dxa"/>
          </w:tcPr>
          <w:p w14:paraId="5A4A5271" w14:textId="6D2A31D9" w:rsidR="001632F6" w:rsidRDefault="001632F6" w:rsidP="00166A2E">
            <w:pPr>
              <w:rPr>
                <w:rFonts w:eastAsiaTheme="minorEastAsia"/>
                <w:sz w:val="20"/>
                <w:szCs w:val="20"/>
                <w:lang w:val="en-US" w:bidi="hi-IN"/>
              </w:rPr>
            </w:pPr>
            <w:r>
              <w:rPr>
                <w:rFonts w:eastAsiaTheme="minorEastAsia"/>
                <w:sz w:val="20"/>
                <w:szCs w:val="20"/>
                <w:lang w:val="en-US" w:bidi="hi-IN"/>
              </w:rPr>
              <w:t xml:space="preserve">I’m not sure  ZTE’s understanding is aligned with the RAN2 spec. </w:t>
            </w:r>
          </w:p>
          <w:p w14:paraId="52A8FA15" w14:textId="5F782C21" w:rsidR="001632F6" w:rsidRDefault="001632F6" w:rsidP="001632F6">
            <w:pPr>
              <w:keepNext/>
              <w:keepLines/>
              <w:widowControl w:val="0"/>
              <w:spacing w:before="0"/>
              <w:rPr>
                <w:rFonts w:eastAsiaTheme="minorEastAsia"/>
                <w:sz w:val="20"/>
                <w:szCs w:val="20"/>
                <w:lang w:val="en-US" w:bidi="hi-IN"/>
              </w:rPr>
            </w:pPr>
            <w:r>
              <w:rPr>
                <w:rFonts w:eastAsiaTheme="minorEastAsia"/>
                <w:sz w:val="20"/>
                <w:szCs w:val="20"/>
                <w:lang w:val="en-US" w:bidi="hi-IN"/>
              </w:rPr>
              <w:t xml:space="preserve">The confusion part is the wording of “the feature is optional otherwise” in UE capability of </w:t>
            </w:r>
            <w:r w:rsidRPr="00845433">
              <w:rPr>
                <w:rFonts w:ascii="Arial" w:eastAsia="Malgun Gothic" w:hAnsi="Arial"/>
                <w:b/>
                <w:bCs/>
                <w:i/>
                <w:iCs/>
                <w:sz w:val="15"/>
                <w:szCs w:val="18"/>
              </w:rPr>
              <w:t>tdm-Pattern</w:t>
            </w:r>
            <w:r>
              <w:rPr>
                <w:rFonts w:eastAsiaTheme="minorEastAsia"/>
                <w:sz w:val="20"/>
                <w:szCs w:val="20"/>
                <w:lang w:val="en-US" w:bidi="hi-IN"/>
              </w:rPr>
              <w:t>.  To me, this wording point</w:t>
            </w:r>
            <w:r w:rsidR="00E06F1C">
              <w:rPr>
                <w:rFonts w:eastAsiaTheme="minorEastAsia"/>
                <w:sz w:val="20"/>
                <w:szCs w:val="20"/>
                <w:lang w:val="en-US" w:bidi="hi-IN"/>
              </w:rPr>
              <w:t>s to</w:t>
            </w:r>
            <w:r>
              <w:rPr>
                <w:rFonts w:eastAsiaTheme="minorEastAsia"/>
                <w:sz w:val="20"/>
                <w:szCs w:val="20"/>
                <w:lang w:val="en-US" w:bidi="hi-IN"/>
              </w:rPr>
              <w:t xml:space="preserve"> type 1 UE without IMD issue but supporting the TDM pattern.</w:t>
            </w:r>
            <w:r w:rsidR="00E06F1C">
              <w:rPr>
                <w:rFonts w:eastAsiaTheme="minorEastAsia"/>
                <w:sz w:val="20"/>
                <w:szCs w:val="20"/>
                <w:lang w:val="en-US" w:bidi="hi-IN"/>
              </w:rPr>
              <w:t xml:space="preserve"> This type of UE can be configured with </w:t>
            </w:r>
            <w:r w:rsidR="00E06F1C" w:rsidRPr="00845433">
              <w:rPr>
                <w:rFonts w:eastAsia="Malgun Gothic"/>
                <w:i/>
                <w:iCs/>
                <w:sz w:val="20"/>
              </w:rPr>
              <w:t>tdm-PatternConfig</w:t>
            </w:r>
            <w:r w:rsidR="009F7430">
              <w:rPr>
                <w:rFonts w:eastAsia="Malgun Gothic"/>
                <w:i/>
                <w:iCs/>
                <w:sz w:val="20"/>
                <w:lang w:val="en-US"/>
              </w:rPr>
              <w:t>.</w:t>
            </w:r>
            <w:r w:rsidR="00E06F1C">
              <w:rPr>
                <w:rFonts w:eastAsiaTheme="minorEastAsia"/>
                <w:sz w:val="20"/>
                <w:szCs w:val="20"/>
                <w:lang w:val="en-US" w:bidi="hi-IN"/>
              </w:rPr>
              <w:t xml:space="preserve"> </w:t>
            </w:r>
            <w:r w:rsidR="009F7430">
              <w:rPr>
                <w:rFonts w:eastAsiaTheme="minorEastAsia"/>
                <w:sz w:val="20"/>
                <w:szCs w:val="20"/>
                <w:lang w:val="en-US" w:bidi="hi-IN"/>
              </w:rPr>
              <w:t>C</w:t>
            </w:r>
            <w:r w:rsidR="00E06F1C">
              <w:rPr>
                <w:rFonts w:eastAsiaTheme="minorEastAsia"/>
                <w:sz w:val="20"/>
                <w:szCs w:val="20"/>
                <w:lang w:val="en-US" w:bidi="hi-IN"/>
              </w:rPr>
              <w:t>hecking</w:t>
            </w:r>
            <w:r w:rsidR="00811E16">
              <w:rPr>
                <w:rFonts w:eastAsiaTheme="minorEastAsia"/>
                <w:sz w:val="20"/>
                <w:szCs w:val="20"/>
                <w:lang w:val="en-US" w:bidi="hi-IN"/>
              </w:rPr>
              <w:t xml:space="preserve"> further</w:t>
            </w:r>
            <w:r w:rsidR="00E06F1C">
              <w:rPr>
                <w:rFonts w:eastAsiaTheme="minorEastAsia"/>
                <w:sz w:val="20"/>
                <w:szCs w:val="20"/>
                <w:lang w:val="en-US" w:bidi="hi-IN"/>
              </w:rPr>
              <w:t xml:space="preserve"> th</w:t>
            </w:r>
            <w:r w:rsidR="00811E16">
              <w:rPr>
                <w:rFonts w:eastAsiaTheme="minorEastAsia"/>
                <w:sz w:val="20"/>
                <w:szCs w:val="20"/>
                <w:lang w:val="en-US" w:bidi="hi-IN"/>
              </w:rPr>
              <w:t>e</w:t>
            </w:r>
            <w:r w:rsidR="00E06F1C">
              <w:rPr>
                <w:rFonts w:eastAsiaTheme="minorEastAsia"/>
                <w:sz w:val="20"/>
                <w:szCs w:val="20"/>
                <w:lang w:val="en-US" w:bidi="hi-IN"/>
              </w:rPr>
              <w:t xml:space="preserve"> IE </w:t>
            </w:r>
            <w:r w:rsidR="00811E16" w:rsidRPr="00845433">
              <w:rPr>
                <w:rFonts w:eastAsia="Malgun Gothic"/>
                <w:i/>
                <w:iCs/>
                <w:sz w:val="20"/>
              </w:rPr>
              <w:t>tdm-PatternConfig</w:t>
            </w:r>
            <w:r w:rsidR="00811E16">
              <w:rPr>
                <w:rFonts w:eastAsiaTheme="minorEastAsia"/>
                <w:sz w:val="20"/>
                <w:szCs w:val="20"/>
                <w:lang w:val="en-US" w:bidi="hi-IN"/>
              </w:rPr>
              <w:t xml:space="preserve"> defined </w:t>
            </w:r>
            <w:r w:rsidR="00E06F1C">
              <w:rPr>
                <w:rFonts w:eastAsiaTheme="minorEastAsia"/>
                <w:sz w:val="20"/>
                <w:szCs w:val="20"/>
                <w:lang w:val="en-US" w:bidi="hi-IN"/>
              </w:rPr>
              <w:t xml:space="preserve">in 36.331 as showing below, this IE is used when power control or IMD issues </w:t>
            </w:r>
            <w:r w:rsidR="00E06F1C" w:rsidRPr="009F7430">
              <w:rPr>
                <w:rFonts w:eastAsiaTheme="minorEastAsia"/>
                <w:b/>
                <w:bCs/>
                <w:sz w:val="20"/>
                <w:szCs w:val="20"/>
                <w:lang w:val="en-US" w:bidi="hi-IN"/>
              </w:rPr>
              <w:t>required single UL transmission</w:t>
            </w:r>
            <w:r w:rsidR="00E06F1C">
              <w:rPr>
                <w:rFonts w:eastAsiaTheme="minorEastAsia"/>
                <w:sz w:val="20"/>
                <w:szCs w:val="20"/>
                <w:lang w:val="en-US" w:bidi="hi-IN"/>
              </w:rPr>
              <w:t xml:space="preserve">. </w:t>
            </w:r>
            <w:proofErr w:type="gramStart"/>
            <w:r w:rsidR="00E06F1C">
              <w:rPr>
                <w:rFonts w:eastAsiaTheme="minorEastAsia"/>
                <w:sz w:val="20"/>
                <w:szCs w:val="20"/>
                <w:lang w:val="en-US" w:bidi="hi-IN"/>
              </w:rPr>
              <w:t>So</w:t>
            </w:r>
            <w:proofErr w:type="gramEnd"/>
            <w:r w:rsidR="00E06F1C">
              <w:rPr>
                <w:rFonts w:eastAsiaTheme="minorEastAsia"/>
                <w:sz w:val="20"/>
                <w:szCs w:val="20"/>
                <w:lang w:val="en-US" w:bidi="hi-IN"/>
              </w:rPr>
              <w:t xml:space="preserve"> it’s very clear that if the </w:t>
            </w:r>
            <w:r w:rsidR="00E06F1C" w:rsidRPr="00845433">
              <w:rPr>
                <w:rFonts w:eastAsia="Malgun Gothic"/>
                <w:i/>
                <w:iCs/>
                <w:sz w:val="20"/>
              </w:rPr>
              <w:t>tdm-PatternConfig</w:t>
            </w:r>
            <w:r w:rsidR="00E06F1C">
              <w:rPr>
                <w:rFonts w:eastAsiaTheme="minorEastAsia"/>
                <w:sz w:val="20"/>
                <w:szCs w:val="20"/>
                <w:lang w:val="en-US" w:bidi="hi-IN"/>
              </w:rPr>
              <w:t xml:space="preserve"> is configured to UE (whatever it is type 2 UE, or type 1 UE with/without IMD issue), only single UL transmission is allowed, no other usage scenarios is specified in the spec.</w:t>
            </w:r>
          </w:p>
          <w:p w14:paraId="1727EAB5" w14:textId="131A0D2F" w:rsidR="00044D26" w:rsidRPr="00044D26" w:rsidRDefault="00044D26" w:rsidP="00044D26">
            <w:pPr>
              <w:keepNext/>
              <w:keepLines/>
              <w:widowControl w:val="0"/>
              <w:rPr>
                <w:rFonts w:eastAsiaTheme="minorEastAsia"/>
                <w:i/>
                <w:iCs/>
                <w:sz w:val="20"/>
                <w:szCs w:val="20"/>
                <w:lang w:val="en-GB" w:bidi="hi-IN"/>
              </w:rPr>
            </w:pPr>
            <w:r>
              <w:rPr>
                <w:rFonts w:eastAsiaTheme="minorEastAsia"/>
                <w:sz w:val="20"/>
                <w:szCs w:val="20"/>
                <w:lang w:val="en-US" w:bidi="hi-IN"/>
              </w:rPr>
              <w:t>In short, we only defined the single UL transmission in Rel.15. Now in Rel.16, we introduce the dual Tx transmission.  So</w:t>
            </w:r>
            <w:r w:rsidR="009F7430">
              <w:rPr>
                <w:rFonts w:eastAsiaTheme="minorEastAsia"/>
                <w:sz w:val="20"/>
                <w:szCs w:val="20"/>
                <w:lang w:val="en-US" w:bidi="hi-IN"/>
              </w:rPr>
              <w:t>,</w:t>
            </w:r>
            <w:r>
              <w:rPr>
                <w:rFonts w:eastAsiaTheme="minorEastAsia"/>
                <w:sz w:val="20"/>
                <w:szCs w:val="20"/>
                <w:lang w:val="en-US" w:bidi="hi-IN"/>
              </w:rPr>
              <w:t xml:space="preserve"> UE will only report </w:t>
            </w:r>
            <w:r w:rsidR="009F7430">
              <w:rPr>
                <w:rFonts w:eastAsiaTheme="minorEastAsia"/>
                <w:sz w:val="20"/>
                <w:szCs w:val="20"/>
                <w:lang w:val="en-US" w:bidi="hi-IN"/>
              </w:rPr>
              <w:t xml:space="preserve">either </w:t>
            </w:r>
            <w:r>
              <w:rPr>
                <w:rFonts w:eastAsiaTheme="minorEastAsia"/>
                <w:sz w:val="20"/>
                <w:szCs w:val="20"/>
                <w:lang w:val="en-US" w:bidi="hi-IN"/>
              </w:rPr>
              <w:t xml:space="preserve">single UL transmission </w:t>
            </w:r>
            <w:r w:rsidRPr="00044D26">
              <w:rPr>
                <w:rFonts w:eastAsiaTheme="minorEastAsia"/>
                <w:sz w:val="20"/>
                <w:szCs w:val="20"/>
                <w:lang w:val="en-US" w:bidi="hi-IN"/>
              </w:rPr>
              <w:t>capability (</w:t>
            </w:r>
            <w:proofErr w:type="spellStart"/>
            <w:r w:rsidRPr="00044D26">
              <w:rPr>
                <w:rFonts w:eastAsiaTheme="minorEastAsia"/>
                <w:i/>
                <w:iCs/>
                <w:sz w:val="20"/>
                <w:szCs w:val="20"/>
                <w:lang w:val="en-GB" w:bidi="hi-IN"/>
              </w:rPr>
              <w:t>singleUL</w:t>
            </w:r>
            <w:proofErr w:type="spellEnd"/>
            <w:r w:rsidRPr="00044D26">
              <w:rPr>
                <w:rFonts w:eastAsiaTheme="minorEastAsia"/>
                <w:i/>
                <w:iCs/>
                <w:sz w:val="20"/>
                <w:szCs w:val="20"/>
                <w:lang w:val="en-GB" w:bidi="hi-IN"/>
              </w:rPr>
              <w:t>-Transmission</w:t>
            </w:r>
          </w:p>
          <w:p w14:paraId="2CB37278" w14:textId="17DF163A" w:rsidR="00811E16" w:rsidRPr="00044D26" w:rsidRDefault="00044D26" w:rsidP="001632F6">
            <w:pPr>
              <w:keepNext/>
              <w:keepLines/>
              <w:widowControl w:val="0"/>
              <w:spacing w:before="0"/>
              <w:rPr>
                <w:rFonts w:eastAsia="Malgun Gothic"/>
                <w:i/>
                <w:iCs/>
                <w:sz w:val="20"/>
                <w:szCs w:val="20"/>
              </w:rPr>
            </w:pPr>
            <w:r w:rsidRPr="00044D26">
              <w:rPr>
                <w:rFonts w:eastAsiaTheme="minorEastAsia"/>
                <w:sz w:val="20"/>
                <w:szCs w:val="20"/>
                <w:lang w:val="en-GB" w:bidi="hi-IN"/>
              </w:rPr>
              <w:t xml:space="preserve">, and/or </w:t>
            </w:r>
            <w:r w:rsidRPr="00044D26">
              <w:rPr>
                <w:rFonts w:eastAsia="Malgun Gothic"/>
                <w:i/>
                <w:iCs/>
                <w:sz w:val="20"/>
                <w:szCs w:val="20"/>
              </w:rPr>
              <w:t>tdm-Pattern</w:t>
            </w:r>
            <w:r>
              <w:rPr>
                <w:rFonts w:eastAsia="Malgun Gothic"/>
                <w:i/>
                <w:iCs/>
                <w:sz w:val="20"/>
                <w:szCs w:val="20"/>
                <w:lang w:val="en-US"/>
              </w:rPr>
              <w:t xml:space="preserve"> </w:t>
            </w:r>
            <w:r w:rsidRPr="00044D26">
              <w:rPr>
                <w:rFonts w:eastAsia="Malgun Gothic"/>
                <w:sz w:val="20"/>
                <w:szCs w:val="20"/>
                <w:lang w:val="en-US"/>
              </w:rPr>
              <w:t>(including the type 1 UE no IMD issues)</w:t>
            </w:r>
            <w:r w:rsidRPr="00044D26">
              <w:rPr>
                <w:rFonts w:eastAsiaTheme="minorEastAsia"/>
                <w:sz w:val="20"/>
                <w:szCs w:val="20"/>
                <w:lang w:val="en-US" w:bidi="hi-IN"/>
              </w:rPr>
              <w:t>) or dual transmission capability (</w:t>
            </w:r>
            <w:r w:rsidRPr="00044D26">
              <w:rPr>
                <w:sz w:val="20"/>
                <w:szCs w:val="20"/>
                <w:lang w:eastAsia="ja-JP" w:bidi="hi-IN"/>
              </w:rPr>
              <w:t>tdm-pattern-dualTx</w:t>
            </w:r>
            <w:r w:rsidRPr="00044D26">
              <w:rPr>
                <w:rFonts w:eastAsiaTheme="minorEastAsia"/>
                <w:sz w:val="20"/>
                <w:szCs w:val="20"/>
                <w:lang w:val="en-US" w:bidi="hi-IN"/>
              </w:rPr>
              <w:t>)</w:t>
            </w:r>
            <w:r>
              <w:rPr>
                <w:rFonts w:eastAsiaTheme="minorEastAsia"/>
                <w:sz w:val="20"/>
                <w:szCs w:val="20"/>
                <w:lang w:val="en-US" w:bidi="hi-IN"/>
              </w:rPr>
              <w:t xml:space="preserve">. No other case the network can configure the </w:t>
            </w:r>
            <w:r w:rsidRPr="00004039">
              <w:rPr>
                <w:rFonts w:eastAsiaTheme="minorEastAsia"/>
                <w:i/>
                <w:sz w:val="20"/>
                <w:szCs w:val="20"/>
                <w:lang w:bidi="hi-IN"/>
              </w:rPr>
              <w:t>tdm-PatternConfig-r16</w:t>
            </w:r>
            <w:r>
              <w:rPr>
                <w:rFonts w:eastAsiaTheme="minorEastAsia"/>
                <w:sz w:val="20"/>
                <w:szCs w:val="20"/>
                <w:lang w:val="en-US" w:bidi="hi-IN"/>
              </w:rPr>
              <w:t>.</w:t>
            </w:r>
          </w:p>
          <w:p w14:paraId="04E3858F" w14:textId="77777777" w:rsidR="00E06F1C" w:rsidRPr="001632F6" w:rsidRDefault="00E06F1C" w:rsidP="001632F6">
            <w:pPr>
              <w:keepNext/>
              <w:keepLines/>
              <w:widowControl w:val="0"/>
              <w:spacing w:before="0"/>
              <w:rPr>
                <w:rFonts w:ascii="Arial" w:eastAsia="Malgun Gothic" w:hAnsi="Arial"/>
                <w:b/>
                <w:bCs/>
                <w:i/>
                <w:iCs/>
                <w:sz w:val="15"/>
                <w:szCs w:val="18"/>
                <w:lang w:val="en-US"/>
              </w:rPr>
            </w:pPr>
          </w:p>
          <w:p w14:paraId="378EEB8B" w14:textId="77777777" w:rsidR="001632F6" w:rsidRPr="00845433" w:rsidRDefault="001632F6" w:rsidP="001632F6">
            <w:pPr>
              <w:keepNext/>
              <w:keepLines/>
              <w:widowControl w:val="0"/>
              <w:spacing w:before="0"/>
              <w:rPr>
                <w:rFonts w:ascii="Arial" w:eastAsia="Malgun Gothic" w:hAnsi="Arial"/>
                <w:b/>
                <w:bCs/>
                <w:i/>
                <w:iCs/>
                <w:sz w:val="15"/>
                <w:szCs w:val="18"/>
              </w:rPr>
            </w:pPr>
            <w:r w:rsidRPr="00845433">
              <w:rPr>
                <w:rFonts w:ascii="Arial" w:eastAsia="Malgun Gothic" w:hAnsi="Arial"/>
                <w:b/>
                <w:bCs/>
                <w:i/>
                <w:iCs/>
                <w:sz w:val="15"/>
                <w:szCs w:val="18"/>
              </w:rPr>
              <w:t>tdm-Pattern</w:t>
            </w:r>
          </w:p>
          <w:p w14:paraId="41421982" w14:textId="77777777" w:rsidR="001632F6" w:rsidRDefault="001632F6" w:rsidP="001632F6">
            <w:pPr>
              <w:rPr>
                <w:rFonts w:eastAsia="Malgun Gothic"/>
                <w:sz w:val="20"/>
              </w:rPr>
            </w:pPr>
            <w:r w:rsidRPr="00845433">
              <w:rPr>
                <w:rFonts w:eastAsia="Malgun Gothic"/>
                <w:sz w:val="20"/>
              </w:rPr>
              <w:t xml:space="preserve">Indicates whether the UE supports the </w:t>
            </w:r>
            <w:r w:rsidRPr="00845433">
              <w:rPr>
                <w:rFonts w:eastAsia="Malgun Gothic"/>
                <w:i/>
                <w:iCs/>
                <w:sz w:val="20"/>
              </w:rPr>
              <w:t>tdm-PatternConfig</w:t>
            </w:r>
            <w:r w:rsidRPr="00845433">
              <w:rPr>
                <w:rFonts w:eastAsia="Malgun Gothic"/>
                <w:sz w:val="20"/>
              </w:rPr>
              <w:t xml:space="preserve"> for </w:t>
            </w:r>
            <w:r w:rsidRPr="00845433">
              <w:rPr>
                <w:rFonts w:eastAsia="Malgun Gothic"/>
                <w:i/>
                <w:iCs/>
                <w:sz w:val="20"/>
              </w:rPr>
              <w:t>single UL-transmission</w:t>
            </w:r>
            <w:r w:rsidRPr="00845433">
              <w:rPr>
                <w:rFonts w:eastAsia="Malgun Gothic"/>
                <w:sz w:val="20"/>
              </w:rPr>
              <w:t xml:space="preserve"> associated functionality, as specified in TS 36.331 [17]. Support is conditionally mandatory in (NG)EN-DC for UEs that do not support dynamicPowerSharingENDC and for UEs that indicate single UL transmission for any (NG)EN-DC BC. Support is conditionally mandatory in NE-DC for UEs that do not support dynamicPowerSharingNEDC and for UEs that indicate single UL transmission for any NE-DC BC. </w:t>
            </w:r>
            <w:r w:rsidRPr="00845433">
              <w:rPr>
                <w:rFonts w:eastAsia="Malgun Gothic"/>
                <w:sz w:val="20"/>
                <w:highlight w:val="yellow"/>
              </w:rPr>
              <w:t>The feature is optional otherwise.</w:t>
            </w:r>
          </w:p>
          <w:p w14:paraId="42D639EC" w14:textId="77777777" w:rsidR="001632F6" w:rsidRDefault="001632F6" w:rsidP="001632F6">
            <w:r>
              <w:rPr>
                <w:rFonts w:ascii="Arial-BoldItalicMT" w:hAnsi="Arial-BoldItalicMT"/>
                <w:b/>
                <w:bCs/>
                <w:i/>
                <w:iCs/>
                <w:color w:val="000000"/>
                <w:sz w:val="18"/>
                <w:szCs w:val="18"/>
              </w:rPr>
              <w:t xml:space="preserve">tdm-PatternConfig </w:t>
            </w:r>
          </w:p>
          <w:p w14:paraId="02094428" w14:textId="64A4220E" w:rsidR="001632F6" w:rsidRDefault="001632F6" w:rsidP="001632F6">
            <w:r>
              <w:rPr>
                <w:rFonts w:ascii="ArialMT" w:hAnsi="ArialMT"/>
                <w:color w:val="000000"/>
                <w:sz w:val="18"/>
                <w:szCs w:val="18"/>
              </w:rPr>
              <w:t xml:space="preserve">UL/DL reference configuration indicating the time during which a UE configured with (NG)EN-DC is allowed to transmit. This field is used when </w:t>
            </w:r>
            <w:r w:rsidRPr="001632F6">
              <w:rPr>
                <w:rFonts w:ascii="ArialMT" w:hAnsi="ArialMT"/>
                <w:color w:val="000000"/>
                <w:sz w:val="18"/>
                <w:szCs w:val="18"/>
                <w:highlight w:val="yellow"/>
              </w:rPr>
              <w:t>power control</w:t>
            </w:r>
            <w:r>
              <w:rPr>
                <w:rFonts w:ascii="ArialMT" w:hAnsi="ArialMT"/>
                <w:color w:val="000000"/>
                <w:sz w:val="18"/>
                <w:szCs w:val="18"/>
              </w:rPr>
              <w:t xml:space="preserve"> or I</w:t>
            </w:r>
            <w:r w:rsidRPr="001632F6">
              <w:rPr>
                <w:rFonts w:ascii="ArialMT" w:hAnsi="ArialMT"/>
                <w:color w:val="000000"/>
                <w:sz w:val="18"/>
                <w:szCs w:val="18"/>
                <w:highlight w:val="yellow"/>
              </w:rPr>
              <w:t>MD issues require single UL transmission</w:t>
            </w:r>
            <w:r>
              <w:rPr>
                <w:rFonts w:ascii="ArialMT" w:hAnsi="ArialMT"/>
                <w:color w:val="000000"/>
                <w:sz w:val="18"/>
                <w:szCs w:val="18"/>
              </w:rPr>
              <w:t xml:space="preserve"> as specified in TS 38.101-3 [101] and TS 38.213 [88]. </w:t>
            </w:r>
          </w:p>
          <w:p w14:paraId="7BF64B78" w14:textId="1FD9699E" w:rsidR="001632F6" w:rsidRDefault="001632F6" w:rsidP="001632F6">
            <w:pPr>
              <w:rPr>
                <w:rFonts w:eastAsiaTheme="minorEastAsia"/>
                <w:sz w:val="20"/>
                <w:szCs w:val="20"/>
                <w:lang w:bidi="hi-IN"/>
              </w:rPr>
            </w:pPr>
          </w:p>
        </w:tc>
      </w:tr>
    </w:tbl>
    <w:p w14:paraId="07E68F79" w14:textId="331AB939" w:rsidR="00DA132A" w:rsidRDefault="00DA132A" w:rsidP="00E82C7D">
      <w:pPr>
        <w:rPr>
          <w:sz w:val="20"/>
          <w:szCs w:val="20"/>
          <w:lang w:eastAsia="ja-JP" w:bidi="hi-IN"/>
        </w:rPr>
      </w:pPr>
    </w:p>
    <w:p w14:paraId="23409640" w14:textId="7FD0E738" w:rsidR="00DA132A" w:rsidRDefault="00DA132A" w:rsidP="00E82C7D">
      <w:pPr>
        <w:rPr>
          <w:sz w:val="20"/>
          <w:szCs w:val="20"/>
          <w:lang w:eastAsia="ja-JP" w:bidi="hi-IN"/>
        </w:rPr>
      </w:pPr>
    </w:p>
    <w:p w14:paraId="0C43449C" w14:textId="0BABD27E" w:rsidR="00DA132A" w:rsidRDefault="00DA132A" w:rsidP="00E82C7D">
      <w:pPr>
        <w:rPr>
          <w:sz w:val="20"/>
          <w:szCs w:val="20"/>
          <w:lang w:eastAsia="ja-JP" w:bidi="hi-IN"/>
        </w:rPr>
      </w:pPr>
    </w:p>
    <w:p w14:paraId="335F16D8" w14:textId="77777777" w:rsidR="00DA132A" w:rsidRPr="00DA132A" w:rsidRDefault="00DA132A" w:rsidP="00DA132A">
      <w:pPr>
        <w:numPr>
          <w:ilvl w:val="0"/>
          <w:numId w:val="32"/>
        </w:numPr>
        <w:rPr>
          <w:b/>
          <w:bCs/>
          <w:sz w:val="20"/>
          <w:szCs w:val="20"/>
          <w:lang w:eastAsia="ja-JP" w:bidi="hi-IN"/>
        </w:rPr>
      </w:pPr>
      <w:r w:rsidRPr="00DA132A">
        <w:rPr>
          <w:b/>
          <w:bCs/>
          <w:sz w:val="20"/>
          <w:szCs w:val="20"/>
          <w:lang w:eastAsia="ja-JP" w:bidi="hi-IN"/>
        </w:rPr>
        <w:t>Q1-2: Which of the 3 proposed TPs are accept </w:t>
      </w:r>
    </w:p>
    <w:p w14:paraId="61FC1F3A" w14:textId="77777777" w:rsidR="00DA132A" w:rsidRPr="00DA132A" w:rsidRDefault="00DA132A" w:rsidP="00DA132A">
      <w:pPr>
        <w:rPr>
          <w:sz w:val="20"/>
          <w:szCs w:val="20"/>
          <w:lang w:eastAsia="ja-JP" w:bidi="hi-IN"/>
        </w:rPr>
      </w:pPr>
    </w:p>
    <w:tbl>
      <w:tblPr>
        <w:tblStyle w:val="TableGrid"/>
        <w:tblW w:w="0" w:type="auto"/>
        <w:tblLook w:val="04A0" w:firstRow="1" w:lastRow="0" w:firstColumn="1" w:lastColumn="0" w:noHBand="0" w:noVBand="1"/>
      </w:tblPr>
      <w:tblGrid>
        <w:gridCol w:w="1435"/>
        <w:gridCol w:w="8194"/>
      </w:tblGrid>
      <w:tr w:rsidR="00DA132A" w14:paraId="630DB5C5" w14:textId="77777777" w:rsidTr="006A334D">
        <w:tc>
          <w:tcPr>
            <w:tcW w:w="1435" w:type="dxa"/>
          </w:tcPr>
          <w:p w14:paraId="7D786AE0" w14:textId="77777777" w:rsidR="00DA132A" w:rsidRDefault="00DA132A" w:rsidP="006A334D">
            <w:pPr>
              <w:rPr>
                <w:sz w:val="20"/>
                <w:szCs w:val="20"/>
                <w:lang w:eastAsia="ja-JP" w:bidi="hi-IN"/>
              </w:rPr>
            </w:pPr>
            <w:r>
              <w:rPr>
                <w:sz w:val="20"/>
                <w:szCs w:val="20"/>
                <w:lang w:eastAsia="ja-JP" w:bidi="hi-IN"/>
              </w:rPr>
              <w:t>Company</w:t>
            </w:r>
          </w:p>
        </w:tc>
        <w:tc>
          <w:tcPr>
            <w:tcW w:w="8194" w:type="dxa"/>
          </w:tcPr>
          <w:p w14:paraId="0FA90ABD" w14:textId="77777777" w:rsidR="00DA132A" w:rsidRDefault="00DA132A" w:rsidP="006A334D">
            <w:pPr>
              <w:rPr>
                <w:sz w:val="20"/>
                <w:szCs w:val="20"/>
                <w:lang w:eastAsia="ja-JP" w:bidi="hi-IN"/>
              </w:rPr>
            </w:pPr>
            <w:r>
              <w:rPr>
                <w:sz w:val="20"/>
                <w:szCs w:val="20"/>
                <w:lang w:eastAsia="ja-JP" w:bidi="hi-IN"/>
              </w:rPr>
              <w:t>Comments</w:t>
            </w:r>
          </w:p>
        </w:tc>
      </w:tr>
      <w:tr w:rsidR="00DA132A" w14:paraId="01E6E131" w14:textId="77777777" w:rsidTr="006A334D">
        <w:tc>
          <w:tcPr>
            <w:tcW w:w="1435" w:type="dxa"/>
          </w:tcPr>
          <w:p w14:paraId="200340DA" w14:textId="758DBE4B" w:rsidR="00DA132A" w:rsidRPr="00BD0E3C" w:rsidRDefault="00BD0E3C" w:rsidP="006A334D">
            <w:pPr>
              <w:rPr>
                <w:rFonts w:eastAsiaTheme="minorEastAsia"/>
                <w:sz w:val="20"/>
                <w:szCs w:val="20"/>
                <w:lang w:bidi="hi-IN"/>
              </w:rPr>
            </w:pPr>
            <w:r>
              <w:rPr>
                <w:rFonts w:eastAsiaTheme="minorEastAsia" w:hint="eastAsia"/>
                <w:sz w:val="20"/>
                <w:szCs w:val="20"/>
                <w:lang w:bidi="hi-IN"/>
              </w:rPr>
              <w:t>Z</w:t>
            </w:r>
            <w:r>
              <w:rPr>
                <w:rFonts w:eastAsiaTheme="minorEastAsia"/>
                <w:sz w:val="20"/>
                <w:szCs w:val="20"/>
                <w:lang w:bidi="hi-IN"/>
              </w:rPr>
              <w:t>TE</w:t>
            </w:r>
          </w:p>
        </w:tc>
        <w:tc>
          <w:tcPr>
            <w:tcW w:w="8194" w:type="dxa"/>
          </w:tcPr>
          <w:p w14:paraId="0B6A8223" w14:textId="377D2F01" w:rsidR="00820F31" w:rsidRDefault="00820F31" w:rsidP="00BD0E3C">
            <w:pPr>
              <w:rPr>
                <w:rFonts w:eastAsiaTheme="minorEastAsia"/>
                <w:sz w:val="20"/>
                <w:szCs w:val="20"/>
                <w:lang w:bidi="hi-IN"/>
              </w:rPr>
            </w:pPr>
            <w:r>
              <w:rPr>
                <w:rFonts w:eastAsiaTheme="minorEastAsia" w:hint="eastAsia"/>
                <w:sz w:val="20"/>
                <w:szCs w:val="20"/>
                <w:lang w:bidi="hi-IN"/>
              </w:rPr>
              <w:t>W</w:t>
            </w:r>
            <w:r>
              <w:rPr>
                <w:rFonts w:eastAsiaTheme="minorEastAsia"/>
                <w:sz w:val="20"/>
                <w:szCs w:val="20"/>
                <w:lang w:bidi="hi-IN"/>
              </w:rPr>
              <w:t>e prefer Option1.</w:t>
            </w:r>
          </w:p>
          <w:p w14:paraId="147EB808" w14:textId="0B8CA187" w:rsidR="00BD0E3C" w:rsidRDefault="00BD0E3C" w:rsidP="00BD0E3C">
            <w:pPr>
              <w:rPr>
                <w:rFonts w:eastAsiaTheme="minorEastAsia"/>
                <w:sz w:val="20"/>
                <w:szCs w:val="20"/>
                <w:lang w:bidi="hi-IN"/>
              </w:rPr>
            </w:pPr>
            <w:r>
              <w:rPr>
                <w:rFonts w:eastAsiaTheme="minorEastAsia"/>
                <w:sz w:val="20"/>
                <w:szCs w:val="20"/>
                <w:lang w:bidi="hi-IN"/>
              </w:rPr>
              <w:t xml:space="preserve">For a UE indicates neither </w:t>
            </w:r>
            <w:r w:rsidRPr="00845433">
              <w:rPr>
                <w:rFonts w:eastAsiaTheme="minorEastAsia"/>
                <w:sz w:val="20"/>
                <w:szCs w:val="20"/>
                <w:lang w:bidi="hi-IN"/>
              </w:rPr>
              <w:t>singleUL-Transmission</w:t>
            </w:r>
            <w:r>
              <w:rPr>
                <w:rFonts w:eastAsiaTheme="minorEastAsia"/>
                <w:sz w:val="20"/>
                <w:szCs w:val="20"/>
                <w:lang w:bidi="hi-IN"/>
              </w:rPr>
              <w:t xml:space="preserve"> or </w:t>
            </w:r>
            <w:r w:rsidRPr="00845433">
              <w:rPr>
                <w:rFonts w:eastAsiaTheme="minorEastAsia"/>
                <w:sz w:val="20"/>
                <w:szCs w:val="20"/>
                <w:lang w:bidi="hi-IN"/>
              </w:rPr>
              <w:t>tdm-pattern-dualTx</w:t>
            </w:r>
            <w:r>
              <w:rPr>
                <w:rFonts w:eastAsiaTheme="minorEastAsia"/>
                <w:sz w:val="20"/>
                <w:szCs w:val="20"/>
                <w:lang w:bidi="hi-IN"/>
              </w:rPr>
              <w:t xml:space="preserve">, our understanding is that this UE should be regarded as a “dual Tx” UE. </w:t>
            </w:r>
          </w:p>
          <w:p w14:paraId="37DBAF75" w14:textId="7C9D47F5" w:rsidR="00DA132A" w:rsidRPr="006A334D" w:rsidRDefault="006A334D" w:rsidP="00684D09">
            <w:pPr>
              <w:rPr>
                <w:rFonts w:eastAsiaTheme="minorEastAsia"/>
                <w:sz w:val="20"/>
                <w:szCs w:val="20"/>
                <w:lang w:bidi="hi-IN"/>
              </w:rPr>
            </w:pPr>
            <w:r>
              <w:rPr>
                <w:rFonts w:eastAsiaTheme="minorEastAsia"/>
                <w:sz w:val="20"/>
                <w:szCs w:val="20"/>
                <w:lang w:bidi="hi-IN"/>
              </w:rPr>
              <w:t>Seems like two issues are mixed up in Option3. We prefer to separate the discussion o</w:t>
            </w:r>
            <w:r w:rsidR="00684D09">
              <w:rPr>
                <w:rFonts w:eastAsiaTheme="minorEastAsia"/>
                <w:sz w:val="20"/>
                <w:szCs w:val="20"/>
                <w:lang w:bidi="hi-IN"/>
              </w:rPr>
              <w:t>f</w:t>
            </w:r>
            <w:r>
              <w:rPr>
                <w:rFonts w:eastAsiaTheme="minorEastAsia"/>
                <w:sz w:val="20"/>
                <w:szCs w:val="20"/>
                <w:lang w:bidi="hi-IN"/>
              </w:rPr>
              <w:t xml:space="preserve"> “</w:t>
            </w:r>
            <w:r w:rsidR="00684D09" w:rsidRPr="00684D09">
              <w:rPr>
                <w:rFonts w:eastAsiaTheme="minorEastAsia"/>
                <w:sz w:val="20"/>
                <w:szCs w:val="20"/>
                <w:lang w:bidi="hi-IN"/>
              </w:rPr>
              <w:t>not expect to be configured or indicated to transmit</w:t>
            </w:r>
            <w:r>
              <w:rPr>
                <w:rFonts w:eastAsiaTheme="minorEastAsia"/>
                <w:sz w:val="20"/>
                <w:szCs w:val="20"/>
                <w:lang w:bidi="hi-IN"/>
              </w:rPr>
              <w:t>”</w:t>
            </w:r>
            <w:r w:rsidR="00684D09">
              <w:rPr>
                <w:rFonts w:eastAsiaTheme="minorEastAsia"/>
                <w:sz w:val="20"/>
                <w:szCs w:val="20"/>
                <w:lang w:bidi="hi-IN"/>
              </w:rPr>
              <w:t>.</w:t>
            </w:r>
          </w:p>
        </w:tc>
      </w:tr>
      <w:tr w:rsidR="00DA132A" w14:paraId="2FB496C7" w14:textId="77777777" w:rsidTr="006A334D">
        <w:tc>
          <w:tcPr>
            <w:tcW w:w="1435" w:type="dxa"/>
          </w:tcPr>
          <w:p w14:paraId="1159C56F" w14:textId="1E3744AB" w:rsidR="00DA132A" w:rsidRDefault="00531639" w:rsidP="006A334D">
            <w:pPr>
              <w:rPr>
                <w:sz w:val="20"/>
                <w:szCs w:val="20"/>
                <w:lang w:eastAsia="ja-JP" w:bidi="hi-IN"/>
              </w:rPr>
            </w:pPr>
            <w:r>
              <w:rPr>
                <w:sz w:val="20"/>
                <w:szCs w:val="20"/>
                <w:lang w:eastAsia="ja-JP" w:bidi="hi-IN"/>
              </w:rPr>
              <w:lastRenderedPageBreak/>
              <w:t>Apple</w:t>
            </w:r>
          </w:p>
        </w:tc>
        <w:tc>
          <w:tcPr>
            <w:tcW w:w="8194" w:type="dxa"/>
          </w:tcPr>
          <w:p w14:paraId="3BF7E262" w14:textId="7F052ED1" w:rsidR="00DA132A" w:rsidRDefault="00531639" w:rsidP="006A334D">
            <w:pPr>
              <w:rPr>
                <w:sz w:val="20"/>
                <w:szCs w:val="20"/>
                <w:lang w:eastAsia="ja-JP" w:bidi="hi-IN"/>
              </w:rPr>
            </w:pPr>
            <w:r>
              <w:rPr>
                <w:sz w:val="20"/>
                <w:szCs w:val="20"/>
                <w:lang w:eastAsia="ja-JP" w:bidi="hi-IN"/>
              </w:rPr>
              <w:t>TP1 is preferred. It’s clearer and no confusion.</w:t>
            </w:r>
          </w:p>
        </w:tc>
      </w:tr>
      <w:tr w:rsidR="00DA132A" w14:paraId="3926C28A" w14:textId="77777777" w:rsidTr="006A334D">
        <w:tc>
          <w:tcPr>
            <w:tcW w:w="1435" w:type="dxa"/>
          </w:tcPr>
          <w:p w14:paraId="3E092D94" w14:textId="18EDFF1A" w:rsidR="00DA132A" w:rsidRDefault="00703E70" w:rsidP="006A334D">
            <w:pPr>
              <w:rPr>
                <w:sz w:val="20"/>
                <w:szCs w:val="20"/>
                <w:lang w:eastAsia="ja-JP" w:bidi="hi-IN"/>
              </w:rPr>
            </w:pPr>
            <w:r>
              <w:rPr>
                <w:sz w:val="20"/>
                <w:szCs w:val="20"/>
                <w:lang w:eastAsia="ja-JP" w:bidi="hi-IN"/>
              </w:rPr>
              <w:t>MTK</w:t>
            </w:r>
          </w:p>
        </w:tc>
        <w:tc>
          <w:tcPr>
            <w:tcW w:w="8194" w:type="dxa"/>
          </w:tcPr>
          <w:p w14:paraId="01266614" w14:textId="5C13CE17" w:rsidR="00DA132A" w:rsidRDefault="00703E70" w:rsidP="006A334D">
            <w:pPr>
              <w:rPr>
                <w:sz w:val="20"/>
                <w:szCs w:val="20"/>
                <w:lang w:eastAsia="ja-JP" w:bidi="hi-IN"/>
              </w:rPr>
            </w:pPr>
            <w:r>
              <w:rPr>
                <w:sz w:val="20"/>
                <w:szCs w:val="20"/>
                <w:lang w:eastAsia="ja-JP" w:bidi="hi-IN"/>
              </w:rPr>
              <w:t>To our understanding, “</w:t>
            </w:r>
            <w:r w:rsidRPr="00A91529">
              <w:rPr>
                <w:sz w:val="20"/>
                <w:szCs w:val="20"/>
                <w:u w:val="single"/>
                <w:lang w:eastAsia="ja-JP" w:bidi="hi-IN"/>
              </w:rPr>
              <w:t>UE does not transmit on the SCG in FR1 when the UE has overlapped transmission on a subframe on the MCG (LTE)</w:t>
            </w:r>
            <w:r>
              <w:rPr>
                <w:sz w:val="20"/>
                <w:szCs w:val="20"/>
                <w:lang w:eastAsia="ja-JP" w:bidi="hi-IN"/>
              </w:rPr>
              <w:t xml:space="preserve">” only holds when </w:t>
            </w:r>
            <w:r w:rsidRPr="00531D5E">
              <w:rPr>
                <w:b/>
                <w:sz w:val="20"/>
                <w:szCs w:val="20"/>
                <w:lang w:eastAsia="ja-JP" w:bidi="hi-IN"/>
              </w:rPr>
              <w:t xml:space="preserve">UE indicates </w:t>
            </w:r>
            <w:proofErr w:type="spellStart"/>
            <w:r w:rsidRPr="00531D5E">
              <w:rPr>
                <w:rFonts w:eastAsiaTheme="minorEastAsia"/>
                <w:b/>
                <w:sz w:val="20"/>
                <w:szCs w:val="20"/>
                <w:lang w:bidi="hi-IN"/>
              </w:rPr>
              <w:t>singleUL</w:t>
            </w:r>
            <w:proofErr w:type="spellEnd"/>
            <w:r w:rsidRPr="00531D5E">
              <w:rPr>
                <w:rFonts w:eastAsiaTheme="minorEastAsia"/>
                <w:b/>
                <w:sz w:val="20"/>
                <w:szCs w:val="20"/>
                <w:lang w:bidi="hi-IN"/>
              </w:rPr>
              <w:t>-Transmission</w:t>
            </w:r>
            <w:r>
              <w:rPr>
                <w:sz w:val="20"/>
                <w:szCs w:val="20"/>
                <w:lang w:eastAsia="ja-JP" w:bidi="hi-IN"/>
              </w:rPr>
              <w:t>. Hence, we prefer Option 1 or Option 3.</w:t>
            </w:r>
          </w:p>
        </w:tc>
      </w:tr>
      <w:tr w:rsidR="00DA132A" w14:paraId="4FFCC064" w14:textId="77777777" w:rsidTr="006A334D">
        <w:tc>
          <w:tcPr>
            <w:tcW w:w="1435" w:type="dxa"/>
          </w:tcPr>
          <w:p w14:paraId="1F020798" w14:textId="3E376516" w:rsidR="00DA132A" w:rsidRPr="00E844C3" w:rsidRDefault="00E844C3" w:rsidP="006A334D">
            <w:pPr>
              <w:rPr>
                <w:rFonts w:eastAsiaTheme="minorEastAsia"/>
                <w:sz w:val="20"/>
                <w:szCs w:val="20"/>
                <w:lang w:bidi="hi-IN"/>
              </w:rPr>
            </w:pPr>
            <w:r>
              <w:rPr>
                <w:rFonts w:eastAsiaTheme="minorEastAsia" w:hint="eastAsia"/>
                <w:sz w:val="20"/>
                <w:szCs w:val="20"/>
                <w:lang w:bidi="hi-IN"/>
              </w:rPr>
              <w:t>H</w:t>
            </w:r>
            <w:r>
              <w:rPr>
                <w:rFonts w:eastAsiaTheme="minorEastAsia"/>
                <w:sz w:val="20"/>
                <w:szCs w:val="20"/>
                <w:lang w:bidi="hi-IN"/>
              </w:rPr>
              <w:t xml:space="preserve">uawei, </w:t>
            </w:r>
            <w:proofErr w:type="spellStart"/>
            <w:r>
              <w:rPr>
                <w:rFonts w:eastAsiaTheme="minorEastAsia"/>
                <w:sz w:val="20"/>
                <w:szCs w:val="20"/>
                <w:lang w:bidi="hi-IN"/>
              </w:rPr>
              <w:t>HiSilicon</w:t>
            </w:r>
            <w:proofErr w:type="spellEnd"/>
          </w:p>
        </w:tc>
        <w:tc>
          <w:tcPr>
            <w:tcW w:w="8194" w:type="dxa"/>
          </w:tcPr>
          <w:p w14:paraId="2BEA20E5" w14:textId="5B70431A" w:rsidR="00DA132A" w:rsidRPr="00E844C3" w:rsidRDefault="00E844C3" w:rsidP="006A334D">
            <w:pPr>
              <w:rPr>
                <w:rFonts w:eastAsiaTheme="minorEastAsia"/>
                <w:sz w:val="20"/>
                <w:szCs w:val="20"/>
                <w:lang w:bidi="hi-IN"/>
              </w:rPr>
            </w:pPr>
            <w:r>
              <w:rPr>
                <w:rFonts w:eastAsiaTheme="minorEastAsia"/>
                <w:sz w:val="20"/>
                <w:szCs w:val="20"/>
                <w:lang w:bidi="hi-IN"/>
              </w:rPr>
              <w:t xml:space="preserve">Only </w:t>
            </w:r>
            <w:r>
              <w:rPr>
                <w:rFonts w:eastAsiaTheme="minorEastAsia" w:hint="eastAsia"/>
                <w:sz w:val="20"/>
                <w:szCs w:val="20"/>
                <w:lang w:bidi="hi-IN"/>
              </w:rPr>
              <w:t>O</w:t>
            </w:r>
            <w:r>
              <w:rPr>
                <w:rFonts w:eastAsiaTheme="minorEastAsia"/>
                <w:sz w:val="20"/>
                <w:szCs w:val="20"/>
                <w:lang w:bidi="hi-IN"/>
              </w:rPr>
              <w:t>ption 2 is in line with agreements.</w:t>
            </w:r>
          </w:p>
        </w:tc>
      </w:tr>
      <w:tr w:rsidR="00DA132A" w14:paraId="47FEF5F7" w14:textId="77777777" w:rsidTr="006A334D">
        <w:tc>
          <w:tcPr>
            <w:tcW w:w="1435" w:type="dxa"/>
          </w:tcPr>
          <w:p w14:paraId="2E6D95F2" w14:textId="68710094" w:rsidR="00DA132A" w:rsidRPr="00FD7A7E" w:rsidRDefault="00FD7A7E" w:rsidP="006A334D">
            <w:pPr>
              <w:rPr>
                <w:rFonts w:eastAsia="Yu Mincho"/>
                <w:sz w:val="20"/>
                <w:szCs w:val="20"/>
                <w:lang w:eastAsia="ja-JP" w:bidi="hi-IN"/>
              </w:rPr>
            </w:pPr>
            <w:r>
              <w:rPr>
                <w:rFonts w:eastAsia="Yu Mincho" w:hint="eastAsia"/>
                <w:sz w:val="20"/>
                <w:szCs w:val="20"/>
                <w:lang w:eastAsia="ja-JP" w:bidi="hi-IN"/>
              </w:rPr>
              <w:t>Q</w:t>
            </w:r>
            <w:r>
              <w:rPr>
                <w:rFonts w:eastAsia="Yu Mincho"/>
                <w:sz w:val="20"/>
                <w:szCs w:val="20"/>
                <w:lang w:eastAsia="ja-JP" w:bidi="hi-IN"/>
              </w:rPr>
              <w:t>ualcomm</w:t>
            </w:r>
          </w:p>
        </w:tc>
        <w:tc>
          <w:tcPr>
            <w:tcW w:w="8194" w:type="dxa"/>
          </w:tcPr>
          <w:p w14:paraId="3D1E21AE" w14:textId="5080D637" w:rsidR="00DA132A" w:rsidRPr="00FD7A7E" w:rsidRDefault="00FD7A7E" w:rsidP="006A334D">
            <w:pPr>
              <w:rPr>
                <w:rFonts w:eastAsia="Yu Mincho"/>
                <w:sz w:val="20"/>
                <w:szCs w:val="20"/>
                <w:lang w:eastAsia="ja-JP" w:bidi="hi-IN"/>
              </w:rPr>
            </w:pPr>
            <w:r>
              <w:rPr>
                <w:rFonts w:eastAsia="Yu Mincho" w:hint="eastAsia"/>
                <w:sz w:val="20"/>
                <w:szCs w:val="20"/>
                <w:lang w:eastAsia="ja-JP" w:bidi="hi-IN"/>
              </w:rPr>
              <w:t>O</w:t>
            </w:r>
            <w:r>
              <w:rPr>
                <w:rFonts w:eastAsia="Yu Mincho"/>
                <w:sz w:val="20"/>
                <w:szCs w:val="20"/>
                <w:lang w:eastAsia="ja-JP" w:bidi="hi-IN"/>
              </w:rPr>
              <w:t>ption 3.</w:t>
            </w:r>
          </w:p>
        </w:tc>
      </w:tr>
      <w:tr w:rsidR="00C83685" w14:paraId="2406BDEC" w14:textId="77777777" w:rsidTr="006A334D">
        <w:tc>
          <w:tcPr>
            <w:tcW w:w="1435" w:type="dxa"/>
          </w:tcPr>
          <w:p w14:paraId="590BEE59" w14:textId="270BBEAC" w:rsidR="00C83685" w:rsidRDefault="004644C0" w:rsidP="006A334D">
            <w:pPr>
              <w:rPr>
                <w:rFonts w:eastAsia="Yu Mincho"/>
                <w:sz w:val="20"/>
                <w:szCs w:val="20"/>
                <w:lang w:eastAsia="ja-JP" w:bidi="hi-IN"/>
              </w:rPr>
            </w:pPr>
            <w:r>
              <w:rPr>
                <w:rFonts w:eastAsia="Yu Mincho"/>
                <w:sz w:val="20"/>
                <w:szCs w:val="20"/>
                <w:lang w:eastAsia="ja-JP" w:bidi="hi-IN"/>
              </w:rPr>
              <w:t>Ericsson</w:t>
            </w:r>
          </w:p>
        </w:tc>
        <w:tc>
          <w:tcPr>
            <w:tcW w:w="8194" w:type="dxa"/>
          </w:tcPr>
          <w:p w14:paraId="5DBBFCD0" w14:textId="77777777" w:rsidR="007A442D" w:rsidRDefault="004644C0" w:rsidP="006A334D">
            <w:pPr>
              <w:rPr>
                <w:rFonts w:eastAsia="Yu Mincho"/>
                <w:sz w:val="20"/>
                <w:szCs w:val="20"/>
                <w:lang w:eastAsia="ja-JP" w:bidi="hi-IN"/>
              </w:rPr>
            </w:pPr>
            <w:r>
              <w:rPr>
                <w:rFonts w:eastAsia="Yu Mincho"/>
                <w:sz w:val="20"/>
                <w:szCs w:val="20"/>
                <w:lang w:eastAsia="ja-JP" w:bidi="hi-IN"/>
              </w:rPr>
              <w:t xml:space="preserve">We </w:t>
            </w:r>
            <w:r w:rsidR="00C75F5D">
              <w:rPr>
                <w:rFonts w:eastAsia="Yu Mincho"/>
                <w:sz w:val="20"/>
                <w:szCs w:val="20"/>
                <w:lang w:eastAsia="ja-JP" w:bidi="hi-IN"/>
              </w:rPr>
              <w:t>support</w:t>
            </w:r>
            <w:r>
              <w:rPr>
                <w:rFonts w:eastAsia="Yu Mincho"/>
                <w:sz w:val="20"/>
                <w:szCs w:val="20"/>
                <w:lang w:eastAsia="ja-JP" w:bidi="hi-IN"/>
              </w:rPr>
              <w:t xml:space="preserve"> Option 1.</w:t>
            </w:r>
            <w:r w:rsidR="00A35233">
              <w:rPr>
                <w:rFonts w:eastAsia="Yu Mincho"/>
                <w:sz w:val="20"/>
                <w:szCs w:val="20"/>
                <w:lang w:eastAsia="ja-JP" w:bidi="hi-IN"/>
              </w:rPr>
              <w:t xml:space="preserve"> </w:t>
            </w:r>
          </w:p>
          <w:p w14:paraId="688B4D71" w14:textId="77777777" w:rsidR="007A442D" w:rsidRDefault="00A35233" w:rsidP="006A334D">
            <w:pPr>
              <w:rPr>
                <w:rFonts w:eastAsia="Yu Mincho"/>
                <w:sz w:val="20"/>
                <w:szCs w:val="20"/>
                <w:lang w:eastAsia="ja-JP" w:bidi="hi-IN"/>
              </w:rPr>
            </w:pPr>
            <w:r>
              <w:rPr>
                <w:rFonts w:eastAsia="Yu Mincho"/>
                <w:sz w:val="20"/>
                <w:szCs w:val="20"/>
                <w:lang w:eastAsia="ja-JP" w:bidi="hi-IN"/>
              </w:rPr>
              <w:t xml:space="preserve">As explained in </w:t>
            </w:r>
            <w:r w:rsidR="00E22888">
              <w:rPr>
                <w:rFonts w:eastAsia="Yu Mincho"/>
                <w:sz w:val="20"/>
                <w:szCs w:val="20"/>
                <w:lang w:eastAsia="ja-JP" w:bidi="hi-IN"/>
              </w:rPr>
              <w:t xml:space="preserve">detail in </w:t>
            </w:r>
            <w:r>
              <w:rPr>
                <w:rFonts w:eastAsia="Yu Mincho"/>
                <w:sz w:val="20"/>
                <w:szCs w:val="20"/>
                <w:lang w:eastAsia="ja-JP" w:bidi="hi-IN"/>
              </w:rPr>
              <w:t xml:space="preserve">our contribution, </w:t>
            </w:r>
            <w:r w:rsidRPr="00A35233">
              <w:rPr>
                <w:rFonts w:eastAsia="Yu Mincho"/>
                <w:sz w:val="20"/>
                <w:szCs w:val="20"/>
                <w:lang w:eastAsia="ja-JP" w:bidi="hi-IN"/>
              </w:rPr>
              <w:t xml:space="preserve">adopting </w:t>
            </w:r>
            <w:r w:rsidR="00E22888">
              <w:rPr>
                <w:rFonts w:eastAsia="Yu Mincho"/>
                <w:sz w:val="20"/>
                <w:szCs w:val="20"/>
                <w:lang w:eastAsia="ja-JP" w:bidi="hi-IN"/>
              </w:rPr>
              <w:t>O</w:t>
            </w:r>
            <w:r w:rsidRPr="00A35233">
              <w:rPr>
                <w:rFonts w:eastAsia="Yu Mincho"/>
                <w:sz w:val="20"/>
                <w:szCs w:val="20"/>
                <w:lang w:eastAsia="ja-JP" w:bidi="hi-IN"/>
              </w:rPr>
              <w:t>ption 1 has no impact on the agreement on UE capability of supporting DL reference configuration for dual-Tx UL</w:t>
            </w:r>
            <w:r>
              <w:rPr>
                <w:rFonts w:eastAsia="Yu Mincho"/>
                <w:sz w:val="20"/>
                <w:szCs w:val="20"/>
                <w:lang w:eastAsia="ja-JP" w:bidi="hi-IN"/>
              </w:rPr>
              <w:t xml:space="preserve">. </w:t>
            </w:r>
          </w:p>
          <w:p w14:paraId="3E4B43A3" w14:textId="2C49A4C7" w:rsidR="00C83685" w:rsidRDefault="00A35233" w:rsidP="006A334D">
            <w:pPr>
              <w:rPr>
                <w:rFonts w:eastAsia="Yu Mincho"/>
                <w:sz w:val="20"/>
                <w:szCs w:val="20"/>
                <w:lang w:eastAsia="ja-JP" w:bidi="hi-IN"/>
              </w:rPr>
            </w:pPr>
            <w:r>
              <w:rPr>
                <w:rFonts w:eastAsia="Yu Mincho"/>
                <w:sz w:val="20"/>
                <w:szCs w:val="20"/>
                <w:lang w:eastAsia="ja-JP" w:bidi="hi-IN"/>
              </w:rPr>
              <w:t xml:space="preserve">Option 3 (i.e., </w:t>
            </w:r>
            <w:r w:rsidR="00E22888">
              <w:rPr>
                <w:rFonts w:eastAsia="Yu Mincho"/>
                <w:sz w:val="20"/>
                <w:szCs w:val="20"/>
                <w:lang w:eastAsia="ja-JP" w:bidi="hi-IN"/>
              </w:rPr>
              <w:t xml:space="preserve">the restrictions </w:t>
            </w:r>
            <w:r w:rsidR="007A442D">
              <w:rPr>
                <w:rFonts w:eastAsia="Yu Mincho"/>
                <w:sz w:val="20"/>
                <w:szCs w:val="20"/>
                <w:lang w:eastAsia="ja-JP" w:bidi="hi-IN"/>
              </w:rPr>
              <w:t>related to</w:t>
            </w:r>
            <w:r>
              <w:rPr>
                <w:rFonts w:eastAsia="Yu Mincho"/>
                <w:sz w:val="20"/>
                <w:szCs w:val="20"/>
                <w:lang w:eastAsia="ja-JP" w:bidi="hi-IN"/>
              </w:rPr>
              <w:t xml:space="preserve"> ‘UL’ subframes given by reference TDD pattern) is not the agreed behavior. </w:t>
            </w:r>
          </w:p>
          <w:p w14:paraId="181E7E2F" w14:textId="77777777" w:rsidR="00A35233" w:rsidRPr="00A35233" w:rsidRDefault="00A35233" w:rsidP="0018208C">
            <w:pPr>
              <w:pStyle w:val="ListParagraph"/>
              <w:numPr>
                <w:ilvl w:val="0"/>
                <w:numId w:val="0"/>
              </w:numPr>
              <w:spacing w:after="160" w:line="259" w:lineRule="auto"/>
              <w:ind w:left="360"/>
              <w:contextualSpacing/>
              <w:rPr>
                <w:rFonts w:eastAsia="MS Mincho"/>
                <w:i/>
                <w:iCs/>
                <w:sz w:val="18"/>
                <w:szCs w:val="18"/>
                <w:highlight w:val="green"/>
              </w:rPr>
            </w:pPr>
            <w:r w:rsidRPr="00A35233">
              <w:rPr>
                <w:rFonts w:eastAsia="MS Mincho"/>
                <w:i/>
                <w:iCs/>
                <w:sz w:val="18"/>
                <w:szCs w:val="18"/>
                <w:highlight w:val="green"/>
              </w:rPr>
              <w:t>Agreements:</w:t>
            </w:r>
          </w:p>
          <w:p w14:paraId="64DB8C7E" w14:textId="77777777" w:rsidR="00A35233" w:rsidRPr="00A35233" w:rsidRDefault="00A35233" w:rsidP="00A35233">
            <w:pPr>
              <w:pStyle w:val="ListParagraph"/>
              <w:numPr>
                <w:ilvl w:val="0"/>
                <w:numId w:val="44"/>
              </w:numPr>
              <w:spacing w:line="240" w:lineRule="auto"/>
              <w:ind w:left="1080"/>
              <w:rPr>
                <w:rFonts w:eastAsia="MS Mincho"/>
                <w:i/>
                <w:iCs/>
                <w:sz w:val="18"/>
                <w:szCs w:val="18"/>
              </w:rPr>
            </w:pPr>
            <w:r w:rsidRPr="00A35233">
              <w:rPr>
                <w:rFonts w:eastAsia="MS Mincho"/>
                <w:i/>
                <w:iCs/>
                <w:sz w:val="18"/>
                <w:szCs w:val="18"/>
              </w:rPr>
              <w:t xml:space="preserve">For the single-Tx case, for FDD LTE </w:t>
            </w:r>
            <w:proofErr w:type="spellStart"/>
            <w:r w:rsidRPr="00A35233">
              <w:rPr>
                <w:rFonts w:eastAsia="MS Mincho"/>
                <w:i/>
                <w:iCs/>
                <w:sz w:val="18"/>
                <w:szCs w:val="18"/>
              </w:rPr>
              <w:t>Pcell</w:t>
            </w:r>
            <w:proofErr w:type="spellEnd"/>
            <w:r w:rsidRPr="00A35233">
              <w:rPr>
                <w:rFonts w:eastAsia="MS Mincho"/>
                <w:i/>
                <w:iCs/>
                <w:sz w:val="18"/>
                <w:szCs w:val="18"/>
              </w:rPr>
              <w:t>,</w:t>
            </w:r>
          </w:p>
          <w:p w14:paraId="55A9992F" w14:textId="77777777" w:rsidR="00A35233" w:rsidRPr="00A35233" w:rsidRDefault="00A35233" w:rsidP="00A35233">
            <w:pPr>
              <w:pStyle w:val="ListParagraph"/>
              <w:numPr>
                <w:ilvl w:val="1"/>
                <w:numId w:val="44"/>
              </w:numPr>
              <w:spacing w:line="240" w:lineRule="auto"/>
              <w:ind w:left="1800"/>
              <w:rPr>
                <w:rFonts w:eastAsia="MS Mincho"/>
                <w:i/>
                <w:iCs/>
                <w:sz w:val="18"/>
                <w:szCs w:val="18"/>
              </w:rPr>
            </w:pPr>
            <w:r w:rsidRPr="00A35233">
              <w:rPr>
                <w:rFonts w:eastAsia="MS Mincho"/>
                <w:i/>
                <w:iCs/>
                <w:sz w:val="18"/>
                <w:szCs w:val="18"/>
              </w:rPr>
              <w:t>All uplink subframes can be scheduled for LTE for type 1 UEs</w:t>
            </w:r>
          </w:p>
          <w:p w14:paraId="666690FD" w14:textId="77777777" w:rsidR="00A35233" w:rsidRPr="00A35233" w:rsidRDefault="00A35233" w:rsidP="00A35233">
            <w:pPr>
              <w:pStyle w:val="ListParagraph"/>
              <w:numPr>
                <w:ilvl w:val="2"/>
                <w:numId w:val="44"/>
              </w:numPr>
              <w:spacing w:line="240" w:lineRule="auto"/>
              <w:ind w:left="2520"/>
              <w:rPr>
                <w:rFonts w:eastAsia="MS Mincho"/>
                <w:i/>
                <w:iCs/>
                <w:sz w:val="18"/>
                <w:szCs w:val="18"/>
              </w:rPr>
            </w:pPr>
            <w:r w:rsidRPr="00A35233">
              <w:rPr>
                <w:rFonts w:eastAsia="MS Mincho"/>
                <w:i/>
                <w:iCs/>
                <w:sz w:val="18"/>
                <w:szCs w:val="18"/>
              </w:rPr>
              <w:t>In which case, NR transmission is dropped for when the LTE and NR transmissions collide</w:t>
            </w:r>
          </w:p>
          <w:p w14:paraId="07D52FDA" w14:textId="77777777" w:rsidR="00A35233" w:rsidRPr="00A35233" w:rsidRDefault="00A35233" w:rsidP="00A35233">
            <w:pPr>
              <w:pStyle w:val="ListParagraph"/>
              <w:numPr>
                <w:ilvl w:val="2"/>
                <w:numId w:val="44"/>
              </w:numPr>
              <w:spacing w:line="240" w:lineRule="auto"/>
              <w:ind w:left="2520"/>
              <w:rPr>
                <w:rFonts w:eastAsia="MS Mincho"/>
                <w:i/>
                <w:iCs/>
                <w:sz w:val="18"/>
                <w:szCs w:val="18"/>
              </w:rPr>
            </w:pPr>
            <w:r w:rsidRPr="00A35233">
              <w:rPr>
                <w:rFonts w:eastAsia="MS Mincho"/>
                <w:i/>
                <w:iCs/>
                <w:sz w:val="18"/>
                <w:szCs w:val="18"/>
              </w:rPr>
              <w:t>Note: there is no change of UL scheduling timing for LTE</w:t>
            </w:r>
          </w:p>
          <w:p w14:paraId="53795A52" w14:textId="77777777" w:rsidR="00A35233" w:rsidRPr="00A35233" w:rsidRDefault="00A35233" w:rsidP="00A35233">
            <w:pPr>
              <w:ind w:left="360"/>
              <w:rPr>
                <w:i/>
                <w:iCs/>
                <w:sz w:val="18"/>
                <w:szCs w:val="18"/>
                <w:lang w:eastAsia="x-none"/>
              </w:rPr>
            </w:pPr>
            <w:r w:rsidRPr="00A35233">
              <w:rPr>
                <w:i/>
                <w:iCs/>
                <w:sz w:val="18"/>
                <w:szCs w:val="18"/>
                <w:highlight w:val="green"/>
                <w:lang w:eastAsia="x-none"/>
              </w:rPr>
              <w:t>Agreements</w:t>
            </w:r>
            <w:r w:rsidRPr="00A35233">
              <w:rPr>
                <w:i/>
                <w:iCs/>
                <w:sz w:val="18"/>
                <w:szCs w:val="18"/>
                <w:lang w:eastAsia="x-none"/>
              </w:rPr>
              <w:t>:</w:t>
            </w:r>
          </w:p>
          <w:p w14:paraId="718ACE5B" w14:textId="77777777" w:rsidR="00A35233" w:rsidRPr="00A35233" w:rsidRDefault="00A35233" w:rsidP="00A35233">
            <w:pPr>
              <w:pStyle w:val="ListParagraph"/>
              <w:numPr>
                <w:ilvl w:val="0"/>
                <w:numId w:val="44"/>
              </w:numPr>
              <w:spacing w:line="240" w:lineRule="auto"/>
              <w:ind w:left="1080"/>
              <w:rPr>
                <w:rFonts w:eastAsia="MS Mincho"/>
                <w:i/>
                <w:iCs/>
                <w:sz w:val="18"/>
                <w:szCs w:val="18"/>
              </w:rPr>
            </w:pPr>
            <w:r w:rsidRPr="00A35233">
              <w:rPr>
                <w:rFonts w:eastAsia="MS Mincho"/>
                <w:i/>
                <w:iCs/>
                <w:sz w:val="18"/>
                <w:szCs w:val="18"/>
              </w:rPr>
              <w:t xml:space="preserve">For the single-Tx case, for TDD LTE </w:t>
            </w:r>
            <w:proofErr w:type="spellStart"/>
            <w:r w:rsidRPr="00A35233">
              <w:rPr>
                <w:rFonts w:eastAsia="MS Mincho"/>
                <w:i/>
                <w:iCs/>
                <w:sz w:val="18"/>
                <w:szCs w:val="18"/>
              </w:rPr>
              <w:t>Pcell</w:t>
            </w:r>
            <w:proofErr w:type="spellEnd"/>
            <w:r w:rsidRPr="00A35233">
              <w:rPr>
                <w:rFonts w:eastAsia="MS Mincho"/>
                <w:i/>
                <w:iCs/>
                <w:sz w:val="18"/>
                <w:szCs w:val="18"/>
              </w:rPr>
              <w:t>,</w:t>
            </w:r>
          </w:p>
          <w:p w14:paraId="751B7FB4" w14:textId="77777777" w:rsidR="00A35233" w:rsidRPr="00A35233" w:rsidRDefault="00A35233" w:rsidP="00A35233">
            <w:pPr>
              <w:pStyle w:val="ListParagraph"/>
              <w:numPr>
                <w:ilvl w:val="1"/>
                <w:numId w:val="44"/>
              </w:numPr>
              <w:spacing w:line="240" w:lineRule="auto"/>
              <w:ind w:left="1800"/>
              <w:rPr>
                <w:rFonts w:eastAsia="MS Mincho"/>
                <w:i/>
                <w:iCs/>
                <w:sz w:val="18"/>
                <w:szCs w:val="18"/>
              </w:rPr>
            </w:pPr>
            <w:r w:rsidRPr="00A35233">
              <w:rPr>
                <w:rFonts w:eastAsia="MS Mincho"/>
                <w:i/>
                <w:iCs/>
                <w:sz w:val="18"/>
                <w:szCs w:val="18"/>
              </w:rPr>
              <w:t>All uplink subframes can be scheduled for LTE for type 1 UEs</w:t>
            </w:r>
          </w:p>
          <w:p w14:paraId="3AFF05F7" w14:textId="77777777" w:rsidR="00A35233" w:rsidRPr="00A35233" w:rsidRDefault="00A35233" w:rsidP="00A35233">
            <w:pPr>
              <w:pStyle w:val="ListParagraph"/>
              <w:numPr>
                <w:ilvl w:val="2"/>
                <w:numId w:val="44"/>
              </w:numPr>
              <w:spacing w:line="240" w:lineRule="auto"/>
              <w:ind w:left="2520"/>
              <w:rPr>
                <w:rFonts w:eastAsia="MS Mincho"/>
                <w:i/>
                <w:iCs/>
                <w:sz w:val="18"/>
                <w:szCs w:val="18"/>
              </w:rPr>
            </w:pPr>
            <w:r w:rsidRPr="00A35233">
              <w:rPr>
                <w:rFonts w:eastAsia="MS Mincho"/>
                <w:i/>
                <w:iCs/>
                <w:sz w:val="18"/>
                <w:szCs w:val="18"/>
              </w:rPr>
              <w:t>In which case, NR transmission is dropped for when the LTE and NR transmissions collide</w:t>
            </w:r>
          </w:p>
          <w:p w14:paraId="39C3B515" w14:textId="686EA1F3" w:rsidR="00A35233" w:rsidRDefault="00A35233" w:rsidP="006A334D">
            <w:pPr>
              <w:rPr>
                <w:rFonts w:eastAsia="Yu Mincho"/>
                <w:sz w:val="20"/>
                <w:szCs w:val="20"/>
                <w:lang w:eastAsia="ja-JP" w:bidi="hi-IN"/>
              </w:rPr>
            </w:pPr>
          </w:p>
        </w:tc>
      </w:tr>
      <w:tr w:rsidR="00F34FC9" w14:paraId="3DA635ED" w14:textId="77777777" w:rsidTr="006A334D">
        <w:tc>
          <w:tcPr>
            <w:tcW w:w="1435" w:type="dxa"/>
          </w:tcPr>
          <w:p w14:paraId="329833EB" w14:textId="055735F9" w:rsidR="00F34FC9" w:rsidRPr="00F34FC9" w:rsidRDefault="00F34FC9" w:rsidP="006A334D">
            <w:pPr>
              <w:rPr>
                <w:rFonts w:eastAsia="Malgun Gothic"/>
                <w:sz w:val="20"/>
                <w:szCs w:val="20"/>
                <w:lang w:eastAsia="ko-KR" w:bidi="hi-IN"/>
              </w:rPr>
            </w:pPr>
            <w:r>
              <w:rPr>
                <w:rFonts w:eastAsia="Malgun Gothic" w:hint="eastAsia"/>
                <w:sz w:val="20"/>
                <w:szCs w:val="20"/>
                <w:lang w:eastAsia="ko-KR" w:bidi="hi-IN"/>
              </w:rPr>
              <w:t>Samsung</w:t>
            </w:r>
          </w:p>
        </w:tc>
        <w:tc>
          <w:tcPr>
            <w:tcW w:w="8194" w:type="dxa"/>
          </w:tcPr>
          <w:p w14:paraId="140C79B8" w14:textId="2C9A5544" w:rsidR="00F34FC9" w:rsidRPr="00F34FC9" w:rsidRDefault="00DD63B0" w:rsidP="00DD63B0">
            <w:pPr>
              <w:rPr>
                <w:rFonts w:eastAsia="Malgun Gothic"/>
                <w:sz w:val="20"/>
                <w:szCs w:val="20"/>
                <w:lang w:eastAsia="ko-KR" w:bidi="hi-IN"/>
              </w:rPr>
            </w:pPr>
            <w:r>
              <w:rPr>
                <w:rFonts w:eastAsiaTheme="minorEastAsia"/>
                <w:sz w:val="20"/>
                <w:szCs w:val="20"/>
                <w:lang w:bidi="hi-IN"/>
              </w:rPr>
              <w:t xml:space="preserve">Given the discussion so far, </w:t>
            </w:r>
            <w:r w:rsidR="008461FE">
              <w:rPr>
                <w:rFonts w:eastAsiaTheme="minorEastAsia"/>
                <w:sz w:val="20"/>
                <w:szCs w:val="20"/>
                <w:lang w:bidi="hi-IN"/>
              </w:rPr>
              <w:t xml:space="preserve">option </w:t>
            </w:r>
            <w:r>
              <w:rPr>
                <w:rFonts w:eastAsiaTheme="minorEastAsia"/>
                <w:sz w:val="20"/>
                <w:szCs w:val="20"/>
                <w:lang w:bidi="hi-IN"/>
              </w:rPr>
              <w:t>1 is preferred.</w:t>
            </w:r>
          </w:p>
        </w:tc>
      </w:tr>
      <w:tr w:rsidR="00054970" w14:paraId="6ECEC22F" w14:textId="77777777" w:rsidTr="006A334D">
        <w:tc>
          <w:tcPr>
            <w:tcW w:w="1435" w:type="dxa"/>
          </w:tcPr>
          <w:p w14:paraId="3A97C60E" w14:textId="141D7F95" w:rsidR="00054970" w:rsidRDefault="00054970" w:rsidP="006A334D">
            <w:pPr>
              <w:rPr>
                <w:rFonts w:eastAsia="Malgun Gothic"/>
                <w:sz w:val="20"/>
                <w:szCs w:val="20"/>
                <w:lang w:eastAsia="ko-KR" w:bidi="hi-IN"/>
              </w:rPr>
            </w:pPr>
            <w:r>
              <w:rPr>
                <w:rFonts w:eastAsia="Malgun Gothic"/>
                <w:sz w:val="20"/>
                <w:szCs w:val="20"/>
                <w:lang w:eastAsia="ko-KR" w:bidi="hi-IN"/>
              </w:rPr>
              <w:t>Nokia</w:t>
            </w:r>
          </w:p>
        </w:tc>
        <w:tc>
          <w:tcPr>
            <w:tcW w:w="8194" w:type="dxa"/>
          </w:tcPr>
          <w:p w14:paraId="6B95D9BB" w14:textId="20491B4D" w:rsidR="00054970" w:rsidRDefault="00054970" w:rsidP="00DD63B0">
            <w:pPr>
              <w:rPr>
                <w:rFonts w:eastAsiaTheme="minorEastAsia"/>
                <w:sz w:val="20"/>
                <w:szCs w:val="20"/>
                <w:lang w:bidi="hi-IN"/>
              </w:rPr>
            </w:pPr>
            <w:r>
              <w:rPr>
                <w:rFonts w:eastAsiaTheme="minorEastAsia"/>
                <w:sz w:val="20"/>
                <w:szCs w:val="20"/>
                <w:lang w:bidi="hi-IN"/>
              </w:rPr>
              <w:t>Option 1. Notably option 3 is re</w:t>
            </w:r>
            <w:r w:rsidR="002F4997">
              <w:rPr>
                <w:rFonts w:eastAsiaTheme="minorEastAsia"/>
                <w:sz w:val="20"/>
                <w:szCs w:val="20"/>
                <w:lang w:bidi="hi-IN"/>
              </w:rPr>
              <w:t>defining the</w:t>
            </w:r>
            <w:r>
              <w:rPr>
                <w:rFonts w:eastAsiaTheme="minorEastAsia"/>
                <w:sz w:val="20"/>
                <w:szCs w:val="20"/>
                <w:lang w:bidi="hi-IN"/>
              </w:rPr>
              <w:t xml:space="preserve"> Rel-15 </w:t>
            </w:r>
            <w:proofErr w:type="spellStart"/>
            <w:r>
              <w:rPr>
                <w:rFonts w:eastAsiaTheme="minorEastAsia"/>
                <w:sz w:val="20"/>
                <w:szCs w:val="20"/>
                <w:lang w:bidi="hi-IN"/>
              </w:rPr>
              <w:t>behaviour</w:t>
            </w:r>
            <w:proofErr w:type="spellEnd"/>
            <w:r>
              <w:rPr>
                <w:rFonts w:eastAsiaTheme="minorEastAsia"/>
                <w:sz w:val="20"/>
                <w:szCs w:val="20"/>
                <w:lang w:bidi="hi-IN"/>
              </w:rPr>
              <w:t xml:space="preserve"> and would be very difficult to do for Rel-16.</w:t>
            </w:r>
          </w:p>
        </w:tc>
      </w:tr>
      <w:tr w:rsidR="006C59C5" w14:paraId="64397D62" w14:textId="77777777" w:rsidTr="006A334D">
        <w:tc>
          <w:tcPr>
            <w:tcW w:w="1435" w:type="dxa"/>
          </w:tcPr>
          <w:p w14:paraId="33CB8998" w14:textId="63AADF71" w:rsidR="006C59C5" w:rsidRDefault="006C59C5" w:rsidP="006A334D">
            <w:pPr>
              <w:rPr>
                <w:rFonts w:eastAsia="Malgun Gothic"/>
                <w:sz w:val="20"/>
                <w:szCs w:val="20"/>
                <w:lang w:eastAsia="ko-KR" w:bidi="hi-IN"/>
              </w:rPr>
            </w:pPr>
            <w:r>
              <w:rPr>
                <w:rFonts w:eastAsia="Malgun Gothic"/>
                <w:sz w:val="20"/>
                <w:szCs w:val="20"/>
                <w:lang w:eastAsia="ko-KR" w:bidi="hi-IN"/>
              </w:rPr>
              <w:t>Intel</w:t>
            </w:r>
          </w:p>
        </w:tc>
        <w:tc>
          <w:tcPr>
            <w:tcW w:w="8194" w:type="dxa"/>
          </w:tcPr>
          <w:p w14:paraId="226A5487" w14:textId="2263789E" w:rsidR="006C59C5" w:rsidRDefault="006C59C5" w:rsidP="00DD63B0">
            <w:pPr>
              <w:rPr>
                <w:rFonts w:eastAsiaTheme="minorEastAsia"/>
                <w:sz w:val="20"/>
                <w:szCs w:val="20"/>
                <w:lang w:bidi="hi-IN"/>
              </w:rPr>
            </w:pPr>
            <w:r>
              <w:rPr>
                <w:rFonts w:eastAsiaTheme="minorEastAsia"/>
                <w:sz w:val="20"/>
                <w:szCs w:val="20"/>
                <w:lang w:bidi="hi-IN"/>
              </w:rPr>
              <w:t>Option 1 is preferred</w:t>
            </w:r>
          </w:p>
        </w:tc>
      </w:tr>
    </w:tbl>
    <w:p w14:paraId="59B6D9A1" w14:textId="77777777" w:rsidR="00DA132A" w:rsidRDefault="00DA132A" w:rsidP="00E82C7D">
      <w:pPr>
        <w:rPr>
          <w:sz w:val="20"/>
          <w:szCs w:val="20"/>
          <w:lang w:eastAsia="ja-JP" w:bidi="hi-IN"/>
        </w:rPr>
      </w:pPr>
    </w:p>
    <w:p w14:paraId="644AF011" w14:textId="29E897F7" w:rsidR="00DA132A" w:rsidRDefault="00DA132A" w:rsidP="00E82C7D">
      <w:pPr>
        <w:rPr>
          <w:sz w:val="20"/>
          <w:szCs w:val="20"/>
          <w:lang w:eastAsia="ja-JP" w:bidi="hi-IN"/>
        </w:rPr>
      </w:pPr>
    </w:p>
    <w:p w14:paraId="5B1AA5C3" w14:textId="77777777" w:rsidR="00DA132A" w:rsidRPr="00E82C7D" w:rsidRDefault="00DA132A" w:rsidP="00E82C7D">
      <w:pPr>
        <w:rPr>
          <w:b/>
          <w:bCs/>
          <w:i/>
          <w:iCs/>
          <w:sz w:val="20"/>
          <w:szCs w:val="20"/>
          <w:lang w:eastAsia="ja-JP" w:bidi="hi-IN"/>
        </w:rPr>
      </w:pPr>
    </w:p>
    <w:p w14:paraId="17145C72" w14:textId="77777777" w:rsidR="00E82C7D" w:rsidRDefault="00E82C7D" w:rsidP="00E82C7D">
      <w:pPr>
        <w:rPr>
          <w:sz w:val="20"/>
          <w:szCs w:val="20"/>
          <w:lang w:eastAsia="ja-JP" w:bidi="hi-IN"/>
        </w:rPr>
      </w:pPr>
    </w:p>
    <w:p w14:paraId="587244EA" w14:textId="77777777" w:rsidR="00E82C7D" w:rsidRDefault="00E82C7D" w:rsidP="00650D8D">
      <w:pPr>
        <w:rPr>
          <w:sz w:val="20"/>
          <w:szCs w:val="20"/>
          <w:lang w:bidi="hi-IN"/>
        </w:rPr>
      </w:pPr>
    </w:p>
    <w:p w14:paraId="52D5D95F" w14:textId="16CB8DF8" w:rsidR="00522CA8" w:rsidRDefault="00CD127E" w:rsidP="00522CA8">
      <w:pPr>
        <w:pStyle w:val="Heading1"/>
      </w:pPr>
      <w:r>
        <w:t xml:space="preserve">Type 1 UE capability </w:t>
      </w:r>
      <w:r w:rsidR="007D4383">
        <w:t>with</w:t>
      </w:r>
      <w:r w:rsidR="00A27A34">
        <w:t xml:space="preserve"> semi-static UL transmission </w:t>
      </w:r>
    </w:p>
    <w:p w14:paraId="20F54BDE" w14:textId="77777777" w:rsidR="00A27A34" w:rsidRDefault="00A27A34" w:rsidP="0025790F">
      <w:pPr>
        <w:spacing w:before="120" w:after="120"/>
        <w:rPr>
          <w:sz w:val="20"/>
          <w:szCs w:val="20"/>
          <w:lang w:eastAsia="ja-JP" w:bidi="hi-IN"/>
        </w:rPr>
      </w:pPr>
    </w:p>
    <w:p w14:paraId="1AC52CB9" w14:textId="4386ED94" w:rsidR="00A27A34" w:rsidRDefault="0025790F" w:rsidP="0025790F">
      <w:pPr>
        <w:spacing w:before="120" w:after="120"/>
        <w:rPr>
          <w:sz w:val="20"/>
          <w:szCs w:val="20"/>
          <w:lang w:eastAsia="ja-JP" w:bidi="hi-IN"/>
        </w:rPr>
      </w:pPr>
      <w:r>
        <w:rPr>
          <w:sz w:val="20"/>
          <w:szCs w:val="20"/>
          <w:lang w:eastAsia="ja-JP" w:bidi="hi-IN"/>
        </w:rPr>
        <w:t>In RAN1#9</w:t>
      </w:r>
      <w:r w:rsidR="00A27A34">
        <w:rPr>
          <w:sz w:val="20"/>
          <w:szCs w:val="20"/>
          <w:lang w:eastAsia="ja-JP" w:bidi="hi-IN"/>
        </w:rPr>
        <w:t>9, the following agreements were reached [7].</w:t>
      </w:r>
      <w:r w:rsidR="00412E96">
        <w:rPr>
          <w:sz w:val="20"/>
          <w:szCs w:val="20"/>
          <w:lang w:eastAsia="ja-JP" w:bidi="hi-IN"/>
        </w:rPr>
        <w:t xml:space="preserve"> According to the agreement, whether the semi-static configured UL transmissions are allowed in all UL subframes is subjected to UE capability.  Two text proposals are provided by [2] [6].</w:t>
      </w:r>
    </w:p>
    <w:tbl>
      <w:tblPr>
        <w:tblStyle w:val="TableGrid"/>
        <w:tblW w:w="0" w:type="auto"/>
        <w:tblLook w:val="04A0" w:firstRow="1" w:lastRow="0" w:firstColumn="1" w:lastColumn="0" w:noHBand="0" w:noVBand="1"/>
      </w:tblPr>
      <w:tblGrid>
        <w:gridCol w:w="9628"/>
      </w:tblGrid>
      <w:tr w:rsidR="00A27A34" w:rsidRPr="00A27A34" w14:paraId="60BC40AF" w14:textId="77777777" w:rsidTr="006A334D">
        <w:tc>
          <w:tcPr>
            <w:tcW w:w="9628" w:type="dxa"/>
          </w:tcPr>
          <w:p w14:paraId="2F5A2FA8" w14:textId="77777777" w:rsidR="00A27A34" w:rsidRPr="00A27A34" w:rsidRDefault="00A27A34" w:rsidP="006A334D">
            <w:pPr>
              <w:spacing w:before="0" w:line="240" w:lineRule="auto"/>
              <w:rPr>
                <w:sz w:val="20"/>
                <w:szCs w:val="20"/>
                <w:lang w:eastAsia="x-none"/>
              </w:rPr>
            </w:pPr>
            <w:r w:rsidRPr="00A27A34">
              <w:rPr>
                <w:sz w:val="20"/>
                <w:szCs w:val="20"/>
                <w:highlight w:val="green"/>
                <w:lang w:eastAsia="x-none"/>
              </w:rPr>
              <w:t>Agreements</w:t>
            </w:r>
            <w:r w:rsidRPr="00A27A34">
              <w:rPr>
                <w:sz w:val="20"/>
                <w:szCs w:val="20"/>
                <w:lang w:eastAsia="x-none"/>
              </w:rPr>
              <w:t>:</w:t>
            </w:r>
          </w:p>
          <w:p w14:paraId="31E31F7E" w14:textId="77777777" w:rsidR="00A27A34" w:rsidRPr="00A27A34" w:rsidRDefault="00A27A34" w:rsidP="006A334D">
            <w:pPr>
              <w:spacing w:before="0" w:line="240" w:lineRule="auto"/>
              <w:rPr>
                <w:bCs/>
                <w:sz w:val="20"/>
                <w:szCs w:val="20"/>
              </w:rPr>
            </w:pPr>
            <w:r w:rsidRPr="00A27A34">
              <w:rPr>
                <w:bCs/>
                <w:sz w:val="20"/>
                <w:szCs w:val="20"/>
              </w:rPr>
              <w:t xml:space="preserve">For a UE configured with DL-reference DL/UL configuration in Rel-16 (including single Tx with LTE TDD </w:t>
            </w:r>
            <w:proofErr w:type="spellStart"/>
            <w:r w:rsidRPr="00A27A34">
              <w:rPr>
                <w:bCs/>
                <w:sz w:val="20"/>
                <w:szCs w:val="20"/>
              </w:rPr>
              <w:t>PCell</w:t>
            </w:r>
            <w:proofErr w:type="spellEnd"/>
            <w:r w:rsidRPr="00A27A34">
              <w:rPr>
                <w:bCs/>
                <w:sz w:val="20"/>
                <w:szCs w:val="20"/>
              </w:rPr>
              <w:t xml:space="preserve"> or LTE FDD </w:t>
            </w:r>
            <w:proofErr w:type="spellStart"/>
            <w:r w:rsidRPr="00A27A34">
              <w:rPr>
                <w:bCs/>
                <w:sz w:val="20"/>
                <w:szCs w:val="20"/>
              </w:rPr>
              <w:t>PCell</w:t>
            </w:r>
            <w:proofErr w:type="spellEnd"/>
            <w:r w:rsidRPr="00A27A34">
              <w:rPr>
                <w:bCs/>
                <w:sz w:val="20"/>
                <w:szCs w:val="20"/>
              </w:rPr>
              <w:t>, and dual Tx cases):</w:t>
            </w:r>
          </w:p>
          <w:p w14:paraId="713BE7FB" w14:textId="77777777" w:rsidR="00A27A34" w:rsidRPr="00A27A34" w:rsidRDefault="00A27A34" w:rsidP="00A27A34">
            <w:pPr>
              <w:pStyle w:val="ListParagraph"/>
              <w:numPr>
                <w:ilvl w:val="0"/>
                <w:numId w:val="8"/>
              </w:numPr>
              <w:spacing w:before="0" w:line="240" w:lineRule="auto"/>
              <w:rPr>
                <w:rFonts w:cs="Times"/>
                <w:bCs/>
                <w:sz w:val="20"/>
                <w:szCs w:val="20"/>
              </w:rPr>
            </w:pPr>
            <w:r w:rsidRPr="00A27A34">
              <w:rPr>
                <w:rFonts w:cs="Times"/>
                <w:bCs/>
                <w:sz w:val="20"/>
                <w:szCs w:val="20"/>
              </w:rPr>
              <w:t>For type 2 UE (i.e., UE without dynamic power sharing capability), any LTE UL transmissions should take place only in UL subframes designated for HARQ-ACK feedback.</w:t>
            </w:r>
          </w:p>
          <w:p w14:paraId="223F85C4" w14:textId="77777777" w:rsidR="00A27A34" w:rsidRPr="00A27A34" w:rsidRDefault="00A27A34" w:rsidP="00A27A34">
            <w:pPr>
              <w:pStyle w:val="ListParagraph"/>
              <w:numPr>
                <w:ilvl w:val="0"/>
                <w:numId w:val="8"/>
              </w:numPr>
              <w:spacing w:before="0" w:line="240" w:lineRule="auto"/>
              <w:rPr>
                <w:rFonts w:cs="Times"/>
                <w:bCs/>
                <w:sz w:val="20"/>
                <w:szCs w:val="20"/>
              </w:rPr>
            </w:pPr>
            <w:r w:rsidRPr="00A27A34">
              <w:rPr>
                <w:rFonts w:cs="Times"/>
                <w:bCs/>
                <w:sz w:val="20"/>
                <w:szCs w:val="20"/>
              </w:rPr>
              <w:lastRenderedPageBreak/>
              <w:t xml:space="preserve">For type 1 UE (i.e., UE with dynamic power sharing capability), </w:t>
            </w:r>
          </w:p>
          <w:p w14:paraId="79FB7429" w14:textId="77777777" w:rsidR="00A27A34" w:rsidRPr="00A27A34" w:rsidRDefault="00A27A34" w:rsidP="00A27A34">
            <w:pPr>
              <w:pStyle w:val="ListParagraph"/>
              <w:numPr>
                <w:ilvl w:val="1"/>
                <w:numId w:val="8"/>
              </w:numPr>
              <w:spacing w:before="0" w:line="240" w:lineRule="auto"/>
              <w:rPr>
                <w:rFonts w:cs="Times"/>
                <w:bCs/>
                <w:sz w:val="20"/>
                <w:szCs w:val="20"/>
              </w:rPr>
            </w:pPr>
            <w:r w:rsidRPr="00A27A34">
              <w:rPr>
                <w:rFonts w:cs="Times"/>
                <w:bCs/>
                <w:sz w:val="20"/>
                <w:szCs w:val="20"/>
              </w:rPr>
              <w:t>Confirm that any LTE UL transmissions scheduled/triggered by DCI can take place in UL subframes not designated for HARQ-ACK feedback.</w:t>
            </w:r>
          </w:p>
          <w:p w14:paraId="3EA43F6E" w14:textId="77777777" w:rsidR="00A27A34" w:rsidRPr="00A27A34" w:rsidRDefault="00A27A34" w:rsidP="00A27A34">
            <w:pPr>
              <w:pStyle w:val="ListParagraph"/>
              <w:numPr>
                <w:ilvl w:val="1"/>
                <w:numId w:val="8"/>
              </w:numPr>
              <w:spacing w:before="0" w:line="240" w:lineRule="auto"/>
              <w:rPr>
                <w:rFonts w:eastAsia="MS Mincho"/>
                <w:bCs/>
                <w:sz w:val="20"/>
                <w:szCs w:val="20"/>
              </w:rPr>
            </w:pPr>
            <w:r w:rsidRPr="00A27A34">
              <w:rPr>
                <w:rFonts w:cs="Times"/>
                <w:bCs/>
                <w:sz w:val="20"/>
                <w:szCs w:val="20"/>
              </w:rPr>
              <w:t xml:space="preserve">FFS UE is not expected to transmit semi-statically configured LTE UL transmissions in the UL subframes other than those designated as UL in the DL-reference configuration if such transmission </w:t>
            </w:r>
            <w:proofErr w:type="gramStart"/>
            <w:r w:rsidRPr="00A27A34">
              <w:rPr>
                <w:rFonts w:cs="Times"/>
                <w:bCs/>
                <w:sz w:val="20"/>
                <w:szCs w:val="20"/>
              </w:rPr>
              <w:t>collide</w:t>
            </w:r>
            <w:proofErr w:type="gramEnd"/>
            <w:r w:rsidRPr="00A27A34">
              <w:rPr>
                <w:rFonts w:cs="Times"/>
                <w:bCs/>
                <w:sz w:val="20"/>
                <w:szCs w:val="20"/>
              </w:rPr>
              <w:t xml:space="preserve"> with NR UL transmissions.</w:t>
            </w:r>
          </w:p>
          <w:p w14:paraId="3E224696" w14:textId="77777777" w:rsidR="00A27A34" w:rsidRPr="00A27A34" w:rsidRDefault="00A27A34" w:rsidP="006A334D">
            <w:pPr>
              <w:spacing w:before="0" w:line="240" w:lineRule="auto"/>
              <w:rPr>
                <w:sz w:val="20"/>
                <w:szCs w:val="20"/>
                <w:highlight w:val="green"/>
                <w:lang w:val="en-GB" w:bidi="hi-IN"/>
              </w:rPr>
            </w:pPr>
          </w:p>
          <w:p w14:paraId="43FACA59" w14:textId="77777777" w:rsidR="00A27A34" w:rsidRPr="00A27A34" w:rsidRDefault="00A27A34" w:rsidP="006A334D">
            <w:pPr>
              <w:spacing w:before="0" w:line="240" w:lineRule="auto"/>
              <w:rPr>
                <w:sz w:val="20"/>
                <w:szCs w:val="20"/>
                <w:highlight w:val="green"/>
                <w:lang w:bidi="hi-IN"/>
              </w:rPr>
            </w:pPr>
            <w:r w:rsidRPr="00A27A34">
              <w:rPr>
                <w:sz w:val="20"/>
                <w:szCs w:val="20"/>
                <w:highlight w:val="green"/>
                <w:lang w:bidi="hi-IN"/>
              </w:rPr>
              <w:t>Agreements</w:t>
            </w:r>
          </w:p>
          <w:p w14:paraId="07319AB7" w14:textId="77777777" w:rsidR="00A27A34" w:rsidRPr="00A27A34" w:rsidRDefault="00A27A34" w:rsidP="006A334D">
            <w:pPr>
              <w:spacing w:before="0" w:line="240" w:lineRule="auto"/>
              <w:rPr>
                <w:i/>
                <w:iCs/>
                <w:sz w:val="20"/>
                <w:szCs w:val="20"/>
                <w:lang w:bidi="hi-IN"/>
              </w:rPr>
            </w:pPr>
            <w:r w:rsidRPr="00A27A34">
              <w:rPr>
                <w:sz w:val="20"/>
                <w:szCs w:val="20"/>
                <w:lang w:bidi="hi-IN"/>
              </w:rPr>
              <w:t xml:space="preserve">For the FFS part in the agreement above, </w:t>
            </w:r>
          </w:p>
          <w:p w14:paraId="150924EA" w14:textId="77777777" w:rsidR="00A27A34" w:rsidRPr="00A27A34" w:rsidRDefault="00A27A34" w:rsidP="00904961">
            <w:pPr>
              <w:pStyle w:val="ListParagraph"/>
              <w:numPr>
                <w:ilvl w:val="0"/>
                <w:numId w:val="8"/>
              </w:numPr>
              <w:spacing w:before="0" w:line="240" w:lineRule="auto"/>
              <w:rPr>
                <w:rFonts w:eastAsia="Times New Roman"/>
                <w:i/>
                <w:iCs/>
                <w:sz w:val="20"/>
                <w:szCs w:val="20"/>
              </w:rPr>
            </w:pPr>
            <w:r w:rsidRPr="00DD1CA1">
              <w:rPr>
                <w:rFonts w:cs="Times"/>
                <w:bCs/>
                <w:sz w:val="20"/>
                <w:szCs w:val="20"/>
                <w:highlight w:val="yellow"/>
              </w:rPr>
              <w:t>semi-</w:t>
            </w:r>
            <w:r w:rsidRPr="00A27A34">
              <w:rPr>
                <w:rFonts w:cs="Times"/>
                <w:bCs/>
                <w:sz w:val="20"/>
                <w:szCs w:val="20"/>
                <w:highlight w:val="yellow"/>
              </w:rPr>
              <w:t>statically configured LTE UL transmissions are allowed in all UL subframes</w:t>
            </w:r>
            <w:r w:rsidRPr="00A27A34">
              <w:rPr>
                <w:rFonts w:cs="Times"/>
                <w:bCs/>
                <w:sz w:val="20"/>
                <w:szCs w:val="20"/>
              </w:rPr>
              <w:t>.</w:t>
            </w:r>
          </w:p>
          <w:p w14:paraId="1AD9F4F5" w14:textId="77777777" w:rsidR="00A27A34" w:rsidRPr="00A27A34" w:rsidRDefault="00A27A34" w:rsidP="00A27A34">
            <w:pPr>
              <w:pStyle w:val="ListParagraph"/>
              <w:numPr>
                <w:ilvl w:val="1"/>
                <w:numId w:val="12"/>
              </w:numPr>
              <w:spacing w:before="0" w:line="240" w:lineRule="auto"/>
              <w:jc w:val="left"/>
              <w:rPr>
                <w:rFonts w:eastAsia="Times New Roman"/>
                <w:i/>
                <w:iCs/>
                <w:sz w:val="20"/>
                <w:szCs w:val="20"/>
              </w:rPr>
            </w:pPr>
            <w:r w:rsidRPr="00A27A34">
              <w:rPr>
                <w:rFonts w:cs="Times"/>
                <w:bCs/>
                <w:sz w:val="20"/>
                <w:szCs w:val="20"/>
              </w:rPr>
              <w:t>Note: In case of collision, LTE transmission is prioritized</w:t>
            </w:r>
          </w:p>
          <w:p w14:paraId="36972D93" w14:textId="77777777" w:rsidR="00A27A34" w:rsidRPr="00A27A34" w:rsidRDefault="00A27A34" w:rsidP="00A27A34">
            <w:pPr>
              <w:pStyle w:val="ListParagraph"/>
              <w:numPr>
                <w:ilvl w:val="1"/>
                <w:numId w:val="12"/>
              </w:numPr>
              <w:spacing w:before="0" w:line="240" w:lineRule="auto"/>
              <w:jc w:val="left"/>
              <w:rPr>
                <w:rFonts w:eastAsia="Times New Roman"/>
                <w:i/>
                <w:iCs/>
                <w:sz w:val="20"/>
                <w:szCs w:val="20"/>
              </w:rPr>
            </w:pPr>
            <w:r w:rsidRPr="00412E96">
              <w:rPr>
                <w:rFonts w:cs="Times"/>
                <w:bCs/>
                <w:sz w:val="20"/>
                <w:szCs w:val="20"/>
                <w:highlight w:val="yellow"/>
              </w:rPr>
              <w:t>Note: this configuration is subject to UE capability</w:t>
            </w:r>
          </w:p>
        </w:tc>
      </w:tr>
    </w:tbl>
    <w:p w14:paraId="2E8427FD" w14:textId="77777777" w:rsidR="0025790F" w:rsidRDefault="0025790F" w:rsidP="0025790F">
      <w:pPr>
        <w:spacing w:before="120" w:line="280" w:lineRule="atLeast"/>
        <w:jc w:val="both"/>
        <w:rPr>
          <w:color w:val="000000"/>
          <w:sz w:val="20"/>
          <w:szCs w:val="20"/>
        </w:rPr>
      </w:pPr>
    </w:p>
    <w:p w14:paraId="65920662" w14:textId="52090285" w:rsidR="0025790F" w:rsidRPr="007D4383" w:rsidRDefault="0025790F" w:rsidP="0025790F">
      <w:pPr>
        <w:spacing w:after="240" w:line="280" w:lineRule="atLeast"/>
        <w:jc w:val="both"/>
        <w:rPr>
          <w:b/>
          <w:bCs/>
          <w:color w:val="000000"/>
          <w:sz w:val="20"/>
          <w:szCs w:val="20"/>
        </w:rPr>
      </w:pPr>
      <w:r w:rsidRPr="001810BD">
        <w:rPr>
          <w:b/>
          <w:bCs/>
          <w:color w:val="000000"/>
          <w:sz w:val="20"/>
          <w:szCs w:val="20"/>
        </w:rPr>
        <w:t>Proposal</w:t>
      </w:r>
      <w:r w:rsidR="00904961">
        <w:rPr>
          <w:b/>
          <w:bCs/>
          <w:color w:val="000000"/>
          <w:sz w:val="20"/>
          <w:szCs w:val="20"/>
        </w:rPr>
        <w:t xml:space="preserve"> 2</w:t>
      </w:r>
      <w:r w:rsidRPr="001810BD">
        <w:rPr>
          <w:b/>
          <w:bCs/>
          <w:color w:val="000000"/>
          <w:sz w:val="20"/>
          <w:szCs w:val="20"/>
        </w:rPr>
        <w:t xml:space="preserve">: </w:t>
      </w:r>
      <w:r w:rsidR="00DD1CA1">
        <w:rPr>
          <w:b/>
          <w:bCs/>
          <w:color w:val="000000"/>
          <w:sz w:val="20"/>
          <w:szCs w:val="20"/>
        </w:rPr>
        <w:t>D</w:t>
      </w:r>
      <w:r w:rsidR="007D4383">
        <w:rPr>
          <w:b/>
          <w:bCs/>
          <w:color w:val="000000"/>
          <w:sz w:val="20"/>
          <w:szCs w:val="20"/>
        </w:rPr>
        <w:t>iscussion further the detailed TP.</w:t>
      </w:r>
    </w:p>
    <w:tbl>
      <w:tblPr>
        <w:tblStyle w:val="TableGrid"/>
        <w:tblW w:w="19258" w:type="dxa"/>
        <w:tblLook w:val="04A0" w:firstRow="1" w:lastRow="0" w:firstColumn="1" w:lastColumn="0" w:noHBand="0" w:noVBand="1"/>
      </w:tblPr>
      <w:tblGrid>
        <w:gridCol w:w="9629"/>
        <w:gridCol w:w="9629"/>
      </w:tblGrid>
      <w:tr w:rsidR="00685C19" w:rsidRPr="00685C19" w14:paraId="0062E47A" w14:textId="77777777" w:rsidTr="00685C19">
        <w:tc>
          <w:tcPr>
            <w:tcW w:w="9629" w:type="dxa"/>
          </w:tcPr>
          <w:p w14:paraId="17DB309F" w14:textId="57BEA2EB" w:rsidR="00685C19" w:rsidRDefault="00685C19" w:rsidP="00685C19">
            <w:pPr>
              <w:ind w:firstLineChars="50" w:firstLine="100"/>
              <w:rPr>
                <w:sz w:val="20"/>
                <w:szCs w:val="20"/>
                <w:lang w:eastAsia="ja-JP"/>
              </w:rPr>
            </w:pPr>
            <w:r w:rsidRPr="00510185">
              <w:rPr>
                <w:sz w:val="20"/>
                <w:szCs w:val="20"/>
              </w:rPr>
              <w:t xml:space="preserve">---------------------------- start </w:t>
            </w:r>
            <w:r>
              <w:rPr>
                <w:sz w:val="20"/>
                <w:szCs w:val="20"/>
              </w:rPr>
              <w:t xml:space="preserve">ZTE </w:t>
            </w:r>
            <w:r w:rsidRPr="00510185">
              <w:rPr>
                <w:sz w:val="20"/>
                <w:szCs w:val="20"/>
              </w:rPr>
              <w:t>TP to sub clause 7.6.1 of 38.213v16.</w:t>
            </w:r>
            <w:r>
              <w:rPr>
                <w:sz w:val="20"/>
                <w:szCs w:val="20"/>
              </w:rPr>
              <w:t>1</w:t>
            </w:r>
            <w:r w:rsidRPr="00510185">
              <w:rPr>
                <w:sz w:val="20"/>
                <w:szCs w:val="20"/>
              </w:rPr>
              <w:t>.0 --------------------------------------</w:t>
            </w:r>
          </w:p>
          <w:p w14:paraId="58A4D03B" w14:textId="4EE50C11" w:rsidR="00685C19" w:rsidRPr="00685C19" w:rsidRDefault="00685C19" w:rsidP="00685C19">
            <w:pPr>
              <w:ind w:firstLineChars="50" w:firstLine="100"/>
              <w:rPr>
                <w:sz w:val="20"/>
                <w:szCs w:val="20"/>
                <w:lang w:eastAsia="ja-JP"/>
              </w:rPr>
            </w:pPr>
            <w:r>
              <w:rPr>
                <w:sz w:val="20"/>
                <w:szCs w:val="20"/>
                <w:lang w:eastAsia="ja-JP"/>
              </w:rPr>
              <w:t>I</w:t>
            </w:r>
            <w:r w:rsidRPr="00685C19">
              <w:rPr>
                <w:sz w:val="20"/>
                <w:szCs w:val="20"/>
                <w:lang w:eastAsia="ja-JP"/>
              </w:rPr>
              <w:t xml:space="preserve">f a UE is configured with </w:t>
            </w:r>
            <w:r w:rsidR="00C42DAF" w:rsidRPr="00CC7E0C">
              <w:rPr>
                <w:noProof/>
                <w:position w:val="-10"/>
                <w:sz w:val="20"/>
                <w:szCs w:val="20"/>
              </w:rPr>
              <w:object w:dxaOrig="1620" w:dyaOrig="340" w14:anchorId="3842665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alt="" style="width:78.55pt;height:13.9pt;mso-width-percent:0;mso-height-percent:0;mso-width-percent:0;mso-height-percent:0" o:ole="">
                  <v:imagedata r:id="rId31" o:title=""/>
                </v:shape>
                <o:OLEObject Type="Embed" ProgID="Equation.3" ShapeID="_x0000_i1030" DrawAspect="Content" ObjectID="_1649149160" r:id="rId32"/>
              </w:object>
            </w:r>
            <w:r w:rsidRPr="00685C19">
              <w:rPr>
                <w:sz w:val="20"/>
                <w:szCs w:val="20"/>
              </w:rPr>
              <w:t xml:space="preserve">, where </w:t>
            </w:r>
            <w:r w:rsidR="00C42DAF" w:rsidRPr="00CC7E0C">
              <w:rPr>
                <w:noProof/>
                <w:position w:val="-10"/>
                <w:sz w:val="20"/>
                <w:szCs w:val="20"/>
              </w:rPr>
              <w:object w:dxaOrig="400" w:dyaOrig="340" w14:anchorId="31E0AA80">
                <v:shape id="_x0000_i1029" type="#_x0000_t75" alt="" style="width:23.3pt;height:13.9pt;mso-width-percent:0;mso-height-percent:0;mso-width-percent:0;mso-height-percent:0" o:ole="">
                  <v:imagedata r:id="rId33" o:title=""/>
                </v:shape>
                <o:OLEObject Type="Embed" ProgID="Equation.3" ShapeID="_x0000_i1029" DrawAspect="Content" ObjectID="_1649149161" r:id="rId34"/>
              </w:object>
            </w:r>
            <w:r w:rsidRPr="00685C19">
              <w:rPr>
                <w:rFonts w:hint="eastAsia"/>
                <w:sz w:val="20"/>
                <w:szCs w:val="20"/>
              </w:rPr>
              <w:t xml:space="preserve"> is the linear value</w:t>
            </w:r>
            <w:r w:rsidRPr="00685C19">
              <w:rPr>
                <w:sz w:val="20"/>
                <w:szCs w:val="20"/>
                <w:lang w:eastAsia="ja-JP"/>
              </w:rPr>
              <w:t xml:space="preserve"> of </w:t>
            </w:r>
            <w:r w:rsidR="00C42DAF" w:rsidRPr="00CC7E0C">
              <w:rPr>
                <w:noProof/>
                <w:position w:val="-10"/>
                <w:sz w:val="20"/>
                <w:szCs w:val="20"/>
              </w:rPr>
              <w:object w:dxaOrig="400" w:dyaOrig="300" w14:anchorId="10AF617E">
                <v:shape id="_x0000_i1028" type="#_x0000_t75" alt="" style="width:23.3pt;height:15.95pt;mso-width-percent:0;mso-height-percent:0;mso-width-percent:0;mso-height-percent:0" o:ole="">
                  <v:imagedata r:id="rId35" o:title=""/>
                </v:shape>
                <o:OLEObject Type="Embed" ProgID="Equation.3" ShapeID="_x0000_i1028" DrawAspect="Content" ObjectID="_1649149162" r:id="rId36"/>
              </w:object>
            </w:r>
            <w:r w:rsidRPr="00685C19">
              <w:rPr>
                <w:sz w:val="20"/>
                <w:szCs w:val="20"/>
              </w:rPr>
              <w:t xml:space="preserve">, </w:t>
            </w:r>
            <w:r w:rsidR="00C42DAF" w:rsidRPr="00CC7E0C">
              <w:rPr>
                <w:noProof/>
                <w:position w:val="-10"/>
                <w:sz w:val="20"/>
                <w:szCs w:val="20"/>
              </w:rPr>
              <w:object w:dxaOrig="360" w:dyaOrig="340" w14:anchorId="195F6E87">
                <v:shape id="_x0000_i1027" type="#_x0000_t75" alt="" style="width:13.9pt;height:13.9pt;mso-width-percent:0;mso-height-percent:0;mso-width-percent:0;mso-height-percent:0" o:ole="">
                  <v:imagedata r:id="rId37" o:title=""/>
                </v:shape>
                <o:OLEObject Type="Embed" ProgID="Equation.3" ShapeID="_x0000_i1027" DrawAspect="Content" ObjectID="_1649149163" r:id="rId38"/>
              </w:object>
            </w:r>
            <w:r w:rsidRPr="00685C19">
              <w:rPr>
                <w:rFonts w:hint="eastAsia"/>
                <w:sz w:val="20"/>
                <w:szCs w:val="20"/>
              </w:rPr>
              <w:t xml:space="preserve"> is the linear value</w:t>
            </w:r>
            <w:r w:rsidRPr="00685C19">
              <w:rPr>
                <w:sz w:val="20"/>
                <w:szCs w:val="20"/>
                <w:lang w:eastAsia="ja-JP"/>
              </w:rPr>
              <w:t xml:space="preserve"> of </w:t>
            </w:r>
            <w:r w:rsidR="00C42DAF" w:rsidRPr="00CC7E0C">
              <w:rPr>
                <w:noProof/>
                <w:position w:val="-10"/>
                <w:sz w:val="20"/>
                <w:szCs w:val="20"/>
              </w:rPr>
              <w:object w:dxaOrig="360" w:dyaOrig="300" w14:anchorId="4D7CFDBE">
                <v:shape id="_x0000_i1026" type="#_x0000_t75" alt="" style="width:13.9pt;height:15.95pt;mso-width-percent:0;mso-height-percent:0;mso-width-percent:0;mso-height-percent:0" o:ole="">
                  <v:imagedata r:id="rId39" o:title=""/>
                </v:shape>
                <o:OLEObject Type="Embed" ProgID="Equation.3" ShapeID="_x0000_i1026" DrawAspect="Content" ObjectID="_1649149164" r:id="rId40"/>
              </w:object>
            </w:r>
            <w:r w:rsidRPr="00685C19">
              <w:rPr>
                <w:sz w:val="20"/>
                <w:szCs w:val="20"/>
              </w:rPr>
              <w:t>, and</w:t>
            </w:r>
            <w:r w:rsidRPr="00685C19">
              <w:rPr>
                <w:rFonts w:hint="eastAsia"/>
                <w:sz w:val="20"/>
                <w:szCs w:val="20"/>
              </w:rPr>
              <w:t xml:space="preserve"> </w:t>
            </w:r>
            <w:r w:rsidR="00C42DAF" w:rsidRPr="00CC7E0C">
              <w:rPr>
                <w:noProof/>
                <w:position w:val="-10"/>
                <w:sz w:val="20"/>
                <w:szCs w:val="20"/>
              </w:rPr>
              <w:object w:dxaOrig="600" w:dyaOrig="340" w14:anchorId="7F3F3CD0">
                <v:shape id="_x0000_i1025" type="#_x0000_t75" alt="" style="width:29.45pt;height:13.9pt;mso-width-percent:0;mso-height-percent:0;mso-width-percent:0;mso-height-percent:0" o:ole="">
                  <v:imagedata r:id="rId41" o:title=""/>
                </v:shape>
                <o:OLEObject Type="Embed" ProgID="Equation.3" ShapeID="_x0000_i1025" DrawAspect="Content" ObjectID="_1649149165" r:id="rId42"/>
              </w:object>
            </w:r>
            <w:r w:rsidRPr="00685C19">
              <w:rPr>
                <w:sz w:val="20"/>
                <w:szCs w:val="20"/>
              </w:rPr>
              <w:t xml:space="preserve"> </w:t>
            </w:r>
            <w:r w:rsidRPr="00685C19">
              <w:rPr>
                <w:rFonts w:hint="eastAsia"/>
                <w:sz w:val="20"/>
                <w:szCs w:val="20"/>
              </w:rPr>
              <w:t xml:space="preserve">is the linear value of </w:t>
            </w:r>
            <w:r w:rsidRPr="00685C19">
              <w:rPr>
                <w:sz w:val="20"/>
                <w:szCs w:val="20"/>
              </w:rPr>
              <w:t>a</w:t>
            </w:r>
            <w:r w:rsidRPr="00685C19">
              <w:rPr>
                <w:rFonts w:hint="eastAsia"/>
                <w:sz w:val="20"/>
                <w:szCs w:val="20"/>
              </w:rPr>
              <w:t xml:space="preserve"> </w:t>
            </w:r>
            <w:r w:rsidRPr="00685C19">
              <w:rPr>
                <w:sz w:val="20"/>
                <w:szCs w:val="20"/>
              </w:rPr>
              <w:t xml:space="preserve">configured </w:t>
            </w:r>
            <w:r w:rsidRPr="00685C19">
              <w:rPr>
                <w:rFonts w:hint="eastAsia"/>
                <w:sz w:val="20"/>
                <w:szCs w:val="20"/>
              </w:rPr>
              <w:t xml:space="preserve">maximum </w:t>
            </w:r>
            <w:r w:rsidRPr="00685C19">
              <w:rPr>
                <w:sz w:val="20"/>
                <w:szCs w:val="20"/>
              </w:rPr>
              <w:t xml:space="preserve">transmission power for EN-DC operation as </w:t>
            </w:r>
            <w:r w:rsidRPr="00685C19">
              <w:rPr>
                <w:iCs/>
                <w:sz w:val="20"/>
                <w:szCs w:val="20"/>
              </w:rPr>
              <w:t xml:space="preserve">defined in </w:t>
            </w:r>
            <w:r w:rsidRPr="00685C19">
              <w:rPr>
                <w:sz w:val="20"/>
                <w:szCs w:val="20"/>
              </w:rPr>
              <w:t xml:space="preserve">[8-3, TS 38.101-3] for FR1, </w:t>
            </w:r>
            <w:r w:rsidRPr="00685C19">
              <w:rPr>
                <w:sz w:val="20"/>
                <w:szCs w:val="20"/>
                <w:lang w:eastAsia="ja-JP"/>
              </w:rPr>
              <w:t>the UE determines a transmission power for the SCG as follows.</w:t>
            </w:r>
          </w:p>
          <w:p w14:paraId="45D553DB" w14:textId="77777777" w:rsidR="00685C19" w:rsidRPr="00685C19" w:rsidRDefault="00685C19" w:rsidP="00685C19">
            <w:pPr>
              <w:pStyle w:val="B1"/>
              <w:rPr>
                <w:sz w:val="20"/>
                <w:szCs w:val="20"/>
              </w:rPr>
            </w:pPr>
            <w:r w:rsidRPr="00685C19">
              <w:rPr>
                <w:sz w:val="20"/>
                <w:szCs w:val="20"/>
                <w:lang w:eastAsia="ja-JP"/>
              </w:rPr>
              <w:t>-</w:t>
            </w:r>
            <w:r w:rsidRPr="00685C19">
              <w:rPr>
                <w:sz w:val="20"/>
                <w:szCs w:val="20"/>
                <w:lang w:eastAsia="ja-JP"/>
              </w:rPr>
              <w:tab/>
              <w:t xml:space="preserve">If the UE is </w:t>
            </w:r>
            <w:r w:rsidRPr="00685C19">
              <w:rPr>
                <w:rFonts w:hint="eastAsia"/>
                <w:sz w:val="20"/>
                <w:szCs w:val="20"/>
              </w:rPr>
              <w:t>configured</w:t>
            </w:r>
            <w:r w:rsidRPr="00685C19">
              <w:rPr>
                <w:sz w:val="20"/>
                <w:szCs w:val="20"/>
              </w:rPr>
              <w:t xml:space="preserve"> </w:t>
            </w:r>
            <w:r w:rsidRPr="00685C19">
              <w:rPr>
                <w:rFonts w:hint="eastAsia"/>
                <w:sz w:val="20"/>
                <w:szCs w:val="20"/>
              </w:rPr>
              <w:t xml:space="preserve">with </w:t>
            </w:r>
            <w:r w:rsidRPr="00685C19">
              <w:rPr>
                <w:sz w:val="20"/>
                <w:szCs w:val="20"/>
              </w:rPr>
              <w:t>reference TDD configuration</w:t>
            </w:r>
            <w:r w:rsidRPr="00685C19">
              <w:rPr>
                <w:rFonts w:hint="eastAsia"/>
                <w:sz w:val="20"/>
                <w:szCs w:val="20"/>
              </w:rPr>
              <w:t xml:space="preserve"> </w:t>
            </w:r>
            <w:r w:rsidRPr="00685C19">
              <w:rPr>
                <w:sz w:val="20"/>
                <w:szCs w:val="20"/>
              </w:rPr>
              <w:t xml:space="preserve">for E-UTRA (by </w:t>
            </w:r>
            <w:r w:rsidRPr="00685C19">
              <w:rPr>
                <w:i/>
                <w:iCs/>
                <w:sz w:val="20"/>
                <w:szCs w:val="20"/>
              </w:rPr>
              <w:t>tdm-PatternConfig-r15</w:t>
            </w:r>
            <w:r w:rsidRPr="00685C19">
              <w:rPr>
                <w:rFonts w:hint="eastAsia"/>
                <w:sz w:val="20"/>
                <w:szCs w:val="20"/>
              </w:rPr>
              <w:t xml:space="preserve"> </w:t>
            </w:r>
            <w:r w:rsidRPr="00685C19">
              <w:rPr>
                <w:sz w:val="20"/>
                <w:szCs w:val="20"/>
              </w:rPr>
              <w:t xml:space="preserve">or by </w:t>
            </w:r>
            <w:r w:rsidRPr="00685C19">
              <w:rPr>
                <w:i/>
                <w:iCs/>
                <w:sz w:val="20"/>
                <w:szCs w:val="20"/>
              </w:rPr>
              <w:t>tdm-PatternConfig-r16</w:t>
            </w:r>
            <w:r w:rsidRPr="00685C19">
              <w:rPr>
                <w:sz w:val="20"/>
                <w:szCs w:val="20"/>
              </w:rPr>
              <w:t xml:space="preserve"> in </w:t>
            </w:r>
            <w:r w:rsidRPr="00685C19">
              <w:rPr>
                <w:rFonts w:hint="eastAsia"/>
                <w:sz w:val="20"/>
                <w:szCs w:val="20"/>
              </w:rPr>
              <w:t>[13, TS</w:t>
            </w:r>
            <w:r w:rsidRPr="00685C19">
              <w:rPr>
                <w:sz w:val="20"/>
                <w:szCs w:val="20"/>
              </w:rPr>
              <w:t xml:space="preserve"> </w:t>
            </w:r>
            <w:r w:rsidRPr="00685C19">
              <w:rPr>
                <w:rFonts w:hint="eastAsia"/>
                <w:sz w:val="20"/>
                <w:szCs w:val="20"/>
              </w:rPr>
              <w:t>36.213]</w:t>
            </w:r>
            <w:r w:rsidRPr="00685C19">
              <w:rPr>
                <w:sz w:val="20"/>
                <w:szCs w:val="20"/>
              </w:rPr>
              <w:t>)</w:t>
            </w:r>
          </w:p>
          <w:p w14:paraId="23FECC08" w14:textId="77777777" w:rsidR="00685C19" w:rsidRPr="00685C19" w:rsidRDefault="00685C19" w:rsidP="00685C19">
            <w:pPr>
              <w:pStyle w:val="B2"/>
              <w:rPr>
                <w:sz w:val="20"/>
                <w:szCs w:val="20"/>
              </w:rPr>
            </w:pPr>
            <w:r w:rsidRPr="00685C19">
              <w:rPr>
                <w:sz w:val="20"/>
                <w:szCs w:val="20"/>
              </w:rPr>
              <w:t>-</w:t>
            </w:r>
            <w:r w:rsidRPr="00685C19">
              <w:rPr>
                <w:sz w:val="20"/>
                <w:szCs w:val="20"/>
              </w:rPr>
              <w:tab/>
              <w:t xml:space="preserve">If the UE does </w:t>
            </w:r>
            <w:r w:rsidRPr="00685C19">
              <w:rPr>
                <w:sz w:val="20"/>
                <w:szCs w:val="20"/>
                <w:lang w:eastAsia="ja-JP"/>
              </w:rPr>
              <w:t xml:space="preserve">not indicate a capability for dynamic power sharing between E-UTRA and NR for EN-DC, </w:t>
            </w:r>
            <w:r w:rsidRPr="00685C19">
              <w:rPr>
                <w:sz w:val="20"/>
                <w:szCs w:val="20"/>
              </w:rPr>
              <w:t>the UE does</w:t>
            </w:r>
            <w:r w:rsidRPr="00685C19">
              <w:rPr>
                <w:rFonts w:hint="eastAsia"/>
                <w:sz w:val="20"/>
                <w:szCs w:val="20"/>
              </w:rPr>
              <w:t xml:space="preserve"> not transmit</w:t>
            </w:r>
            <w:r w:rsidRPr="00685C19">
              <w:rPr>
                <w:sz w:val="20"/>
                <w:szCs w:val="20"/>
              </w:rPr>
              <w:t xml:space="preserve"> in a slot on the SCG in FR1 when a corresponding subframe on the MCG </w:t>
            </w:r>
            <w:r w:rsidRPr="00685C19">
              <w:rPr>
                <w:rFonts w:hint="eastAsia"/>
                <w:sz w:val="20"/>
                <w:szCs w:val="20"/>
              </w:rPr>
              <w:t>is an</w:t>
            </w:r>
            <w:r w:rsidRPr="00685C19">
              <w:rPr>
                <w:sz w:val="20"/>
                <w:szCs w:val="20"/>
              </w:rPr>
              <w:t xml:space="preserve"> UL </w:t>
            </w:r>
            <w:r w:rsidRPr="00685C19">
              <w:rPr>
                <w:rFonts w:hint="eastAsia"/>
                <w:sz w:val="20"/>
                <w:szCs w:val="20"/>
              </w:rPr>
              <w:t xml:space="preserve">subframe </w:t>
            </w:r>
            <w:r w:rsidRPr="00685C19">
              <w:rPr>
                <w:sz w:val="20"/>
                <w:szCs w:val="20"/>
              </w:rPr>
              <w:t>in the reference TDD configuration.</w:t>
            </w:r>
          </w:p>
          <w:p w14:paraId="00E60FB9" w14:textId="77777777" w:rsidR="00685C19" w:rsidRPr="00685C19" w:rsidRDefault="00685C19" w:rsidP="00685C19">
            <w:pPr>
              <w:pStyle w:val="B2"/>
              <w:rPr>
                <w:sz w:val="20"/>
                <w:szCs w:val="20"/>
              </w:rPr>
            </w:pPr>
            <w:r w:rsidRPr="00685C19">
              <w:rPr>
                <w:sz w:val="20"/>
                <w:szCs w:val="20"/>
              </w:rPr>
              <w:t>-</w:t>
            </w:r>
            <w:r w:rsidRPr="00685C19">
              <w:rPr>
                <w:sz w:val="20"/>
                <w:szCs w:val="20"/>
              </w:rPr>
              <w:tab/>
              <w:t xml:space="preserve">If the UE indicates a capability for dynamic power sharing between E-UTRA and NR for EN-DC, and does not indicate a capability </w:t>
            </w:r>
            <w:proofErr w:type="spellStart"/>
            <w:r w:rsidRPr="00685C19">
              <w:rPr>
                <w:i/>
                <w:iCs/>
                <w:sz w:val="20"/>
                <w:szCs w:val="20"/>
              </w:rPr>
              <w:t>tdm</w:t>
            </w:r>
            <w:proofErr w:type="spellEnd"/>
            <w:r w:rsidRPr="00685C19">
              <w:rPr>
                <w:i/>
                <w:iCs/>
                <w:sz w:val="20"/>
                <w:szCs w:val="20"/>
              </w:rPr>
              <w:t>-Pattern-</w:t>
            </w:r>
            <w:proofErr w:type="spellStart"/>
            <w:r w:rsidRPr="00685C19">
              <w:rPr>
                <w:i/>
                <w:iCs/>
                <w:sz w:val="20"/>
                <w:szCs w:val="20"/>
              </w:rPr>
              <w:t>dualTx</w:t>
            </w:r>
            <w:proofErr w:type="spellEnd"/>
            <w:r w:rsidRPr="00685C19">
              <w:rPr>
                <w:sz w:val="20"/>
                <w:szCs w:val="20"/>
              </w:rPr>
              <w:t xml:space="preserve"> in [16, TS 38.306], and is configured with </w:t>
            </w:r>
            <w:r w:rsidRPr="00685C19">
              <w:rPr>
                <w:i/>
                <w:iCs/>
                <w:sz w:val="20"/>
                <w:szCs w:val="20"/>
              </w:rPr>
              <w:t>tdm-PatternConfig-r16</w:t>
            </w:r>
            <w:r w:rsidRPr="00685C19">
              <w:rPr>
                <w:sz w:val="20"/>
                <w:szCs w:val="20"/>
              </w:rPr>
              <w:t>, the UE does not transmit on the SCG in FR1 when the UE has overlapped transmission on a subframe on the MCG.</w:t>
            </w:r>
          </w:p>
          <w:p w14:paraId="4E60652B" w14:textId="14F5E442" w:rsidR="00685C19" w:rsidRPr="00685C19" w:rsidRDefault="00685C19" w:rsidP="00685C19">
            <w:pPr>
              <w:pStyle w:val="B1"/>
              <w:rPr>
                <w:sz w:val="20"/>
                <w:szCs w:val="20"/>
                <w:u w:val="single"/>
              </w:rPr>
            </w:pPr>
            <w:r w:rsidRPr="00685C19">
              <w:rPr>
                <w:color w:val="FF0000"/>
                <w:sz w:val="20"/>
                <w:szCs w:val="20"/>
                <w:u w:val="single"/>
              </w:rPr>
              <w:t xml:space="preserve">-  If the UE indicates a capability for dynamic power sharing between E-UTRA and NR for EN-DC, and indicates a capability </w:t>
            </w:r>
            <w:proofErr w:type="spellStart"/>
            <w:r w:rsidRPr="00685C19">
              <w:rPr>
                <w:color w:val="FF0000"/>
                <w:sz w:val="20"/>
                <w:szCs w:val="20"/>
                <w:u w:val="single"/>
              </w:rPr>
              <w:t>tdm</w:t>
            </w:r>
            <w:proofErr w:type="spellEnd"/>
            <w:r w:rsidRPr="00685C19">
              <w:rPr>
                <w:color w:val="FF0000"/>
                <w:sz w:val="20"/>
                <w:szCs w:val="20"/>
                <w:u w:val="single"/>
              </w:rPr>
              <w:t>-Pattern-</w:t>
            </w:r>
            <w:proofErr w:type="spellStart"/>
            <w:r w:rsidRPr="00685C19">
              <w:rPr>
                <w:color w:val="FF0000"/>
                <w:sz w:val="20"/>
                <w:szCs w:val="20"/>
                <w:u w:val="single"/>
              </w:rPr>
              <w:t>dualTx</w:t>
            </w:r>
            <w:proofErr w:type="spellEnd"/>
            <w:r w:rsidRPr="00685C19">
              <w:rPr>
                <w:color w:val="FF0000"/>
                <w:sz w:val="20"/>
                <w:szCs w:val="20"/>
                <w:u w:val="single"/>
              </w:rPr>
              <w:t xml:space="preserve"> and a capability semi-</w:t>
            </w:r>
            <w:proofErr w:type="spellStart"/>
            <w:r w:rsidRPr="00685C19">
              <w:rPr>
                <w:color w:val="FF0000"/>
                <w:sz w:val="20"/>
                <w:szCs w:val="20"/>
                <w:u w:val="single"/>
              </w:rPr>
              <w:t>staticULTransInAllSubframe</w:t>
            </w:r>
            <w:proofErr w:type="spellEnd"/>
            <w:r w:rsidRPr="00685C19">
              <w:rPr>
                <w:color w:val="FF0000"/>
                <w:sz w:val="20"/>
                <w:szCs w:val="20"/>
                <w:u w:val="single"/>
              </w:rPr>
              <w:t xml:space="preserve"> in [16, TS 38.306], and is configured with tdm-PatternConfig-r16, the UE does not transmit on the SCG in FR1 when the UE has overlapped transmission that is not associated with a DCI on a subframe on the MCG.</w:t>
            </w:r>
          </w:p>
        </w:tc>
        <w:tc>
          <w:tcPr>
            <w:tcW w:w="9629" w:type="dxa"/>
          </w:tcPr>
          <w:p w14:paraId="5BD7C9BB" w14:textId="516943F1" w:rsidR="00685C19" w:rsidRPr="00685C19" w:rsidRDefault="00685C19" w:rsidP="00685C19">
            <w:pPr>
              <w:pStyle w:val="B1"/>
              <w:rPr>
                <w:sz w:val="20"/>
                <w:szCs w:val="20"/>
              </w:rPr>
            </w:pPr>
          </w:p>
        </w:tc>
      </w:tr>
    </w:tbl>
    <w:p w14:paraId="6B2DD3F6" w14:textId="5A551C77" w:rsidR="0025790F" w:rsidRDefault="0025790F" w:rsidP="0025790F">
      <w:pPr>
        <w:rPr>
          <w:lang w:eastAsia="ja-JP" w:bidi="hi-IN"/>
        </w:rPr>
      </w:pPr>
    </w:p>
    <w:p w14:paraId="0E31E590" w14:textId="05E76695" w:rsidR="0025790F" w:rsidRDefault="0025790F" w:rsidP="0025790F">
      <w:pPr>
        <w:rPr>
          <w:lang w:eastAsia="ja-JP" w:bidi="hi-IN"/>
        </w:rPr>
      </w:pPr>
    </w:p>
    <w:tbl>
      <w:tblPr>
        <w:tblStyle w:val="TableGrid"/>
        <w:tblW w:w="0" w:type="auto"/>
        <w:tblLook w:val="04A0" w:firstRow="1" w:lastRow="0" w:firstColumn="1" w:lastColumn="0" w:noHBand="0" w:noVBand="1"/>
      </w:tblPr>
      <w:tblGrid>
        <w:gridCol w:w="9628"/>
      </w:tblGrid>
      <w:tr w:rsidR="00685C19" w:rsidRPr="00685C19" w14:paraId="138858D5" w14:textId="77777777" w:rsidTr="006A334D">
        <w:tc>
          <w:tcPr>
            <w:tcW w:w="9628" w:type="dxa"/>
          </w:tcPr>
          <w:p w14:paraId="154D636B" w14:textId="34720ABD" w:rsidR="00685C19" w:rsidRDefault="00685C19" w:rsidP="00685C19">
            <w:pPr>
              <w:ind w:firstLineChars="50" w:firstLine="100"/>
              <w:rPr>
                <w:sz w:val="20"/>
                <w:szCs w:val="20"/>
                <w:lang w:eastAsia="ja-JP"/>
              </w:rPr>
            </w:pPr>
            <w:r w:rsidRPr="00510185">
              <w:rPr>
                <w:sz w:val="20"/>
                <w:szCs w:val="20"/>
              </w:rPr>
              <w:t xml:space="preserve">---------------------------- start </w:t>
            </w:r>
            <w:r>
              <w:rPr>
                <w:sz w:val="20"/>
                <w:szCs w:val="20"/>
              </w:rPr>
              <w:t xml:space="preserve">ZTE </w:t>
            </w:r>
            <w:r w:rsidRPr="00510185">
              <w:rPr>
                <w:sz w:val="20"/>
                <w:szCs w:val="20"/>
              </w:rPr>
              <w:t xml:space="preserve">TP to sub clause </w:t>
            </w:r>
            <w:r>
              <w:rPr>
                <w:sz w:val="20"/>
                <w:szCs w:val="20"/>
              </w:rPr>
              <w:t>5</w:t>
            </w:r>
            <w:r w:rsidRPr="00510185">
              <w:rPr>
                <w:sz w:val="20"/>
                <w:szCs w:val="20"/>
              </w:rPr>
              <w:t>.1 of 3</w:t>
            </w:r>
            <w:r>
              <w:rPr>
                <w:sz w:val="20"/>
                <w:szCs w:val="20"/>
              </w:rPr>
              <w:t>6</w:t>
            </w:r>
            <w:r w:rsidRPr="00510185">
              <w:rPr>
                <w:sz w:val="20"/>
                <w:szCs w:val="20"/>
              </w:rPr>
              <w:t>.213v16.</w:t>
            </w:r>
            <w:r>
              <w:rPr>
                <w:sz w:val="20"/>
                <w:szCs w:val="20"/>
              </w:rPr>
              <w:t>1</w:t>
            </w:r>
            <w:r w:rsidRPr="00510185">
              <w:rPr>
                <w:sz w:val="20"/>
                <w:szCs w:val="20"/>
              </w:rPr>
              <w:t>.0 --------------------------------------</w:t>
            </w:r>
          </w:p>
          <w:p w14:paraId="5A8EDAB3" w14:textId="0099FD10" w:rsidR="00685C19" w:rsidRPr="00685C19" w:rsidRDefault="00685C19" w:rsidP="006A334D">
            <w:pPr>
              <w:rPr>
                <w:sz w:val="20"/>
                <w:szCs w:val="20"/>
              </w:rPr>
            </w:pPr>
            <w:r>
              <w:rPr>
                <w:bCs/>
                <w:noProof/>
                <w:sz w:val="20"/>
                <w:szCs w:val="20"/>
              </w:rPr>
              <w:t>F</w:t>
            </w:r>
            <w:r w:rsidRPr="00685C19">
              <w:rPr>
                <w:bCs/>
                <w:noProof/>
                <w:sz w:val="20"/>
                <w:szCs w:val="20"/>
              </w:rPr>
              <w:t xml:space="preserve">or a UE configured with EN-DC, if the UE does not indicate </w:t>
            </w:r>
            <w:r w:rsidRPr="00685C19">
              <w:rPr>
                <w:sz w:val="20"/>
                <w:szCs w:val="20"/>
              </w:rPr>
              <w:t>a capability for dynamic power sharing (as specified in [17])</w:t>
            </w:r>
            <w:r w:rsidRPr="00685C19">
              <w:rPr>
                <w:bCs/>
                <w:noProof/>
                <w:sz w:val="20"/>
                <w:szCs w:val="20"/>
              </w:rPr>
              <w:t xml:space="preserve"> and </w:t>
            </w:r>
            <w:r w:rsidRPr="00685C19">
              <w:rPr>
                <w:sz w:val="20"/>
                <w:szCs w:val="20"/>
              </w:rPr>
              <w:t xml:space="preserve">if the UE is configured with </w:t>
            </w:r>
            <w:r w:rsidRPr="00685C19">
              <w:rPr>
                <w:i/>
                <w:sz w:val="20"/>
                <w:szCs w:val="20"/>
              </w:rPr>
              <w:t xml:space="preserve">subframeAssignment-r16 </w:t>
            </w:r>
            <w:r w:rsidRPr="00685C19">
              <w:rPr>
                <w:sz w:val="20"/>
                <w:szCs w:val="20"/>
              </w:rPr>
              <w:t xml:space="preserve">for a serving cell, the UE </w:t>
            </w:r>
            <w:r w:rsidRPr="00685C19">
              <w:rPr>
                <w:rFonts w:ascii="Times" w:hAnsi="Times"/>
                <w:sz w:val="20"/>
                <w:szCs w:val="20"/>
              </w:rPr>
              <w:t xml:space="preserve">is not expected to transmit any uplink physical channel or signal in the serving cell on subframes other than offset-UL subframes, where the offset-UL subframes are determined by applying an </w:t>
            </w:r>
            <w:r w:rsidRPr="00685C19">
              <w:rPr>
                <w:sz w:val="20"/>
                <w:szCs w:val="20"/>
              </w:rPr>
              <w:t xml:space="preserve">offset value given by </w:t>
            </w:r>
            <w:r w:rsidRPr="00685C19">
              <w:rPr>
                <w:bCs/>
                <w:i/>
                <w:sz w:val="20"/>
                <w:szCs w:val="20"/>
                <w:lang w:val="x-none"/>
              </w:rPr>
              <w:t>harq-Offset</w:t>
            </w:r>
            <w:r w:rsidRPr="00685C19">
              <w:rPr>
                <w:bCs/>
                <w:i/>
                <w:sz w:val="20"/>
                <w:szCs w:val="20"/>
              </w:rPr>
              <w:t>-r16</w:t>
            </w:r>
            <w:r w:rsidRPr="00685C19">
              <w:rPr>
                <w:rFonts w:ascii="Times" w:hAnsi="Times"/>
                <w:sz w:val="20"/>
                <w:szCs w:val="20"/>
              </w:rPr>
              <w:t xml:space="preserve"> to the subframes denoted as uplink in the </w:t>
            </w:r>
            <w:r w:rsidRPr="00685C19">
              <w:rPr>
                <w:sz w:val="20"/>
                <w:szCs w:val="20"/>
              </w:rPr>
              <w:t xml:space="preserve">UL/DL configuration </w:t>
            </w:r>
            <w:r w:rsidRPr="00685C19">
              <w:rPr>
                <w:i/>
                <w:sz w:val="20"/>
                <w:szCs w:val="20"/>
              </w:rPr>
              <w:t>subframeAssignment-r16</w:t>
            </w:r>
            <w:r w:rsidRPr="00685C19">
              <w:rPr>
                <w:sz w:val="20"/>
                <w:szCs w:val="20"/>
              </w:rPr>
              <w:t>.</w:t>
            </w:r>
          </w:p>
          <w:p w14:paraId="3568E0E4" w14:textId="77777777" w:rsidR="00685C19" w:rsidRPr="00685C19" w:rsidRDefault="00685C19" w:rsidP="006A334D">
            <w:pPr>
              <w:rPr>
                <w:sz w:val="20"/>
                <w:szCs w:val="20"/>
                <w:u w:val="single"/>
              </w:rPr>
            </w:pPr>
            <w:r w:rsidRPr="00685C19">
              <w:rPr>
                <w:rFonts w:hint="eastAsia"/>
                <w:color w:val="FF0000"/>
                <w:sz w:val="20"/>
                <w:szCs w:val="20"/>
                <w:u w:val="single"/>
                <w:lang w:val="en-GB"/>
              </w:rPr>
              <w:t>F</w:t>
            </w:r>
            <w:r w:rsidRPr="00685C19">
              <w:rPr>
                <w:color w:val="FF0000"/>
                <w:sz w:val="20"/>
                <w:szCs w:val="20"/>
                <w:u w:val="single"/>
                <w:lang w:val="en-GB"/>
              </w:rPr>
              <w:t>or a UE</w:t>
            </w:r>
            <w:r w:rsidRPr="00685C19">
              <w:rPr>
                <w:bCs/>
                <w:noProof/>
                <w:color w:val="FF0000"/>
                <w:sz w:val="20"/>
                <w:szCs w:val="20"/>
                <w:u w:val="single"/>
              </w:rPr>
              <w:t xml:space="preserve"> configured with EN-DC, if the UE indicates </w:t>
            </w:r>
            <w:r w:rsidRPr="00685C19">
              <w:rPr>
                <w:color w:val="FF0000"/>
                <w:sz w:val="20"/>
                <w:szCs w:val="20"/>
                <w:u w:val="single"/>
              </w:rPr>
              <w:t xml:space="preserve">a capability for dynamic power sharing and does not indicate a capability </w:t>
            </w:r>
            <w:r w:rsidRPr="00685C19">
              <w:rPr>
                <w:i/>
                <w:color w:val="FF0000"/>
                <w:sz w:val="20"/>
                <w:szCs w:val="20"/>
                <w:u w:val="single"/>
              </w:rPr>
              <w:t>semi-</w:t>
            </w:r>
            <w:proofErr w:type="spellStart"/>
            <w:r w:rsidRPr="00685C19">
              <w:rPr>
                <w:i/>
                <w:color w:val="FF0000"/>
                <w:sz w:val="20"/>
                <w:szCs w:val="20"/>
                <w:u w:val="single"/>
              </w:rPr>
              <w:t>staticULTransInAllSubframe</w:t>
            </w:r>
            <w:proofErr w:type="spellEnd"/>
            <w:r w:rsidRPr="00685C19">
              <w:rPr>
                <w:color w:val="FF0000"/>
                <w:sz w:val="20"/>
                <w:szCs w:val="20"/>
                <w:u w:val="single"/>
              </w:rPr>
              <w:t xml:space="preserve"> (as specified in [17])</w:t>
            </w:r>
            <w:r w:rsidRPr="00685C19">
              <w:rPr>
                <w:bCs/>
                <w:noProof/>
                <w:color w:val="FF0000"/>
                <w:sz w:val="20"/>
                <w:szCs w:val="20"/>
                <w:u w:val="single"/>
              </w:rPr>
              <w:t xml:space="preserve"> and </w:t>
            </w:r>
            <w:r w:rsidRPr="00685C19">
              <w:rPr>
                <w:color w:val="FF0000"/>
                <w:sz w:val="20"/>
                <w:szCs w:val="20"/>
                <w:u w:val="single"/>
              </w:rPr>
              <w:t xml:space="preserve">if the UE is configured with </w:t>
            </w:r>
            <w:r w:rsidRPr="00685C19">
              <w:rPr>
                <w:i/>
                <w:color w:val="FF0000"/>
                <w:sz w:val="20"/>
                <w:szCs w:val="20"/>
                <w:u w:val="single"/>
              </w:rPr>
              <w:t xml:space="preserve">subframeAssignment-r16 </w:t>
            </w:r>
            <w:r w:rsidRPr="00685C19">
              <w:rPr>
                <w:color w:val="FF0000"/>
                <w:sz w:val="20"/>
                <w:szCs w:val="20"/>
                <w:u w:val="single"/>
              </w:rPr>
              <w:t xml:space="preserve">for a serving cell, the UE is not expected to transmit any uplink physical channel or signal without associated DCI in the serving cell on subframes other than offset-UL </w:t>
            </w:r>
            <w:r w:rsidRPr="00685C19">
              <w:rPr>
                <w:rFonts w:ascii="Times" w:hAnsi="Times"/>
                <w:color w:val="FF0000"/>
                <w:sz w:val="20"/>
                <w:szCs w:val="20"/>
                <w:u w:val="single"/>
              </w:rPr>
              <w:t xml:space="preserve">subframes, where the offset-UL subframes are determined by applying an </w:t>
            </w:r>
            <w:r w:rsidRPr="00685C19">
              <w:rPr>
                <w:color w:val="FF0000"/>
                <w:sz w:val="20"/>
                <w:szCs w:val="20"/>
                <w:u w:val="single"/>
              </w:rPr>
              <w:t xml:space="preserve">offset value given by </w:t>
            </w:r>
            <w:r w:rsidRPr="00685C19">
              <w:rPr>
                <w:bCs/>
                <w:i/>
                <w:color w:val="FF0000"/>
                <w:sz w:val="20"/>
                <w:szCs w:val="20"/>
                <w:u w:val="single"/>
                <w:lang w:val="x-none"/>
              </w:rPr>
              <w:t>harq-Offset</w:t>
            </w:r>
            <w:r w:rsidRPr="00685C19">
              <w:rPr>
                <w:bCs/>
                <w:i/>
                <w:color w:val="FF0000"/>
                <w:sz w:val="20"/>
                <w:szCs w:val="20"/>
                <w:u w:val="single"/>
              </w:rPr>
              <w:t>-r16</w:t>
            </w:r>
            <w:r w:rsidRPr="00685C19">
              <w:rPr>
                <w:rFonts w:ascii="Times" w:hAnsi="Times"/>
                <w:color w:val="FF0000"/>
                <w:sz w:val="20"/>
                <w:szCs w:val="20"/>
                <w:u w:val="single"/>
              </w:rPr>
              <w:t xml:space="preserve"> to the subframes denoted as uplink in the </w:t>
            </w:r>
            <w:r w:rsidRPr="00685C19">
              <w:rPr>
                <w:color w:val="FF0000"/>
                <w:sz w:val="20"/>
                <w:szCs w:val="20"/>
                <w:u w:val="single"/>
              </w:rPr>
              <w:t xml:space="preserve">UL/DL configuration </w:t>
            </w:r>
            <w:r w:rsidRPr="00685C19">
              <w:rPr>
                <w:i/>
                <w:color w:val="FF0000"/>
                <w:sz w:val="20"/>
                <w:szCs w:val="20"/>
                <w:u w:val="single"/>
              </w:rPr>
              <w:t>subframeAssignment-r16</w:t>
            </w:r>
            <w:r w:rsidRPr="00685C19">
              <w:rPr>
                <w:color w:val="FF0000"/>
                <w:sz w:val="20"/>
                <w:szCs w:val="20"/>
                <w:u w:val="single"/>
              </w:rPr>
              <w:t>.</w:t>
            </w:r>
          </w:p>
        </w:tc>
      </w:tr>
    </w:tbl>
    <w:p w14:paraId="19571322" w14:textId="77777777" w:rsidR="00685C19" w:rsidRDefault="00685C19" w:rsidP="0025790F">
      <w:pPr>
        <w:rPr>
          <w:lang w:eastAsia="ja-JP" w:bidi="hi-IN"/>
        </w:rPr>
      </w:pPr>
    </w:p>
    <w:tbl>
      <w:tblPr>
        <w:tblStyle w:val="TableGrid"/>
        <w:tblW w:w="0" w:type="auto"/>
        <w:tblLook w:val="04A0" w:firstRow="1" w:lastRow="0" w:firstColumn="1" w:lastColumn="0" w:noHBand="0" w:noVBand="1"/>
      </w:tblPr>
      <w:tblGrid>
        <w:gridCol w:w="9629"/>
      </w:tblGrid>
      <w:tr w:rsidR="0062765A" w:rsidRPr="0062765A" w14:paraId="5E1BEF11" w14:textId="77777777" w:rsidTr="006A334D">
        <w:tc>
          <w:tcPr>
            <w:tcW w:w="9962" w:type="dxa"/>
          </w:tcPr>
          <w:p w14:paraId="1EEBE089" w14:textId="66CECBC2" w:rsidR="0062765A" w:rsidRDefault="0062765A" w:rsidP="0062765A">
            <w:pPr>
              <w:ind w:firstLineChars="50" w:firstLine="100"/>
              <w:rPr>
                <w:sz w:val="20"/>
                <w:szCs w:val="20"/>
                <w:lang w:eastAsia="ja-JP"/>
              </w:rPr>
            </w:pPr>
            <w:r w:rsidRPr="00510185">
              <w:rPr>
                <w:sz w:val="20"/>
                <w:szCs w:val="20"/>
              </w:rPr>
              <w:lastRenderedPageBreak/>
              <w:t xml:space="preserve">---------------------------- start </w:t>
            </w:r>
            <w:r>
              <w:rPr>
                <w:sz w:val="20"/>
                <w:szCs w:val="20"/>
              </w:rPr>
              <w:t>Qualcom</w:t>
            </w:r>
            <w:r w:rsidR="00F2489F">
              <w:rPr>
                <w:sz w:val="20"/>
                <w:szCs w:val="20"/>
              </w:rPr>
              <w:t>m</w:t>
            </w:r>
            <w:r>
              <w:rPr>
                <w:sz w:val="20"/>
                <w:szCs w:val="20"/>
              </w:rPr>
              <w:t xml:space="preserve"> </w:t>
            </w:r>
            <w:r w:rsidRPr="00510185">
              <w:rPr>
                <w:sz w:val="20"/>
                <w:szCs w:val="20"/>
              </w:rPr>
              <w:t xml:space="preserve">TP to clause </w:t>
            </w:r>
            <w:r w:rsidR="00F2489F">
              <w:rPr>
                <w:sz w:val="20"/>
                <w:szCs w:val="20"/>
              </w:rPr>
              <w:t>6 or 8</w:t>
            </w:r>
            <w:r w:rsidRPr="00510185">
              <w:rPr>
                <w:sz w:val="20"/>
                <w:szCs w:val="20"/>
              </w:rPr>
              <w:t xml:space="preserve"> of 3</w:t>
            </w:r>
            <w:r>
              <w:rPr>
                <w:sz w:val="20"/>
                <w:szCs w:val="20"/>
              </w:rPr>
              <w:t>6</w:t>
            </w:r>
            <w:r w:rsidRPr="00510185">
              <w:rPr>
                <w:sz w:val="20"/>
                <w:szCs w:val="20"/>
              </w:rPr>
              <w:t>.213v16.</w:t>
            </w:r>
            <w:r>
              <w:rPr>
                <w:sz w:val="20"/>
                <w:szCs w:val="20"/>
              </w:rPr>
              <w:t>1</w:t>
            </w:r>
            <w:r w:rsidRPr="00510185">
              <w:rPr>
                <w:sz w:val="20"/>
                <w:szCs w:val="20"/>
              </w:rPr>
              <w:t>.0 --------------------------------------</w:t>
            </w:r>
          </w:p>
          <w:p w14:paraId="5DE8992F" w14:textId="4A75A947" w:rsidR="0062765A" w:rsidRPr="0062765A" w:rsidRDefault="0062765A" w:rsidP="006A334D">
            <w:pPr>
              <w:rPr>
                <w:sz w:val="20"/>
                <w:szCs w:val="20"/>
                <w:lang w:val="en-GB" w:eastAsia="en-GB"/>
              </w:rPr>
            </w:pPr>
            <w:r>
              <w:rPr>
                <w:bCs/>
                <w:noProof/>
                <w:sz w:val="20"/>
                <w:szCs w:val="20"/>
                <w:lang w:val="en-GB" w:eastAsia="en-GB"/>
              </w:rPr>
              <w:t>F</w:t>
            </w:r>
            <w:r w:rsidRPr="0062765A">
              <w:rPr>
                <w:bCs/>
                <w:noProof/>
                <w:sz w:val="20"/>
                <w:szCs w:val="20"/>
                <w:lang w:val="en-GB" w:eastAsia="en-GB"/>
              </w:rPr>
              <w:t xml:space="preserve">or a UE configured with EN-DC/NE-DC and serving cell frame structure type 1, </w:t>
            </w:r>
            <w:r w:rsidRPr="0062765A">
              <w:rPr>
                <w:sz w:val="20"/>
                <w:szCs w:val="20"/>
                <w:lang w:val="en-GB" w:eastAsia="en-GB"/>
              </w:rPr>
              <w:t xml:space="preserve">if the UE is configured with </w:t>
            </w:r>
            <w:r w:rsidRPr="0062765A">
              <w:rPr>
                <w:i/>
                <w:sz w:val="20"/>
                <w:szCs w:val="20"/>
                <w:lang w:val="en-GB" w:eastAsia="en-GB"/>
              </w:rPr>
              <w:t xml:space="preserve">subframeAssignment-r15 </w:t>
            </w:r>
            <w:r w:rsidRPr="0062765A">
              <w:rPr>
                <w:sz w:val="20"/>
                <w:szCs w:val="20"/>
                <w:lang w:val="en-GB" w:eastAsia="en-GB"/>
              </w:rPr>
              <w:t xml:space="preserve">for the serving cell, the UE </w:t>
            </w:r>
            <w:r w:rsidRPr="0062765A">
              <w:rPr>
                <w:rFonts w:ascii="Times" w:hAnsi="Times"/>
                <w:sz w:val="20"/>
                <w:szCs w:val="20"/>
                <w:lang w:val="en-GB" w:eastAsia="en-GB"/>
              </w:rPr>
              <w:t xml:space="preserve">is not expected to transmit any uplink physical channel or signal in the serving cell on subframes other than offset-UL subframes, where the offset-UL subframes are determined by applying an </w:t>
            </w:r>
            <w:r w:rsidRPr="0062765A">
              <w:rPr>
                <w:sz w:val="20"/>
                <w:szCs w:val="20"/>
                <w:lang w:val="en-GB" w:eastAsia="en-GB"/>
              </w:rPr>
              <w:t xml:space="preserve">offset value given by </w:t>
            </w:r>
            <w:r w:rsidRPr="0062765A">
              <w:rPr>
                <w:bCs/>
                <w:i/>
                <w:sz w:val="20"/>
                <w:szCs w:val="20"/>
                <w:lang w:val="x-none" w:eastAsia="en-GB"/>
              </w:rPr>
              <w:t>harq-Offset</w:t>
            </w:r>
            <w:r w:rsidRPr="0062765A">
              <w:rPr>
                <w:bCs/>
                <w:i/>
                <w:sz w:val="20"/>
                <w:szCs w:val="20"/>
                <w:lang w:eastAsia="en-GB"/>
              </w:rPr>
              <w:t>-r15</w:t>
            </w:r>
            <w:r w:rsidRPr="0062765A">
              <w:rPr>
                <w:rFonts w:ascii="Times" w:hAnsi="Times"/>
                <w:sz w:val="20"/>
                <w:szCs w:val="20"/>
                <w:lang w:val="en-GB" w:eastAsia="en-GB"/>
              </w:rPr>
              <w:t xml:space="preserve"> to the subframes denoted as uplink in the </w:t>
            </w:r>
            <w:r w:rsidRPr="0062765A">
              <w:rPr>
                <w:sz w:val="20"/>
                <w:szCs w:val="20"/>
                <w:lang w:val="en-GB" w:eastAsia="en-GB"/>
              </w:rPr>
              <w:t xml:space="preserve">UL/DL configuration </w:t>
            </w:r>
            <w:r w:rsidRPr="0062765A">
              <w:rPr>
                <w:i/>
                <w:sz w:val="20"/>
                <w:szCs w:val="20"/>
                <w:lang w:val="en-GB" w:eastAsia="en-GB"/>
              </w:rPr>
              <w:t>subframeAssignment-r15</w:t>
            </w:r>
            <w:r w:rsidRPr="0062765A">
              <w:rPr>
                <w:sz w:val="20"/>
                <w:szCs w:val="20"/>
                <w:lang w:val="en-GB" w:eastAsia="en-GB"/>
              </w:rPr>
              <w:t>.</w:t>
            </w:r>
          </w:p>
          <w:p w14:paraId="3F499710" w14:textId="77777777" w:rsidR="0062765A" w:rsidRPr="0062765A" w:rsidRDefault="0062765A" w:rsidP="006A334D">
            <w:pPr>
              <w:rPr>
                <w:sz w:val="20"/>
                <w:szCs w:val="20"/>
                <w:lang w:val="en-GB" w:eastAsia="en-GB"/>
              </w:rPr>
            </w:pPr>
            <w:r w:rsidRPr="0062765A">
              <w:rPr>
                <w:bCs/>
                <w:noProof/>
                <w:sz w:val="20"/>
                <w:szCs w:val="20"/>
                <w:lang w:val="en-GB" w:eastAsia="en-GB"/>
              </w:rPr>
              <w:t xml:space="preserve">For a UE configured with EN-DC, if the UE does not indicate </w:t>
            </w:r>
            <w:r w:rsidRPr="0062765A">
              <w:rPr>
                <w:sz w:val="20"/>
                <w:szCs w:val="20"/>
                <w:lang w:val="en-GB" w:eastAsia="en-GB"/>
              </w:rPr>
              <w:t>a capability for dynamic power sharing (as specified in [17])</w:t>
            </w:r>
            <w:r w:rsidRPr="0062765A">
              <w:rPr>
                <w:bCs/>
                <w:noProof/>
                <w:sz w:val="20"/>
                <w:szCs w:val="20"/>
                <w:lang w:val="en-GB" w:eastAsia="en-GB"/>
              </w:rPr>
              <w:t xml:space="preserve"> and </w:t>
            </w:r>
            <w:r w:rsidRPr="0062765A">
              <w:rPr>
                <w:sz w:val="20"/>
                <w:szCs w:val="20"/>
                <w:lang w:val="en-GB" w:eastAsia="en-GB"/>
              </w:rPr>
              <w:t xml:space="preserve">if the UE is configured with </w:t>
            </w:r>
            <w:r w:rsidRPr="0062765A">
              <w:rPr>
                <w:i/>
                <w:sz w:val="20"/>
                <w:szCs w:val="20"/>
                <w:lang w:val="en-GB" w:eastAsia="en-GB"/>
              </w:rPr>
              <w:t xml:space="preserve">subframeAssignment-r16 </w:t>
            </w:r>
            <w:r w:rsidRPr="0062765A">
              <w:rPr>
                <w:sz w:val="20"/>
                <w:szCs w:val="20"/>
                <w:lang w:val="en-GB" w:eastAsia="en-GB"/>
              </w:rPr>
              <w:t xml:space="preserve">for the serving cell, the UE </w:t>
            </w:r>
            <w:r w:rsidRPr="0062765A">
              <w:rPr>
                <w:rFonts w:ascii="Times" w:hAnsi="Times"/>
                <w:sz w:val="20"/>
                <w:szCs w:val="20"/>
                <w:lang w:val="en-GB" w:eastAsia="en-GB"/>
              </w:rPr>
              <w:t xml:space="preserve">is not expected to transmit any uplink physical channel or signal in the serving cell on subframes other than offset-UL subframes, where the offset-UL subframes are determined by applying an </w:t>
            </w:r>
            <w:r w:rsidRPr="0062765A">
              <w:rPr>
                <w:sz w:val="20"/>
                <w:szCs w:val="20"/>
                <w:lang w:val="en-GB" w:eastAsia="en-GB"/>
              </w:rPr>
              <w:t xml:space="preserve">offset value given by </w:t>
            </w:r>
            <w:r w:rsidRPr="0062765A">
              <w:rPr>
                <w:bCs/>
                <w:i/>
                <w:sz w:val="20"/>
                <w:szCs w:val="20"/>
                <w:lang w:val="x-none" w:eastAsia="en-GB"/>
              </w:rPr>
              <w:t>harq-Offset</w:t>
            </w:r>
            <w:r w:rsidRPr="0062765A">
              <w:rPr>
                <w:bCs/>
                <w:i/>
                <w:sz w:val="20"/>
                <w:szCs w:val="20"/>
                <w:lang w:val="en-GB" w:eastAsia="en-GB"/>
              </w:rPr>
              <w:t>-r16</w:t>
            </w:r>
            <w:r w:rsidRPr="0062765A">
              <w:rPr>
                <w:rFonts w:ascii="Times" w:hAnsi="Times"/>
                <w:sz w:val="20"/>
                <w:szCs w:val="20"/>
                <w:lang w:val="en-GB" w:eastAsia="en-GB"/>
              </w:rPr>
              <w:t xml:space="preserve"> to the subframes denoted as uplink in the </w:t>
            </w:r>
            <w:r w:rsidRPr="0062765A">
              <w:rPr>
                <w:sz w:val="20"/>
                <w:szCs w:val="20"/>
                <w:lang w:val="en-GB" w:eastAsia="en-GB"/>
              </w:rPr>
              <w:t xml:space="preserve">UL/DL configuration </w:t>
            </w:r>
            <w:r w:rsidRPr="0062765A">
              <w:rPr>
                <w:i/>
                <w:sz w:val="20"/>
                <w:szCs w:val="20"/>
                <w:lang w:val="en-GB" w:eastAsia="en-GB"/>
              </w:rPr>
              <w:t>subframeAssignment-r16</w:t>
            </w:r>
            <w:r w:rsidRPr="0062765A">
              <w:rPr>
                <w:sz w:val="20"/>
                <w:szCs w:val="20"/>
                <w:lang w:val="en-GB" w:eastAsia="en-GB"/>
              </w:rPr>
              <w:t>.</w:t>
            </w:r>
          </w:p>
          <w:p w14:paraId="05350560" w14:textId="77777777" w:rsidR="0062765A" w:rsidRPr="0062765A" w:rsidRDefault="0062765A" w:rsidP="006A334D">
            <w:pPr>
              <w:rPr>
                <w:sz w:val="20"/>
                <w:szCs w:val="20"/>
                <w:u w:val="single"/>
                <w:lang w:val="en-GB" w:eastAsia="en-GB"/>
              </w:rPr>
            </w:pPr>
            <w:r w:rsidRPr="0062765A">
              <w:rPr>
                <w:rFonts w:hint="eastAsia"/>
                <w:color w:val="FF0000"/>
                <w:sz w:val="20"/>
                <w:szCs w:val="20"/>
                <w:u w:val="single"/>
                <w:lang w:val="en-GB"/>
              </w:rPr>
              <w:t>F</w:t>
            </w:r>
            <w:r w:rsidRPr="0062765A">
              <w:rPr>
                <w:color w:val="FF0000"/>
                <w:sz w:val="20"/>
                <w:szCs w:val="20"/>
                <w:u w:val="single"/>
                <w:lang w:val="en-GB"/>
              </w:rPr>
              <w:t xml:space="preserve">or a UE configured with EN-DC, if the UE indicates a capability for dynamic power sharing (as specified in [17]) and if the UE is configured with </w:t>
            </w:r>
            <w:r w:rsidRPr="0062765A">
              <w:rPr>
                <w:i/>
                <w:iCs/>
                <w:color w:val="FF0000"/>
                <w:sz w:val="20"/>
                <w:szCs w:val="20"/>
                <w:u w:val="single"/>
                <w:lang w:val="en-GB"/>
              </w:rPr>
              <w:t>subframeAssignment-r16</w:t>
            </w:r>
            <w:r w:rsidRPr="0062765A">
              <w:rPr>
                <w:color w:val="FF0000"/>
                <w:sz w:val="20"/>
                <w:szCs w:val="20"/>
                <w:u w:val="single"/>
                <w:lang w:val="en-GB"/>
              </w:rPr>
              <w:t xml:space="preserve"> for the serving cell, the UE is not expected to be configured or indicated to transmit any uplink physical channel or signal, in the serving cell on subframes other than offset-UL subframes</w:t>
            </w:r>
            <w:r w:rsidRPr="0062765A">
              <w:rPr>
                <w:rFonts w:ascii="Times" w:hAnsi="Times"/>
                <w:color w:val="FF0000"/>
                <w:sz w:val="20"/>
                <w:szCs w:val="20"/>
                <w:u w:val="single"/>
                <w:lang w:val="en-GB" w:eastAsia="en-GB"/>
              </w:rPr>
              <w:t xml:space="preserve">, where the offset-UL subframes are determined by applying an </w:t>
            </w:r>
            <w:r w:rsidRPr="0062765A">
              <w:rPr>
                <w:color w:val="FF0000"/>
                <w:sz w:val="20"/>
                <w:szCs w:val="20"/>
                <w:u w:val="single"/>
                <w:lang w:val="en-GB" w:eastAsia="en-GB"/>
              </w:rPr>
              <w:t xml:space="preserve">offset value given by </w:t>
            </w:r>
            <w:r w:rsidRPr="0062765A">
              <w:rPr>
                <w:bCs/>
                <w:i/>
                <w:color w:val="FF0000"/>
                <w:sz w:val="20"/>
                <w:szCs w:val="20"/>
                <w:u w:val="single"/>
                <w:lang w:val="x-none" w:eastAsia="en-GB"/>
              </w:rPr>
              <w:t>harq-Offset</w:t>
            </w:r>
            <w:r w:rsidRPr="0062765A">
              <w:rPr>
                <w:bCs/>
                <w:i/>
                <w:color w:val="FF0000"/>
                <w:sz w:val="20"/>
                <w:szCs w:val="20"/>
                <w:u w:val="single"/>
                <w:lang w:eastAsia="en-GB"/>
              </w:rPr>
              <w:t>-r16</w:t>
            </w:r>
            <w:r w:rsidRPr="0062765A">
              <w:rPr>
                <w:rFonts w:ascii="Times" w:hAnsi="Times"/>
                <w:color w:val="FF0000"/>
                <w:sz w:val="20"/>
                <w:szCs w:val="20"/>
                <w:u w:val="single"/>
                <w:lang w:val="en-GB" w:eastAsia="en-GB"/>
              </w:rPr>
              <w:t xml:space="preserve"> to the subframes denoted as uplink in the </w:t>
            </w:r>
            <w:r w:rsidRPr="0062765A">
              <w:rPr>
                <w:color w:val="FF0000"/>
                <w:sz w:val="20"/>
                <w:szCs w:val="20"/>
                <w:u w:val="single"/>
                <w:lang w:val="en-GB" w:eastAsia="en-GB"/>
              </w:rPr>
              <w:t xml:space="preserve">UL/DL configuration </w:t>
            </w:r>
            <w:r w:rsidRPr="0062765A">
              <w:rPr>
                <w:i/>
                <w:color w:val="FF0000"/>
                <w:sz w:val="20"/>
                <w:szCs w:val="20"/>
                <w:u w:val="single"/>
                <w:lang w:val="en-GB" w:eastAsia="en-GB"/>
              </w:rPr>
              <w:t>subframeAssignment-r16</w:t>
            </w:r>
            <w:r w:rsidRPr="0062765A">
              <w:rPr>
                <w:iCs/>
                <w:color w:val="FF0000"/>
                <w:sz w:val="20"/>
                <w:szCs w:val="20"/>
                <w:u w:val="single"/>
                <w:lang w:val="en-GB" w:eastAsia="en-GB"/>
              </w:rPr>
              <w:t>, if the UE does not</w:t>
            </w:r>
            <w:r w:rsidRPr="0062765A">
              <w:rPr>
                <w:rFonts w:hint="eastAsia"/>
                <w:iCs/>
                <w:color w:val="FF0000"/>
                <w:sz w:val="20"/>
                <w:szCs w:val="20"/>
                <w:u w:val="single"/>
                <w:lang w:val="en-GB"/>
              </w:rPr>
              <w:t xml:space="preserve"> </w:t>
            </w:r>
            <w:r w:rsidRPr="0062765A">
              <w:rPr>
                <w:iCs/>
                <w:color w:val="FF0000"/>
                <w:sz w:val="20"/>
                <w:szCs w:val="20"/>
                <w:u w:val="single"/>
                <w:lang w:val="en-GB"/>
              </w:rPr>
              <w:t>indicate</w:t>
            </w:r>
            <w:r w:rsidRPr="0062765A">
              <w:rPr>
                <w:iCs/>
                <w:color w:val="FF0000"/>
                <w:sz w:val="20"/>
                <w:szCs w:val="20"/>
                <w:u w:val="single"/>
                <w:lang w:val="en-GB" w:eastAsia="en-GB"/>
              </w:rPr>
              <w:t xml:space="preserve"> the UE capability </w:t>
            </w:r>
            <w:r w:rsidRPr="0062765A">
              <w:rPr>
                <w:i/>
                <w:color w:val="FF0000"/>
                <w:sz w:val="20"/>
                <w:szCs w:val="20"/>
                <w:u w:val="single"/>
                <w:lang w:val="en-GB" w:eastAsia="en-GB"/>
              </w:rPr>
              <w:t>[FG18-2a or FG18-3a]</w:t>
            </w:r>
            <w:r w:rsidRPr="0062765A">
              <w:rPr>
                <w:iCs/>
                <w:color w:val="FF0000"/>
                <w:sz w:val="20"/>
                <w:szCs w:val="20"/>
                <w:u w:val="single"/>
                <w:lang w:val="en-GB" w:eastAsia="en-GB"/>
              </w:rPr>
              <w:t xml:space="preserve"> (as specified in [17]).</w:t>
            </w:r>
          </w:p>
        </w:tc>
      </w:tr>
    </w:tbl>
    <w:p w14:paraId="01622E0F" w14:textId="52EE0E5E" w:rsidR="0025790F" w:rsidRDefault="0025790F" w:rsidP="0025790F">
      <w:pPr>
        <w:rPr>
          <w:lang w:eastAsia="ja-JP" w:bidi="hi-IN"/>
        </w:rPr>
      </w:pPr>
    </w:p>
    <w:p w14:paraId="11AA1C18" w14:textId="0B16E6B7" w:rsidR="00E82C7D" w:rsidRDefault="00E82C7D" w:rsidP="00E82C7D">
      <w:pPr>
        <w:jc w:val="both"/>
        <w:rPr>
          <w:sz w:val="20"/>
          <w:szCs w:val="20"/>
          <w:lang w:eastAsia="ja-JP" w:bidi="hi-IN"/>
        </w:rPr>
      </w:pPr>
      <w:r w:rsidRPr="00E82C7D">
        <w:rPr>
          <w:sz w:val="20"/>
          <w:szCs w:val="20"/>
          <w:lang w:eastAsia="ja-JP" w:bidi="hi-IN"/>
        </w:rPr>
        <w:t>As the exact definition of the corresponding UE capability will be discussed in this meeting, and there are different proposals, it might be desirable to wait until the corresponding UE feature discussed is concluded.</w:t>
      </w:r>
    </w:p>
    <w:p w14:paraId="089DAF02" w14:textId="244F9FDE" w:rsidR="00E82C7D" w:rsidRDefault="00E82C7D" w:rsidP="00E82C7D">
      <w:pPr>
        <w:jc w:val="both"/>
        <w:rPr>
          <w:sz w:val="20"/>
          <w:szCs w:val="20"/>
          <w:lang w:eastAsia="ja-JP" w:bidi="hi-IN"/>
        </w:rPr>
      </w:pPr>
    </w:p>
    <w:p w14:paraId="1DB4CDB5" w14:textId="3D8AD8F4" w:rsidR="00E82C7D" w:rsidRPr="00E82C7D" w:rsidRDefault="00E82C7D" w:rsidP="00E82C7D">
      <w:pPr>
        <w:jc w:val="both"/>
        <w:rPr>
          <w:i/>
          <w:iCs/>
          <w:sz w:val="20"/>
          <w:szCs w:val="20"/>
          <w:lang w:eastAsia="ja-JP" w:bidi="hi-IN"/>
        </w:rPr>
      </w:pPr>
      <w:r w:rsidRPr="00E82C7D">
        <w:rPr>
          <w:b/>
          <w:bCs/>
          <w:i/>
          <w:iCs/>
          <w:sz w:val="20"/>
          <w:szCs w:val="20"/>
          <w:u w:val="single"/>
          <w:lang w:eastAsia="ja-JP" w:bidi="hi-IN"/>
        </w:rPr>
        <w:t>FL proposal 2</w:t>
      </w:r>
      <w:r w:rsidRPr="00E82C7D">
        <w:rPr>
          <w:i/>
          <w:iCs/>
          <w:sz w:val="20"/>
          <w:szCs w:val="20"/>
          <w:lang w:eastAsia="ja-JP" w:bidi="hi-IN"/>
        </w:rPr>
        <w:t xml:space="preserve">: </w:t>
      </w:r>
      <w:r w:rsidR="00A439B1">
        <w:rPr>
          <w:i/>
          <w:iCs/>
          <w:sz w:val="20"/>
          <w:szCs w:val="20"/>
          <w:lang w:eastAsia="ja-JP" w:bidi="hi-IN"/>
        </w:rPr>
        <w:t>The related TP discussion could be delayed</w:t>
      </w:r>
      <w:r w:rsidRPr="00E82C7D">
        <w:rPr>
          <w:i/>
          <w:iCs/>
          <w:sz w:val="20"/>
          <w:szCs w:val="20"/>
          <w:lang w:eastAsia="ja-JP" w:bidi="hi-IN"/>
        </w:rPr>
        <w:t xml:space="preserve"> until the corresponding UE feature discussion is completed.</w:t>
      </w:r>
    </w:p>
    <w:p w14:paraId="100F8A31" w14:textId="6D0BCD8C" w:rsidR="00F87160" w:rsidRPr="00F87160" w:rsidRDefault="00F87160" w:rsidP="005677CE">
      <w:pPr>
        <w:pStyle w:val="Heading1"/>
      </w:pPr>
      <w:r>
        <w:t xml:space="preserve">Clarifications on Type 2 UE </w:t>
      </w:r>
      <w:proofErr w:type="spellStart"/>
      <w:r>
        <w:t>behavior</w:t>
      </w:r>
      <w:proofErr w:type="spellEnd"/>
    </w:p>
    <w:p w14:paraId="61D66657" w14:textId="193D8D44" w:rsidR="00F87160" w:rsidRPr="00D95ACF" w:rsidRDefault="00F87160" w:rsidP="00F87160">
      <w:pPr>
        <w:pStyle w:val="Heading2"/>
        <w:rPr>
          <w:szCs w:val="24"/>
        </w:rPr>
      </w:pPr>
      <w:r>
        <w:rPr>
          <w:szCs w:val="24"/>
        </w:rPr>
        <w:t>Clarification on T</w:t>
      </w:r>
      <w:r w:rsidRPr="00B03F36">
        <w:rPr>
          <w:szCs w:val="24"/>
        </w:rPr>
        <w:t>ype 2 UE</w:t>
      </w:r>
      <w:r>
        <w:rPr>
          <w:szCs w:val="24"/>
        </w:rPr>
        <w:t xml:space="preserve"> </w:t>
      </w:r>
      <w:r w:rsidR="00B3022F">
        <w:rPr>
          <w:szCs w:val="24"/>
        </w:rPr>
        <w:t>behavior</w:t>
      </w:r>
    </w:p>
    <w:p w14:paraId="7921091E" w14:textId="509B342E" w:rsidR="00F87160" w:rsidRPr="00C754BE" w:rsidRDefault="00E82C7D" w:rsidP="00F87160">
      <w:pPr>
        <w:rPr>
          <w:rFonts w:eastAsia="MS Mincho"/>
          <w:sz w:val="20"/>
          <w:szCs w:val="20"/>
          <w:lang w:eastAsia="ja-JP" w:bidi="hi-IN"/>
        </w:rPr>
      </w:pPr>
      <w:r w:rsidRPr="00E82C7D">
        <w:rPr>
          <w:rFonts w:eastAsia="MS Mincho"/>
          <w:sz w:val="20"/>
          <w:szCs w:val="20"/>
          <w:u w:val="single"/>
          <w:lang w:eastAsia="ja-JP" w:bidi="hi-IN"/>
        </w:rPr>
        <w:t>Background</w:t>
      </w:r>
      <w:r>
        <w:rPr>
          <w:rFonts w:eastAsia="MS Mincho"/>
          <w:sz w:val="20"/>
          <w:szCs w:val="20"/>
          <w:lang w:eastAsia="ja-JP" w:bidi="hi-IN"/>
        </w:rPr>
        <w:t xml:space="preserve">: </w:t>
      </w:r>
      <w:r w:rsidR="00F87160">
        <w:rPr>
          <w:rFonts w:eastAsia="MS Mincho"/>
          <w:sz w:val="20"/>
          <w:szCs w:val="20"/>
          <w:lang w:eastAsia="ja-JP" w:bidi="hi-IN"/>
        </w:rPr>
        <w:t xml:space="preserve">The type 2 UE behavior is not </w:t>
      </w:r>
      <w:r w:rsidR="0040326F">
        <w:rPr>
          <w:rFonts w:eastAsia="MS Mincho"/>
          <w:sz w:val="20"/>
          <w:szCs w:val="20"/>
          <w:lang w:eastAsia="ja-JP" w:bidi="hi-IN"/>
        </w:rPr>
        <w:t xml:space="preserve">fully </w:t>
      </w:r>
      <w:r w:rsidR="00F87160">
        <w:rPr>
          <w:rFonts w:eastAsia="MS Mincho"/>
          <w:sz w:val="20"/>
          <w:szCs w:val="20"/>
          <w:lang w:eastAsia="ja-JP" w:bidi="hi-IN"/>
        </w:rPr>
        <w:t>specified in the specification</w:t>
      </w:r>
      <w:r w:rsidR="0040326F">
        <w:rPr>
          <w:rFonts w:eastAsia="MS Mincho"/>
          <w:sz w:val="20"/>
          <w:szCs w:val="20"/>
          <w:lang w:eastAsia="ja-JP" w:bidi="hi-IN"/>
        </w:rPr>
        <w:t xml:space="preserve"> TS38.213</w:t>
      </w:r>
      <w:r w:rsidR="00F87160">
        <w:rPr>
          <w:rFonts w:eastAsia="MS Mincho"/>
          <w:sz w:val="20"/>
          <w:szCs w:val="20"/>
          <w:lang w:eastAsia="ja-JP" w:bidi="hi-IN"/>
        </w:rPr>
        <w:t xml:space="preserve"> for the case of </w:t>
      </w:r>
      <w:r w:rsidR="00F87160" w:rsidRPr="00C754BE">
        <w:rPr>
          <w:sz w:val="20"/>
          <w:szCs w:val="20"/>
        </w:rPr>
        <w:t xml:space="preserve">P_LTE+P_NR &lt;= </w:t>
      </w:r>
      <w:proofErr w:type="spellStart"/>
      <w:r w:rsidR="00F87160" w:rsidRPr="00C754BE">
        <w:rPr>
          <w:sz w:val="20"/>
          <w:szCs w:val="20"/>
        </w:rPr>
        <w:t>P_total</w:t>
      </w:r>
      <w:proofErr w:type="spellEnd"/>
      <w:r w:rsidR="00F87160">
        <w:rPr>
          <w:sz w:val="20"/>
          <w:szCs w:val="20"/>
        </w:rPr>
        <w:t xml:space="preserve">. </w:t>
      </w:r>
      <w:r w:rsidR="0040326F">
        <w:rPr>
          <w:sz w:val="20"/>
          <w:szCs w:val="20"/>
        </w:rPr>
        <w:t>Specifically, the following proposal on clarification of type 2</w:t>
      </w:r>
      <w:r w:rsidR="00F87160">
        <w:rPr>
          <w:sz w:val="20"/>
          <w:szCs w:val="20"/>
        </w:rPr>
        <w:t xml:space="preserve"> UE behavior</w:t>
      </w:r>
      <w:r w:rsidR="0040326F">
        <w:rPr>
          <w:sz w:val="20"/>
          <w:szCs w:val="20"/>
        </w:rPr>
        <w:t xml:space="preserve"> is made</w:t>
      </w:r>
      <w:r w:rsidR="00F87160">
        <w:rPr>
          <w:sz w:val="20"/>
          <w:szCs w:val="20"/>
        </w:rPr>
        <w:t xml:space="preserve"> in [3]</w:t>
      </w:r>
      <w:r w:rsidR="00A439B1">
        <w:rPr>
          <w:sz w:val="20"/>
          <w:szCs w:val="20"/>
        </w:rPr>
        <w:t xml:space="preserve"> as follows:</w:t>
      </w:r>
    </w:p>
    <w:p w14:paraId="0367CB39" w14:textId="77777777" w:rsidR="00F87160" w:rsidRDefault="00F87160" w:rsidP="00F87160">
      <w:pPr>
        <w:rPr>
          <w:rFonts w:eastAsia="MS Mincho"/>
          <w:sz w:val="20"/>
          <w:szCs w:val="20"/>
          <w:lang w:eastAsia="ja-JP" w:bidi="hi-IN"/>
        </w:rPr>
      </w:pPr>
    </w:p>
    <w:p w14:paraId="3FEBFEFB" w14:textId="729D8C0E" w:rsidR="00F87160" w:rsidRPr="000A628E" w:rsidRDefault="00F87160" w:rsidP="00F87160">
      <w:pPr>
        <w:jc w:val="both"/>
        <w:rPr>
          <w:bCs/>
          <w:sz w:val="20"/>
          <w:szCs w:val="20"/>
          <w:u w:val="single"/>
        </w:rPr>
      </w:pPr>
      <w:r w:rsidRPr="000A628E">
        <w:rPr>
          <w:bCs/>
          <w:sz w:val="20"/>
          <w:szCs w:val="20"/>
          <w:u w:val="single"/>
        </w:rPr>
        <w:t xml:space="preserve">Proposal : Clarify the </w:t>
      </w:r>
      <w:r w:rsidRPr="000A628E">
        <w:rPr>
          <w:rFonts w:hint="eastAsia"/>
          <w:bCs/>
          <w:sz w:val="20"/>
          <w:szCs w:val="20"/>
          <w:u w:val="single"/>
          <w:lang w:eastAsia="zh-TW"/>
        </w:rPr>
        <w:t xml:space="preserve">whether </w:t>
      </w:r>
      <w:r w:rsidRPr="000A628E">
        <w:rPr>
          <w:bCs/>
          <w:sz w:val="20"/>
          <w:szCs w:val="20"/>
          <w:u w:val="single"/>
        </w:rPr>
        <w:t xml:space="preserve">the following UE </w:t>
      </w:r>
      <w:proofErr w:type="spellStart"/>
      <w:r w:rsidRPr="000A628E">
        <w:rPr>
          <w:bCs/>
          <w:sz w:val="20"/>
          <w:szCs w:val="20"/>
          <w:u w:val="single"/>
        </w:rPr>
        <w:t>behaviour</w:t>
      </w:r>
      <w:proofErr w:type="spellEnd"/>
      <w:r w:rsidRPr="000A628E">
        <w:rPr>
          <w:bCs/>
          <w:sz w:val="20"/>
          <w:szCs w:val="20"/>
          <w:u w:val="single"/>
        </w:rPr>
        <w:t xml:space="preserve"> is matching the Rel-16 agreement for UL collision handling:</w:t>
      </w:r>
    </w:p>
    <w:p w14:paraId="5BA1C2A4" w14:textId="77777777" w:rsidR="00F87160" w:rsidRPr="000A628E" w:rsidRDefault="00F87160" w:rsidP="00F87160">
      <w:pPr>
        <w:numPr>
          <w:ilvl w:val="0"/>
          <w:numId w:val="26"/>
        </w:numPr>
        <w:tabs>
          <w:tab w:val="clear" w:pos="720"/>
          <w:tab w:val="num" w:pos="360"/>
        </w:tabs>
        <w:spacing w:after="180"/>
        <w:ind w:left="360"/>
        <w:jc w:val="both"/>
        <w:rPr>
          <w:bCs/>
          <w:sz w:val="20"/>
          <w:szCs w:val="20"/>
        </w:rPr>
      </w:pPr>
      <w:r w:rsidRPr="000A628E">
        <w:rPr>
          <w:bCs/>
          <w:sz w:val="20"/>
          <w:szCs w:val="20"/>
        </w:rPr>
        <w:t xml:space="preserve">For Type 2 UE, NR UL can collide with LTE UL under “P_LTE+P_NR &lt;= </w:t>
      </w:r>
      <w:proofErr w:type="spellStart"/>
      <w:r w:rsidRPr="000A628E">
        <w:rPr>
          <w:bCs/>
          <w:sz w:val="20"/>
          <w:szCs w:val="20"/>
        </w:rPr>
        <w:t>P_total</w:t>
      </w:r>
      <w:proofErr w:type="spellEnd"/>
      <w:r w:rsidRPr="000A628E">
        <w:rPr>
          <w:bCs/>
          <w:sz w:val="20"/>
          <w:szCs w:val="20"/>
        </w:rPr>
        <w:t xml:space="preserve">” and the corresponding transmission behavior is up to UE implementation </w:t>
      </w:r>
    </w:p>
    <w:p w14:paraId="67B4F726" w14:textId="77777777" w:rsidR="00F87160" w:rsidRPr="000A628E" w:rsidRDefault="00F87160" w:rsidP="00F87160">
      <w:pPr>
        <w:numPr>
          <w:ilvl w:val="0"/>
          <w:numId w:val="27"/>
        </w:numPr>
        <w:spacing w:after="180"/>
        <w:jc w:val="both"/>
        <w:rPr>
          <w:bCs/>
          <w:sz w:val="20"/>
          <w:szCs w:val="20"/>
        </w:rPr>
      </w:pPr>
      <w:r w:rsidRPr="000A628E">
        <w:rPr>
          <w:bCs/>
          <w:sz w:val="20"/>
          <w:szCs w:val="20"/>
        </w:rPr>
        <w:t xml:space="preserve">since all slots can be scheduled for NR UL </w:t>
      </w:r>
      <w:r w:rsidRPr="000A628E">
        <w:rPr>
          <w:bCs/>
          <w:sz w:val="20"/>
          <w:szCs w:val="20"/>
          <w:u w:val="single"/>
        </w:rPr>
        <w:t>(no restriction)</w:t>
      </w:r>
      <w:r w:rsidRPr="000A628E">
        <w:rPr>
          <w:bCs/>
          <w:sz w:val="20"/>
          <w:szCs w:val="20"/>
        </w:rPr>
        <w:t xml:space="preserve"> when tdm-PatternConfig-r15 or </w:t>
      </w:r>
      <w:r w:rsidRPr="000A628E">
        <w:rPr>
          <w:bCs/>
          <w:i/>
          <w:iCs/>
          <w:sz w:val="20"/>
          <w:szCs w:val="20"/>
        </w:rPr>
        <w:t>tdm-PatternConfig-r15</w:t>
      </w:r>
      <w:r w:rsidRPr="000A628E">
        <w:rPr>
          <w:bCs/>
          <w:sz w:val="20"/>
          <w:szCs w:val="20"/>
        </w:rPr>
        <w:t xml:space="preserve"> is configured according to current spec of 38.213 Rel-16 spec 7.6.1 EN-DC.</w:t>
      </w:r>
    </w:p>
    <w:p w14:paraId="247A6A63" w14:textId="300AB9AD" w:rsidR="00F87160" w:rsidRDefault="00B3022F" w:rsidP="00F87160">
      <w:pPr>
        <w:spacing w:after="120"/>
        <w:rPr>
          <w:sz w:val="20"/>
          <w:szCs w:val="20"/>
          <w:lang w:bidi="hi-IN"/>
        </w:rPr>
      </w:pPr>
      <w:r>
        <w:rPr>
          <w:sz w:val="20"/>
          <w:szCs w:val="20"/>
          <w:lang w:bidi="hi-IN"/>
        </w:rPr>
        <w:t xml:space="preserve">FL summary: </w:t>
      </w:r>
      <w:r w:rsidR="0040326F">
        <w:rPr>
          <w:sz w:val="20"/>
          <w:szCs w:val="20"/>
          <w:lang w:bidi="hi-IN"/>
        </w:rPr>
        <w:t>In general, type 2 UE (i.e., without fast communication between LTE and NR modems) has been quite clear from existing agreements:</w:t>
      </w:r>
    </w:p>
    <w:p w14:paraId="057C5942" w14:textId="7FFF27A3" w:rsidR="0040326F" w:rsidRDefault="0040326F" w:rsidP="00F87160">
      <w:pPr>
        <w:spacing w:after="120"/>
        <w:rPr>
          <w:sz w:val="20"/>
          <w:szCs w:val="20"/>
          <w:lang w:bidi="hi-IN"/>
        </w:rPr>
      </w:pPr>
      <w:r>
        <w:rPr>
          <w:sz w:val="20"/>
          <w:szCs w:val="20"/>
          <w:lang w:bidi="hi-IN"/>
        </w:rPr>
        <w:t xml:space="preserve">- LTE UL is only transmitted </w:t>
      </w:r>
    </w:p>
    <w:p w14:paraId="7AA09651" w14:textId="2681DFE4" w:rsidR="0040326F" w:rsidRDefault="0040326F" w:rsidP="00F87160">
      <w:pPr>
        <w:spacing w:after="120"/>
        <w:rPr>
          <w:sz w:val="20"/>
          <w:szCs w:val="20"/>
          <w:lang w:bidi="hi-IN"/>
        </w:rPr>
      </w:pPr>
      <w:r>
        <w:rPr>
          <w:sz w:val="20"/>
          <w:szCs w:val="20"/>
          <w:lang w:bidi="hi-IN"/>
        </w:rPr>
        <w:t xml:space="preserve">- </w:t>
      </w:r>
      <w:r w:rsidR="00B3022F">
        <w:rPr>
          <w:sz w:val="20"/>
          <w:szCs w:val="20"/>
          <w:lang w:bidi="hi-IN"/>
        </w:rPr>
        <w:t>Colliding UL Tx is considered as error case, and it is up to UE implementation.</w:t>
      </w:r>
    </w:p>
    <w:p w14:paraId="392B4969" w14:textId="4774CB76" w:rsidR="00B3022F" w:rsidRDefault="00991DFC" w:rsidP="00F87160">
      <w:pPr>
        <w:spacing w:after="120"/>
        <w:rPr>
          <w:sz w:val="20"/>
          <w:szCs w:val="20"/>
          <w:lang w:bidi="hi-IN"/>
        </w:rPr>
      </w:pPr>
      <w:r>
        <w:rPr>
          <w:sz w:val="20"/>
          <w:szCs w:val="20"/>
          <w:lang w:bidi="hi-IN"/>
        </w:rPr>
        <w:t>However, i</w:t>
      </w:r>
      <w:r w:rsidR="00B3022F">
        <w:rPr>
          <w:sz w:val="20"/>
          <w:szCs w:val="20"/>
          <w:lang w:bidi="hi-IN"/>
        </w:rPr>
        <w:t xml:space="preserve">t seems that existing 38.213 does not explicitly capture this for type 2 UE in the </w:t>
      </w:r>
      <w:r w:rsidR="00B3022F">
        <w:rPr>
          <w:rFonts w:eastAsia="MS Mincho"/>
          <w:sz w:val="20"/>
          <w:szCs w:val="20"/>
          <w:lang w:eastAsia="ja-JP" w:bidi="hi-IN"/>
        </w:rPr>
        <w:t xml:space="preserve">case of </w:t>
      </w:r>
      <w:r w:rsidR="00B3022F" w:rsidRPr="00C754BE">
        <w:rPr>
          <w:sz w:val="20"/>
          <w:szCs w:val="20"/>
        </w:rPr>
        <w:t xml:space="preserve">P_LTE+P_NR &lt;= </w:t>
      </w:r>
      <w:proofErr w:type="spellStart"/>
      <w:r w:rsidR="00B3022F" w:rsidRPr="00C754BE">
        <w:rPr>
          <w:sz w:val="20"/>
          <w:szCs w:val="20"/>
        </w:rPr>
        <w:t>P_total</w:t>
      </w:r>
      <w:proofErr w:type="spellEnd"/>
      <w:r w:rsidR="00B3022F">
        <w:rPr>
          <w:sz w:val="20"/>
          <w:szCs w:val="20"/>
          <w:lang w:bidi="hi-IN"/>
        </w:rPr>
        <w:t>.</w:t>
      </w:r>
      <w:r>
        <w:rPr>
          <w:sz w:val="20"/>
          <w:szCs w:val="20"/>
          <w:lang w:bidi="hi-IN"/>
        </w:rPr>
        <w:t xml:space="preserve"> </w:t>
      </w:r>
    </w:p>
    <w:p w14:paraId="672D4C40" w14:textId="77777777" w:rsidR="00B3022F" w:rsidRDefault="00B3022F" w:rsidP="00F87160">
      <w:pPr>
        <w:spacing w:after="120"/>
        <w:rPr>
          <w:sz w:val="20"/>
          <w:szCs w:val="20"/>
          <w:lang w:bidi="hi-IN"/>
        </w:rPr>
      </w:pPr>
    </w:p>
    <w:p w14:paraId="19F054E1" w14:textId="77777777" w:rsidR="00DA132A" w:rsidRPr="00DA132A" w:rsidRDefault="00DA132A" w:rsidP="00DA132A">
      <w:pPr>
        <w:numPr>
          <w:ilvl w:val="0"/>
          <w:numId w:val="33"/>
        </w:numPr>
        <w:spacing w:after="120"/>
        <w:rPr>
          <w:b/>
          <w:bCs/>
          <w:sz w:val="20"/>
          <w:szCs w:val="20"/>
          <w:lang w:bidi="hi-IN"/>
        </w:rPr>
      </w:pPr>
      <w:r w:rsidRPr="00DA132A">
        <w:rPr>
          <w:b/>
          <w:bCs/>
          <w:sz w:val="20"/>
          <w:szCs w:val="20"/>
          <w:lang w:bidi="hi-IN"/>
        </w:rPr>
        <w:t xml:space="preserve">Q2-1: Do we need a TP to explicitly clarify in 38.213 type 2 UE assumption/behavior when </w:t>
      </w:r>
      <w:proofErr w:type="spellStart"/>
      <w:r w:rsidRPr="00DA132A">
        <w:rPr>
          <w:b/>
          <w:bCs/>
          <w:sz w:val="20"/>
          <w:szCs w:val="20"/>
          <w:lang w:bidi="hi-IN"/>
        </w:rPr>
        <w:t>P_lte</w:t>
      </w:r>
      <w:proofErr w:type="spellEnd"/>
      <w:r w:rsidRPr="00DA132A">
        <w:rPr>
          <w:b/>
          <w:bCs/>
          <w:sz w:val="20"/>
          <w:szCs w:val="20"/>
          <w:lang w:bidi="hi-IN"/>
        </w:rPr>
        <w:t xml:space="preserve"> + </w:t>
      </w:r>
      <w:proofErr w:type="spellStart"/>
      <w:r w:rsidRPr="00DA132A">
        <w:rPr>
          <w:b/>
          <w:bCs/>
          <w:sz w:val="20"/>
          <w:szCs w:val="20"/>
          <w:lang w:bidi="hi-IN"/>
        </w:rPr>
        <w:t>P_nr</w:t>
      </w:r>
      <w:proofErr w:type="spellEnd"/>
      <w:r w:rsidRPr="00DA132A">
        <w:rPr>
          <w:b/>
          <w:bCs/>
          <w:sz w:val="20"/>
          <w:szCs w:val="20"/>
          <w:lang w:bidi="hi-IN"/>
        </w:rPr>
        <w:t xml:space="preserve"> &lt;= </w:t>
      </w:r>
      <w:proofErr w:type="spellStart"/>
      <w:r w:rsidRPr="00DA132A">
        <w:rPr>
          <w:b/>
          <w:bCs/>
          <w:sz w:val="20"/>
          <w:szCs w:val="20"/>
          <w:lang w:bidi="hi-IN"/>
        </w:rPr>
        <w:t>P_total</w:t>
      </w:r>
      <w:proofErr w:type="spellEnd"/>
      <w:r w:rsidRPr="00DA132A">
        <w:rPr>
          <w:b/>
          <w:bCs/>
          <w:sz w:val="20"/>
          <w:szCs w:val="20"/>
          <w:lang w:bidi="hi-IN"/>
        </w:rPr>
        <w:t xml:space="preserve"> and the UE is configured with Reference HARQ timing? (e.g. up to UE implementation)</w:t>
      </w:r>
    </w:p>
    <w:p w14:paraId="2EF1F58B" w14:textId="1B2ED1D6" w:rsidR="00F87160" w:rsidRPr="00041146" w:rsidRDefault="00F87160" w:rsidP="00F87160">
      <w:pPr>
        <w:spacing w:after="120"/>
        <w:rPr>
          <w:b/>
          <w:bCs/>
          <w:sz w:val="20"/>
          <w:szCs w:val="20"/>
          <w:lang w:bidi="hi-IN"/>
        </w:rPr>
      </w:pPr>
    </w:p>
    <w:tbl>
      <w:tblPr>
        <w:tblStyle w:val="TableGrid"/>
        <w:tblW w:w="0" w:type="auto"/>
        <w:tblLook w:val="04A0" w:firstRow="1" w:lastRow="0" w:firstColumn="1" w:lastColumn="0" w:noHBand="0" w:noVBand="1"/>
      </w:tblPr>
      <w:tblGrid>
        <w:gridCol w:w="1435"/>
        <w:gridCol w:w="8194"/>
      </w:tblGrid>
      <w:tr w:rsidR="00DA132A" w14:paraId="5E1EFADC" w14:textId="77777777" w:rsidTr="006A334D">
        <w:tc>
          <w:tcPr>
            <w:tcW w:w="1435" w:type="dxa"/>
          </w:tcPr>
          <w:p w14:paraId="5EC5687C" w14:textId="77777777" w:rsidR="00DA132A" w:rsidRDefault="00DA132A" w:rsidP="006A334D">
            <w:pPr>
              <w:rPr>
                <w:sz w:val="20"/>
                <w:szCs w:val="20"/>
                <w:lang w:eastAsia="ja-JP" w:bidi="hi-IN"/>
              </w:rPr>
            </w:pPr>
            <w:r>
              <w:rPr>
                <w:sz w:val="20"/>
                <w:szCs w:val="20"/>
                <w:lang w:eastAsia="ja-JP" w:bidi="hi-IN"/>
              </w:rPr>
              <w:t>Company</w:t>
            </w:r>
          </w:p>
        </w:tc>
        <w:tc>
          <w:tcPr>
            <w:tcW w:w="8194" w:type="dxa"/>
          </w:tcPr>
          <w:p w14:paraId="564632FD" w14:textId="77777777" w:rsidR="00DA132A" w:rsidRDefault="00DA132A" w:rsidP="006A334D">
            <w:pPr>
              <w:rPr>
                <w:sz w:val="20"/>
                <w:szCs w:val="20"/>
                <w:lang w:eastAsia="ja-JP" w:bidi="hi-IN"/>
              </w:rPr>
            </w:pPr>
            <w:r>
              <w:rPr>
                <w:sz w:val="20"/>
                <w:szCs w:val="20"/>
                <w:lang w:eastAsia="ja-JP" w:bidi="hi-IN"/>
              </w:rPr>
              <w:t>Comments</w:t>
            </w:r>
          </w:p>
        </w:tc>
      </w:tr>
      <w:tr w:rsidR="00DA132A" w14:paraId="0CF0B3D6" w14:textId="77777777" w:rsidTr="006A334D">
        <w:tc>
          <w:tcPr>
            <w:tcW w:w="1435" w:type="dxa"/>
          </w:tcPr>
          <w:p w14:paraId="658AB9CA" w14:textId="3B065BF8" w:rsidR="00DA132A" w:rsidRPr="00820F31" w:rsidRDefault="00820F31" w:rsidP="006A334D">
            <w:pPr>
              <w:rPr>
                <w:rFonts w:eastAsiaTheme="minorEastAsia"/>
                <w:sz w:val="20"/>
                <w:szCs w:val="20"/>
                <w:lang w:bidi="hi-IN"/>
              </w:rPr>
            </w:pPr>
            <w:r>
              <w:rPr>
                <w:rFonts w:eastAsiaTheme="minorEastAsia" w:hint="eastAsia"/>
                <w:sz w:val="20"/>
                <w:szCs w:val="20"/>
                <w:lang w:bidi="hi-IN"/>
              </w:rPr>
              <w:lastRenderedPageBreak/>
              <w:t>Z</w:t>
            </w:r>
            <w:r>
              <w:rPr>
                <w:rFonts w:eastAsiaTheme="minorEastAsia"/>
                <w:sz w:val="20"/>
                <w:szCs w:val="20"/>
                <w:lang w:bidi="hi-IN"/>
              </w:rPr>
              <w:t>TE</w:t>
            </w:r>
          </w:p>
        </w:tc>
        <w:tc>
          <w:tcPr>
            <w:tcW w:w="8194" w:type="dxa"/>
          </w:tcPr>
          <w:p w14:paraId="3E67569E" w14:textId="57725972" w:rsidR="00DA132A" w:rsidRDefault="00820F31" w:rsidP="006A334D">
            <w:pPr>
              <w:rPr>
                <w:rFonts w:eastAsiaTheme="minorEastAsia"/>
                <w:sz w:val="20"/>
                <w:szCs w:val="20"/>
                <w:lang w:bidi="hi-IN"/>
              </w:rPr>
            </w:pPr>
            <w:r>
              <w:rPr>
                <w:rFonts w:eastAsiaTheme="minorEastAsia"/>
                <w:sz w:val="20"/>
                <w:szCs w:val="20"/>
                <w:lang w:bidi="hi-IN"/>
              </w:rPr>
              <w:t xml:space="preserve">Our view is that we may first discuss what’s the intended UE behavior in case of </w:t>
            </w:r>
            <w:proofErr w:type="spellStart"/>
            <w:r w:rsidRPr="00820F31">
              <w:rPr>
                <w:rFonts w:eastAsiaTheme="minorEastAsia"/>
                <w:sz w:val="20"/>
                <w:szCs w:val="20"/>
                <w:lang w:bidi="hi-IN"/>
              </w:rPr>
              <w:t>P_lte</w:t>
            </w:r>
            <w:proofErr w:type="spellEnd"/>
            <w:r w:rsidRPr="00820F31">
              <w:rPr>
                <w:rFonts w:eastAsiaTheme="minorEastAsia"/>
                <w:sz w:val="20"/>
                <w:szCs w:val="20"/>
                <w:lang w:bidi="hi-IN"/>
              </w:rPr>
              <w:t xml:space="preserve"> + </w:t>
            </w:r>
            <w:proofErr w:type="spellStart"/>
            <w:r w:rsidRPr="00820F31">
              <w:rPr>
                <w:rFonts w:eastAsiaTheme="minorEastAsia"/>
                <w:sz w:val="20"/>
                <w:szCs w:val="20"/>
                <w:lang w:bidi="hi-IN"/>
              </w:rPr>
              <w:t>P_nr</w:t>
            </w:r>
            <w:proofErr w:type="spellEnd"/>
            <w:r w:rsidRPr="00820F31">
              <w:rPr>
                <w:rFonts w:eastAsiaTheme="minorEastAsia"/>
                <w:sz w:val="20"/>
                <w:szCs w:val="20"/>
                <w:lang w:bidi="hi-IN"/>
              </w:rPr>
              <w:t xml:space="preserve"> &lt;= </w:t>
            </w:r>
            <w:proofErr w:type="spellStart"/>
            <w:r w:rsidRPr="00820F31">
              <w:rPr>
                <w:rFonts w:eastAsiaTheme="minorEastAsia"/>
                <w:sz w:val="20"/>
                <w:szCs w:val="20"/>
                <w:lang w:bidi="hi-IN"/>
              </w:rPr>
              <w:t>P_total</w:t>
            </w:r>
            <w:proofErr w:type="spellEnd"/>
            <w:r>
              <w:rPr>
                <w:rFonts w:eastAsiaTheme="minorEastAsia"/>
                <w:sz w:val="20"/>
                <w:szCs w:val="20"/>
                <w:lang w:bidi="hi-IN"/>
              </w:rPr>
              <w:t xml:space="preserve"> for type2 UE. And then we could discuss whether a TP is needed or not.</w:t>
            </w:r>
          </w:p>
          <w:p w14:paraId="16065B7E" w14:textId="18BAAD8D" w:rsidR="00820F31" w:rsidRPr="00820F31" w:rsidRDefault="00820F31" w:rsidP="006A334D">
            <w:pPr>
              <w:rPr>
                <w:rFonts w:eastAsiaTheme="minorEastAsia"/>
                <w:sz w:val="20"/>
                <w:szCs w:val="20"/>
                <w:lang w:bidi="hi-IN"/>
              </w:rPr>
            </w:pPr>
            <w:r>
              <w:rPr>
                <w:rFonts w:eastAsiaTheme="minorEastAsia"/>
                <w:sz w:val="20"/>
                <w:szCs w:val="20"/>
                <w:lang w:bidi="hi-IN"/>
              </w:rPr>
              <w:t xml:space="preserve">Our preliminary understanding is the UE behavior in case of </w:t>
            </w:r>
            <w:proofErr w:type="spellStart"/>
            <w:r w:rsidRPr="00820F31">
              <w:rPr>
                <w:rFonts w:eastAsiaTheme="minorEastAsia"/>
                <w:sz w:val="20"/>
                <w:szCs w:val="20"/>
                <w:lang w:bidi="hi-IN"/>
              </w:rPr>
              <w:t>P_lte</w:t>
            </w:r>
            <w:proofErr w:type="spellEnd"/>
            <w:r w:rsidRPr="00820F31">
              <w:rPr>
                <w:rFonts w:eastAsiaTheme="minorEastAsia"/>
                <w:sz w:val="20"/>
                <w:szCs w:val="20"/>
                <w:lang w:bidi="hi-IN"/>
              </w:rPr>
              <w:t xml:space="preserve"> + </w:t>
            </w:r>
            <w:proofErr w:type="spellStart"/>
            <w:r w:rsidRPr="00820F31">
              <w:rPr>
                <w:rFonts w:eastAsiaTheme="minorEastAsia"/>
                <w:sz w:val="20"/>
                <w:szCs w:val="20"/>
                <w:lang w:bidi="hi-IN"/>
              </w:rPr>
              <w:t>P_nr</w:t>
            </w:r>
            <w:proofErr w:type="spellEnd"/>
            <w:r w:rsidRPr="00820F31">
              <w:rPr>
                <w:rFonts w:eastAsiaTheme="minorEastAsia"/>
                <w:sz w:val="20"/>
                <w:szCs w:val="20"/>
                <w:lang w:bidi="hi-IN"/>
              </w:rPr>
              <w:t xml:space="preserve"> &lt;= </w:t>
            </w:r>
            <w:proofErr w:type="spellStart"/>
            <w:r w:rsidRPr="00820F31">
              <w:rPr>
                <w:rFonts w:eastAsiaTheme="minorEastAsia"/>
                <w:sz w:val="20"/>
                <w:szCs w:val="20"/>
                <w:lang w:bidi="hi-IN"/>
              </w:rPr>
              <w:t>P_total</w:t>
            </w:r>
            <w:proofErr w:type="spellEnd"/>
            <w:r>
              <w:rPr>
                <w:rFonts w:eastAsiaTheme="minorEastAsia"/>
                <w:sz w:val="20"/>
                <w:szCs w:val="20"/>
                <w:lang w:bidi="hi-IN"/>
              </w:rPr>
              <w:t xml:space="preserve"> for type2 UE could be the same as that in case of </w:t>
            </w:r>
            <w:proofErr w:type="spellStart"/>
            <w:r>
              <w:rPr>
                <w:rFonts w:eastAsiaTheme="minorEastAsia"/>
                <w:sz w:val="20"/>
                <w:szCs w:val="20"/>
                <w:lang w:bidi="hi-IN"/>
              </w:rPr>
              <w:t>P_lte</w:t>
            </w:r>
            <w:proofErr w:type="spellEnd"/>
            <w:r>
              <w:rPr>
                <w:rFonts w:eastAsiaTheme="minorEastAsia"/>
                <w:sz w:val="20"/>
                <w:szCs w:val="20"/>
                <w:lang w:bidi="hi-IN"/>
              </w:rPr>
              <w:t xml:space="preserve"> + </w:t>
            </w:r>
            <w:proofErr w:type="spellStart"/>
            <w:r>
              <w:rPr>
                <w:rFonts w:eastAsiaTheme="minorEastAsia"/>
                <w:sz w:val="20"/>
                <w:szCs w:val="20"/>
                <w:lang w:bidi="hi-IN"/>
              </w:rPr>
              <w:t>P_nr</w:t>
            </w:r>
            <w:proofErr w:type="spellEnd"/>
            <w:r>
              <w:rPr>
                <w:rFonts w:eastAsiaTheme="minorEastAsia"/>
                <w:sz w:val="20"/>
                <w:szCs w:val="20"/>
                <w:lang w:bidi="hi-IN"/>
              </w:rPr>
              <w:t xml:space="preserve"> &gt;</w:t>
            </w:r>
            <w:r w:rsidRPr="00820F31">
              <w:rPr>
                <w:rFonts w:eastAsiaTheme="minorEastAsia"/>
                <w:sz w:val="20"/>
                <w:szCs w:val="20"/>
                <w:lang w:bidi="hi-IN"/>
              </w:rPr>
              <w:t xml:space="preserve"> </w:t>
            </w:r>
            <w:proofErr w:type="spellStart"/>
            <w:r w:rsidRPr="00820F31">
              <w:rPr>
                <w:rFonts w:eastAsiaTheme="minorEastAsia"/>
                <w:sz w:val="20"/>
                <w:szCs w:val="20"/>
                <w:lang w:bidi="hi-IN"/>
              </w:rPr>
              <w:t>P_total</w:t>
            </w:r>
            <w:proofErr w:type="spellEnd"/>
            <w:r>
              <w:rPr>
                <w:rFonts w:eastAsiaTheme="minorEastAsia"/>
                <w:sz w:val="20"/>
                <w:szCs w:val="20"/>
                <w:lang w:bidi="hi-IN"/>
              </w:rPr>
              <w:t>. We are open to further discuss the intended UE behavior.</w:t>
            </w:r>
          </w:p>
        </w:tc>
      </w:tr>
      <w:tr w:rsidR="00DA132A" w14:paraId="25F39B07" w14:textId="77777777" w:rsidTr="006A334D">
        <w:tc>
          <w:tcPr>
            <w:tcW w:w="1435" w:type="dxa"/>
          </w:tcPr>
          <w:p w14:paraId="092FE207" w14:textId="51CD1A01" w:rsidR="00DA132A" w:rsidRDefault="00531639" w:rsidP="006A334D">
            <w:pPr>
              <w:rPr>
                <w:sz w:val="20"/>
                <w:szCs w:val="20"/>
                <w:lang w:eastAsia="ja-JP" w:bidi="hi-IN"/>
              </w:rPr>
            </w:pPr>
            <w:r>
              <w:rPr>
                <w:sz w:val="20"/>
                <w:szCs w:val="20"/>
                <w:lang w:eastAsia="ja-JP" w:bidi="hi-IN"/>
              </w:rPr>
              <w:t>Apple</w:t>
            </w:r>
          </w:p>
        </w:tc>
        <w:tc>
          <w:tcPr>
            <w:tcW w:w="8194" w:type="dxa"/>
          </w:tcPr>
          <w:p w14:paraId="703A9DCC" w14:textId="77777777" w:rsidR="006F3431" w:rsidRDefault="00531639" w:rsidP="00531639">
            <w:pPr>
              <w:rPr>
                <w:rFonts w:eastAsia="Malgun Gothic"/>
                <w:sz w:val="20"/>
              </w:rPr>
            </w:pPr>
            <w:r>
              <w:rPr>
                <w:rFonts w:eastAsia="Malgun Gothic"/>
                <w:sz w:val="20"/>
              </w:rPr>
              <w:t xml:space="preserve">Copy/paste our above comments. </w:t>
            </w:r>
          </w:p>
          <w:p w14:paraId="1483A405" w14:textId="03019EED" w:rsidR="00531639" w:rsidRDefault="00531639" w:rsidP="00531639">
            <w:pPr>
              <w:rPr>
                <w:sz w:val="20"/>
              </w:rPr>
            </w:pPr>
            <w:r>
              <w:rPr>
                <w:rFonts w:eastAsia="Malgun Gothic"/>
                <w:sz w:val="20"/>
              </w:rPr>
              <w:t xml:space="preserve">And for the case of </w:t>
            </w:r>
            <w:r w:rsidRPr="00331FA2">
              <w:rPr>
                <w:sz w:val="20"/>
              </w:rPr>
              <w:t xml:space="preserve">P_LTE + P_NR &lt;= </w:t>
            </w:r>
            <w:proofErr w:type="spellStart"/>
            <w:r w:rsidRPr="00331FA2">
              <w:rPr>
                <w:sz w:val="20"/>
              </w:rPr>
              <w:t>Pcmax</w:t>
            </w:r>
            <w:proofErr w:type="spellEnd"/>
            <w:r>
              <w:rPr>
                <w:sz w:val="20"/>
              </w:rPr>
              <w:t>, the network can configure the TMD pattern as well, this was agreed in RAN1#91 meeting, but it was not captured in the spec.</w:t>
            </w:r>
          </w:p>
          <w:p w14:paraId="19381C20" w14:textId="77777777" w:rsidR="00531639" w:rsidRPr="00331FA2" w:rsidRDefault="00531639" w:rsidP="00531639">
            <w:pPr>
              <w:pStyle w:val="bullet2"/>
              <w:rPr>
                <w:sz w:val="20"/>
              </w:rPr>
            </w:pPr>
            <w:r w:rsidRPr="00331FA2">
              <w:rPr>
                <w:sz w:val="20"/>
                <w:lang w:val="en-US"/>
              </w:rPr>
              <w:t xml:space="preserve">Operation B with Case1: P_LTE + P_NR &lt;= </w:t>
            </w:r>
            <w:proofErr w:type="spellStart"/>
            <w:r w:rsidRPr="00331FA2">
              <w:rPr>
                <w:sz w:val="20"/>
                <w:lang w:val="en-US"/>
              </w:rPr>
              <w:t>Pcmax</w:t>
            </w:r>
            <w:proofErr w:type="spellEnd"/>
            <w:r w:rsidRPr="00331FA2">
              <w:rPr>
                <w:sz w:val="20"/>
                <w:lang w:val="en-US"/>
              </w:rPr>
              <w:t xml:space="preserve">, in which case NR UL can be scheduled in any UL subframe/slot (while </w:t>
            </w:r>
            <w:r w:rsidRPr="00331FA2">
              <w:rPr>
                <w:sz w:val="20"/>
              </w:rPr>
              <w:t xml:space="preserve">the UE behaviour in case of being simultaneously scheduled on LTE and NR uplinks is not specified) </w:t>
            </w:r>
          </w:p>
          <w:p w14:paraId="0CFECC63" w14:textId="3802E9F0" w:rsidR="00DA132A" w:rsidRPr="00531639" w:rsidRDefault="00531639" w:rsidP="006A334D">
            <w:pPr>
              <w:rPr>
                <w:sz w:val="20"/>
                <w:szCs w:val="20"/>
                <w:lang w:val="en-GB" w:eastAsia="ja-JP" w:bidi="hi-IN"/>
              </w:rPr>
            </w:pPr>
            <w:r>
              <w:rPr>
                <w:sz w:val="20"/>
                <w:szCs w:val="20"/>
                <w:lang w:val="en-GB" w:eastAsia="ja-JP" w:bidi="hi-IN"/>
              </w:rPr>
              <w:t>We are open to clarify this in the spec.</w:t>
            </w:r>
          </w:p>
        </w:tc>
      </w:tr>
      <w:tr w:rsidR="00DA132A" w14:paraId="4AE3329F" w14:textId="77777777" w:rsidTr="006A334D">
        <w:tc>
          <w:tcPr>
            <w:tcW w:w="1435" w:type="dxa"/>
          </w:tcPr>
          <w:p w14:paraId="0D8F23B4" w14:textId="7ED6372C" w:rsidR="00DA132A" w:rsidRDefault="00703E70" w:rsidP="006A334D">
            <w:pPr>
              <w:rPr>
                <w:sz w:val="20"/>
                <w:szCs w:val="20"/>
                <w:lang w:eastAsia="ja-JP" w:bidi="hi-IN"/>
              </w:rPr>
            </w:pPr>
            <w:r>
              <w:rPr>
                <w:sz w:val="20"/>
                <w:szCs w:val="20"/>
                <w:lang w:eastAsia="ja-JP" w:bidi="hi-IN"/>
              </w:rPr>
              <w:t>MTK</w:t>
            </w:r>
          </w:p>
        </w:tc>
        <w:tc>
          <w:tcPr>
            <w:tcW w:w="8194" w:type="dxa"/>
          </w:tcPr>
          <w:p w14:paraId="55BF2951" w14:textId="77777777" w:rsidR="00703E70" w:rsidRDefault="00703E70" w:rsidP="00703E70">
            <w:pPr>
              <w:rPr>
                <w:sz w:val="20"/>
                <w:szCs w:val="20"/>
                <w:lang w:eastAsia="ja-JP" w:bidi="hi-IN"/>
              </w:rPr>
            </w:pPr>
            <w:r>
              <w:rPr>
                <w:sz w:val="20"/>
                <w:szCs w:val="20"/>
                <w:lang w:eastAsia="ja-JP" w:bidi="hi-IN"/>
              </w:rPr>
              <w:t xml:space="preserve">We agree with FL’s summary that for type 2 UE </w:t>
            </w:r>
            <w:r>
              <w:rPr>
                <w:sz w:val="20"/>
                <w:szCs w:val="20"/>
                <w:lang w:bidi="hi-IN"/>
              </w:rPr>
              <w:t xml:space="preserve">in the </w:t>
            </w:r>
            <w:r>
              <w:rPr>
                <w:rFonts w:eastAsia="MS Mincho"/>
                <w:sz w:val="20"/>
                <w:szCs w:val="20"/>
                <w:lang w:eastAsia="ja-JP" w:bidi="hi-IN"/>
              </w:rPr>
              <w:t xml:space="preserve">case of </w:t>
            </w:r>
            <w:r w:rsidRPr="00C754BE">
              <w:rPr>
                <w:sz w:val="20"/>
                <w:szCs w:val="20"/>
              </w:rPr>
              <w:t xml:space="preserve">P_LTE+P_NR &lt;= </w:t>
            </w:r>
            <w:proofErr w:type="spellStart"/>
            <w:r w:rsidRPr="00C754BE">
              <w:rPr>
                <w:sz w:val="20"/>
                <w:szCs w:val="20"/>
              </w:rPr>
              <w:t>P_total</w:t>
            </w:r>
            <w:proofErr w:type="spellEnd"/>
            <w:r>
              <w:rPr>
                <w:sz w:val="20"/>
                <w:szCs w:val="20"/>
                <w:lang w:eastAsia="ja-JP" w:bidi="hi-IN"/>
              </w:rPr>
              <w:t>,</w:t>
            </w:r>
          </w:p>
          <w:p w14:paraId="21A0F4A9" w14:textId="77777777" w:rsidR="00703E70" w:rsidRPr="00A91529" w:rsidRDefault="00703E70" w:rsidP="00703E70">
            <w:pPr>
              <w:spacing w:after="120"/>
              <w:rPr>
                <w:i/>
                <w:sz w:val="20"/>
                <w:szCs w:val="20"/>
                <w:lang w:bidi="hi-IN"/>
              </w:rPr>
            </w:pPr>
            <w:r>
              <w:rPr>
                <w:sz w:val="20"/>
                <w:szCs w:val="20"/>
                <w:lang w:bidi="hi-IN"/>
              </w:rPr>
              <w:t xml:space="preserve">- LTE UL is only transmitted in designated UL subframes in </w:t>
            </w:r>
            <w:proofErr w:type="spellStart"/>
            <w:r w:rsidRPr="00A91529">
              <w:rPr>
                <w:i/>
                <w:sz w:val="20"/>
                <w:szCs w:val="20"/>
                <w:lang w:bidi="hi-IN"/>
              </w:rPr>
              <w:t>tdm</w:t>
            </w:r>
            <w:proofErr w:type="spellEnd"/>
            <w:r w:rsidRPr="00A91529">
              <w:rPr>
                <w:i/>
                <w:sz w:val="20"/>
                <w:szCs w:val="20"/>
                <w:lang w:bidi="hi-IN"/>
              </w:rPr>
              <w:t>-pattern</w:t>
            </w:r>
          </w:p>
          <w:p w14:paraId="36D6CCAA" w14:textId="77777777" w:rsidR="00703E70" w:rsidRDefault="00703E70" w:rsidP="00703E70">
            <w:pPr>
              <w:spacing w:after="120"/>
              <w:rPr>
                <w:sz w:val="20"/>
                <w:szCs w:val="20"/>
                <w:lang w:bidi="hi-IN"/>
              </w:rPr>
            </w:pPr>
            <w:r>
              <w:rPr>
                <w:sz w:val="20"/>
                <w:szCs w:val="20"/>
                <w:lang w:bidi="hi-IN"/>
              </w:rPr>
              <w:t>- Colliding UL Tx is considered as error case, and it is up to UE implementation.</w:t>
            </w:r>
          </w:p>
          <w:p w14:paraId="475960CB" w14:textId="6976645B" w:rsidR="00DA132A" w:rsidRDefault="00703E70" w:rsidP="00703E70">
            <w:pPr>
              <w:rPr>
                <w:sz w:val="20"/>
                <w:szCs w:val="20"/>
                <w:lang w:eastAsia="ja-JP" w:bidi="hi-IN"/>
              </w:rPr>
            </w:pPr>
            <w:r>
              <w:rPr>
                <w:sz w:val="20"/>
                <w:szCs w:val="20"/>
                <w:lang w:eastAsia="ja-JP" w:bidi="hi-IN"/>
              </w:rPr>
              <w:t>Constructing a TP to clarify these behaviors seems like a good idea.</w:t>
            </w:r>
          </w:p>
        </w:tc>
      </w:tr>
      <w:tr w:rsidR="00DA132A" w14:paraId="027AAAD1" w14:textId="77777777" w:rsidTr="006A334D">
        <w:tc>
          <w:tcPr>
            <w:tcW w:w="1435" w:type="dxa"/>
          </w:tcPr>
          <w:p w14:paraId="0919E6AA" w14:textId="2FC6BDCB" w:rsidR="00DA132A" w:rsidRPr="00902DFE" w:rsidRDefault="00902DFE" w:rsidP="006A334D">
            <w:pPr>
              <w:rPr>
                <w:rFonts w:eastAsiaTheme="minorEastAsia"/>
                <w:sz w:val="20"/>
                <w:szCs w:val="20"/>
                <w:lang w:bidi="hi-IN"/>
              </w:rPr>
            </w:pPr>
            <w:r>
              <w:rPr>
                <w:rFonts w:eastAsiaTheme="minorEastAsia" w:hint="eastAsia"/>
                <w:sz w:val="20"/>
                <w:szCs w:val="20"/>
                <w:lang w:bidi="hi-IN"/>
              </w:rPr>
              <w:t>H</w:t>
            </w:r>
            <w:r>
              <w:rPr>
                <w:rFonts w:eastAsiaTheme="minorEastAsia"/>
                <w:sz w:val="20"/>
                <w:szCs w:val="20"/>
                <w:lang w:bidi="hi-IN"/>
              </w:rPr>
              <w:t xml:space="preserve">uawei, </w:t>
            </w:r>
            <w:proofErr w:type="spellStart"/>
            <w:r>
              <w:rPr>
                <w:rFonts w:eastAsiaTheme="minorEastAsia"/>
                <w:sz w:val="20"/>
                <w:szCs w:val="20"/>
                <w:lang w:bidi="hi-IN"/>
              </w:rPr>
              <w:t>HiSilicon</w:t>
            </w:r>
            <w:proofErr w:type="spellEnd"/>
          </w:p>
        </w:tc>
        <w:tc>
          <w:tcPr>
            <w:tcW w:w="8194" w:type="dxa"/>
          </w:tcPr>
          <w:p w14:paraId="41B2C69F" w14:textId="158B3E1F" w:rsidR="00DA132A" w:rsidRPr="00902DFE" w:rsidRDefault="00902DFE" w:rsidP="006A334D">
            <w:pPr>
              <w:rPr>
                <w:rFonts w:eastAsiaTheme="minorEastAsia"/>
                <w:sz w:val="20"/>
                <w:szCs w:val="20"/>
                <w:lang w:bidi="hi-IN"/>
              </w:rPr>
            </w:pPr>
            <w:r>
              <w:rPr>
                <w:rFonts w:eastAsiaTheme="minorEastAsia" w:hint="eastAsia"/>
                <w:sz w:val="20"/>
                <w:szCs w:val="20"/>
                <w:lang w:bidi="hi-IN"/>
              </w:rPr>
              <w:t>T</w:t>
            </w:r>
            <w:r>
              <w:rPr>
                <w:rFonts w:eastAsiaTheme="minorEastAsia"/>
                <w:sz w:val="20"/>
                <w:szCs w:val="20"/>
                <w:lang w:bidi="hi-IN"/>
              </w:rPr>
              <w:t>he target case has been covered by the TP Option2 in issue#1. If it is agreed, no additional text change is needed.</w:t>
            </w:r>
          </w:p>
        </w:tc>
      </w:tr>
      <w:tr w:rsidR="00DA132A" w14:paraId="419445C6" w14:textId="77777777" w:rsidTr="006A334D">
        <w:tc>
          <w:tcPr>
            <w:tcW w:w="1435" w:type="dxa"/>
          </w:tcPr>
          <w:p w14:paraId="36F7BA5D" w14:textId="0298F693" w:rsidR="00DA132A" w:rsidRDefault="00A900DF" w:rsidP="006A334D">
            <w:pPr>
              <w:rPr>
                <w:sz w:val="20"/>
                <w:szCs w:val="20"/>
                <w:lang w:eastAsia="ja-JP" w:bidi="hi-IN"/>
              </w:rPr>
            </w:pPr>
            <w:r>
              <w:rPr>
                <w:sz w:val="20"/>
                <w:szCs w:val="20"/>
                <w:lang w:eastAsia="ja-JP" w:bidi="hi-IN"/>
              </w:rPr>
              <w:t>Ericsson</w:t>
            </w:r>
          </w:p>
        </w:tc>
        <w:tc>
          <w:tcPr>
            <w:tcW w:w="8194" w:type="dxa"/>
          </w:tcPr>
          <w:p w14:paraId="58B56298" w14:textId="670D63A4" w:rsidR="00DA132A" w:rsidRDefault="00A900DF" w:rsidP="006A334D">
            <w:pPr>
              <w:rPr>
                <w:sz w:val="20"/>
                <w:szCs w:val="20"/>
                <w:lang w:eastAsia="ja-JP" w:bidi="hi-IN"/>
              </w:rPr>
            </w:pPr>
            <w:r>
              <w:rPr>
                <w:sz w:val="20"/>
                <w:szCs w:val="20"/>
                <w:lang w:eastAsia="ja-JP" w:bidi="hi-IN"/>
              </w:rPr>
              <w:t>We don’t see the need for additional spec text. The Rel15 agreement is clear that behavior is “</w:t>
            </w:r>
            <w:r>
              <w:rPr>
                <w:i/>
                <w:iCs/>
                <w:sz w:val="20"/>
                <w:szCs w:val="20"/>
                <w:lang w:eastAsia="ja-JP" w:bidi="hi-IN"/>
              </w:rPr>
              <w:t>not specified”</w:t>
            </w:r>
            <w:r>
              <w:rPr>
                <w:sz w:val="20"/>
                <w:szCs w:val="20"/>
                <w:lang w:eastAsia="ja-JP" w:bidi="hi-IN"/>
              </w:rPr>
              <w:t xml:space="preserve"> and specs are aligned with that.</w:t>
            </w:r>
          </w:p>
        </w:tc>
      </w:tr>
      <w:tr w:rsidR="00D27C31" w14:paraId="00F57B18" w14:textId="77777777" w:rsidTr="006A334D">
        <w:tc>
          <w:tcPr>
            <w:tcW w:w="1435" w:type="dxa"/>
          </w:tcPr>
          <w:p w14:paraId="67EBD901" w14:textId="2C768E2B" w:rsidR="00D27C31" w:rsidRPr="00D27C31" w:rsidRDefault="00D27C31" w:rsidP="006A334D">
            <w:pPr>
              <w:rPr>
                <w:rFonts w:eastAsia="Malgun Gothic"/>
                <w:sz w:val="20"/>
                <w:szCs w:val="20"/>
                <w:lang w:eastAsia="ko-KR" w:bidi="hi-IN"/>
              </w:rPr>
            </w:pPr>
            <w:r>
              <w:rPr>
                <w:rFonts w:eastAsia="Malgun Gothic" w:hint="eastAsia"/>
                <w:sz w:val="20"/>
                <w:szCs w:val="20"/>
                <w:lang w:eastAsia="ko-KR" w:bidi="hi-IN"/>
              </w:rPr>
              <w:t>Samsung</w:t>
            </w:r>
          </w:p>
        </w:tc>
        <w:tc>
          <w:tcPr>
            <w:tcW w:w="8194" w:type="dxa"/>
          </w:tcPr>
          <w:p w14:paraId="5DF0FBB7" w14:textId="20EF8DF9" w:rsidR="00D27C31" w:rsidRPr="00D27C31" w:rsidRDefault="00D27C31" w:rsidP="00D27C31">
            <w:pPr>
              <w:rPr>
                <w:rFonts w:eastAsia="Malgun Gothic"/>
                <w:sz w:val="20"/>
                <w:szCs w:val="20"/>
                <w:lang w:eastAsia="ko-KR" w:bidi="hi-IN"/>
              </w:rPr>
            </w:pPr>
            <w:r>
              <w:rPr>
                <w:rFonts w:eastAsia="Malgun Gothic" w:hint="eastAsia"/>
                <w:sz w:val="20"/>
                <w:szCs w:val="20"/>
                <w:lang w:eastAsia="ko-KR" w:bidi="hi-IN"/>
              </w:rPr>
              <w:t xml:space="preserve">No need to </w:t>
            </w:r>
            <w:r>
              <w:rPr>
                <w:rFonts w:eastAsia="Malgun Gothic"/>
                <w:sz w:val="20"/>
                <w:szCs w:val="20"/>
                <w:lang w:eastAsia="ko-KR" w:bidi="hi-IN"/>
              </w:rPr>
              <w:t>capture</w:t>
            </w:r>
            <w:r>
              <w:rPr>
                <w:rFonts w:eastAsia="Malgun Gothic" w:hint="eastAsia"/>
                <w:sz w:val="20"/>
                <w:szCs w:val="20"/>
                <w:lang w:eastAsia="ko-KR" w:bidi="hi-IN"/>
              </w:rPr>
              <w:t xml:space="preserve"> a TP because it is up to UE implementation.</w:t>
            </w:r>
          </w:p>
        </w:tc>
      </w:tr>
      <w:tr w:rsidR="002F4997" w14:paraId="4FBB1314" w14:textId="77777777" w:rsidTr="006A334D">
        <w:tc>
          <w:tcPr>
            <w:tcW w:w="1435" w:type="dxa"/>
          </w:tcPr>
          <w:p w14:paraId="72839F7A" w14:textId="4A92BDED" w:rsidR="002F4997" w:rsidRDefault="002F4997" w:rsidP="006A334D">
            <w:pPr>
              <w:rPr>
                <w:rFonts w:eastAsia="Malgun Gothic"/>
                <w:sz w:val="20"/>
                <w:szCs w:val="20"/>
                <w:lang w:eastAsia="ko-KR" w:bidi="hi-IN"/>
              </w:rPr>
            </w:pPr>
            <w:r>
              <w:rPr>
                <w:rFonts w:eastAsia="Malgun Gothic"/>
                <w:sz w:val="20"/>
                <w:szCs w:val="20"/>
                <w:lang w:eastAsia="ko-KR" w:bidi="hi-IN"/>
              </w:rPr>
              <w:t>Nokia</w:t>
            </w:r>
          </w:p>
        </w:tc>
        <w:tc>
          <w:tcPr>
            <w:tcW w:w="8194" w:type="dxa"/>
          </w:tcPr>
          <w:p w14:paraId="3E8A03A8" w14:textId="07D2F6B0" w:rsidR="002F4997" w:rsidRDefault="002F4997" w:rsidP="00D27C31">
            <w:pPr>
              <w:rPr>
                <w:rFonts w:eastAsia="Malgun Gothic"/>
                <w:sz w:val="20"/>
                <w:szCs w:val="20"/>
                <w:lang w:eastAsia="ko-KR" w:bidi="hi-IN"/>
              </w:rPr>
            </w:pPr>
            <w:r>
              <w:rPr>
                <w:rFonts w:eastAsia="Malgun Gothic"/>
                <w:sz w:val="20"/>
                <w:szCs w:val="20"/>
                <w:lang w:eastAsia="ko-KR" w:bidi="hi-IN"/>
              </w:rPr>
              <w:t>No need to start working on a Rel-15 clarification.</w:t>
            </w:r>
          </w:p>
        </w:tc>
      </w:tr>
      <w:tr w:rsidR="006C59C5" w14:paraId="12DE40BE" w14:textId="77777777" w:rsidTr="006A334D">
        <w:tc>
          <w:tcPr>
            <w:tcW w:w="1435" w:type="dxa"/>
          </w:tcPr>
          <w:p w14:paraId="7F49CB68" w14:textId="158D3BC2" w:rsidR="006C59C5" w:rsidRDefault="006C59C5" w:rsidP="006A334D">
            <w:pPr>
              <w:rPr>
                <w:rFonts w:eastAsia="Malgun Gothic"/>
                <w:sz w:val="20"/>
                <w:szCs w:val="20"/>
                <w:lang w:eastAsia="ko-KR" w:bidi="hi-IN"/>
              </w:rPr>
            </w:pPr>
            <w:r>
              <w:rPr>
                <w:rFonts w:eastAsia="Malgun Gothic"/>
                <w:sz w:val="20"/>
                <w:szCs w:val="20"/>
                <w:lang w:eastAsia="ko-KR" w:bidi="hi-IN"/>
              </w:rPr>
              <w:t>Intel</w:t>
            </w:r>
          </w:p>
        </w:tc>
        <w:tc>
          <w:tcPr>
            <w:tcW w:w="8194" w:type="dxa"/>
          </w:tcPr>
          <w:p w14:paraId="4D0D50B6" w14:textId="2074D804" w:rsidR="006C59C5" w:rsidRDefault="006C59C5" w:rsidP="00D27C31">
            <w:pPr>
              <w:rPr>
                <w:rFonts w:eastAsia="Malgun Gothic"/>
                <w:sz w:val="20"/>
                <w:szCs w:val="20"/>
                <w:lang w:eastAsia="ko-KR" w:bidi="hi-IN"/>
              </w:rPr>
            </w:pPr>
            <w:r>
              <w:rPr>
                <w:rFonts w:eastAsia="Malgun Gothic"/>
                <w:sz w:val="20"/>
                <w:szCs w:val="20"/>
                <w:lang w:eastAsia="ko-KR" w:bidi="hi-IN"/>
              </w:rPr>
              <w:t xml:space="preserve">We agree with FL proposal and think it is really beneficial to have same understandings. We are open if such error case is to be captured. </w:t>
            </w:r>
          </w:p>
        </w:tc>
      </w:tr>
    </w:tbl>
    <w:p w14:paraId="6E34AEB2" w14:textId="761EC617" w:rsidR="00DA132A" w:rsidRDefault="00DA132A" w:rsidP="00F87160">
      <w:pPr>
        <w:spacing w:after="120"/>
        <w:rPr>
          <w:b/>
          <w:bCs/>
          <w:i/>
          <w:iCs/>
          <w:sz w:val="20"/>
          <w:szCs w:val="20"/>
          <w:u w:val="single"/>
          <w:lang w:bidi="hi-IN"/>
        </w:rPr>
      </w:pPr>
    </w:p>
    <w:p w14:paraId="06DD8978" w14:textId="3F353452" w:rsidR="00B03F36" w:rsidRPr="00F8486E" w:rsidRDefault="00DE24CC" w:rsidP="00F87160">
      <w:pPr>
        <w:pStyle w:val="Heading2"/>
      </w:pPr>
      <w:r w:rsidRPr="00DE24CC">
        <w:t xml:space="preserve">Type 2 UE’s assumption on “other than offset-UL subframes” </w:t>
      </w:r>
    </w:p>
    <w:p w14:paraId="4260F566" w14:textId="70CA9AFB" w:rsidR="00F8486E" w:rsidRDefault="009359BA" w:rsidP="005677CE">
      <w:pPr>
        <w:overflowPunct w:val="0"/>
        <w:autoSpaceDE w:val="0"/>
        <w:autoSpaceDN w:val="0"/>
        <w:adjustRightInd w:val="0"/>
        <w:jc w:val="both"/>
        <w:textAlignment w:val="baseline"/>
        <w:rPr>
          <w:rFonts w:eastAsia="MS Mincho"/>
          <w:bCs/>
          <w:sz w:val="20"/>
          <w:szCs w:val="20"/>
        </w:rPr>
      </w:pPr>
      <w:r>
        <w:rPr>
          <w:rFonts w:eastAsia="MS Mincho"/>
          <w:bCs/>
          <w:sz w:val="20"/>
          <w:szCs w:val="20"/>
        </w:rPr>
        <w:t>In Rel.15, the following agreements made in RAN1#90bis</w:t>
      </w:r>
      <w:r w:rsidR="00F8486E">
        <w:rPr>
          <w:rFonts w:eastAsia="MS Mincho"/>
          <w:bCs/>
          <w:sz w:val="20"/>
          <w:szCs w:val="20"/>
        </w:rPr>
        <w:t>.</w:t>
      </w:r>
    </w:p>
    <w:p w14:paraId="523E8E31" w14:textId="77777777" w:rsidR="00F8486E" w:rsidRDefault="00F8486E" w:rsidP="00F8486E">
      <w:pPr>
        <w:overflowPunct w:val="0"/>
        <w:autoSpaceDE w:val="0"/>
        <w:autoSpaceDN w:val="0"/>
        <w:adjustRightInd w:val="0"/>
        <w:jc w:val="both"/>
        <w:textAlignment w:val="baseline"/>
        <w:rPr>
          <w:rFonts w:eastAsia="MS Mincho"/>
          <w:bCs/>
          <w:sz w:val="20"/>
          <w:szCs w:val="20"/>
        </w:rPr>
      </w:pPr>
    </w:p>
    <w:p w14:paraId="44E1DCC5" w14:textId="77777777" w:rsidR="00F8486E" w:rsidRPr="009359BA" w:rsidRDefault="00F8486E" w:rsidP="00F8486E">
      <w:pPr>
        <w:rPr>
          <w:rFonts w:ascii="Calibri" w:hAnsi="Calibri"/>
          <w:sz w:val="20"/>
          <w:szCs w:val="20"/>
        </w:rPr>
      </w:pPr>
      <w:r w:rsidRPr="009359BA">
        <w:rPr>
          <w:sz w:val="20"/>
          <w:szCs w:val="20"/>
          <w:highlight w:val="green"/>
        </w:rPr>
        <w:t>Agreements:</w:t>
      </w:r>
    </w:p>
    <w:p w14:paraId="27DF4BC8" w14:textId="77777777" w:rsidR="00F8486E" w:rsidRPr="009359BA" w:rsidRDefault="00F8486E" w:rsidP="00F8486E">
      <w:pPr>
        <w:numPr>
          <w:ilvl w:val="0"/>
          <w:numId w:val="23"/>
        </w:numPr>
        <w:rPr>
          <w:sz w:val="20"/>
          <w:szCs w:val="20"/>
        </w:rPr>
      </w:pPr>
      <w:r w:rsidRPr="009359BA">
        <w:rPr>
          <w:sz w:val="20"/>
          <w:szCs w:val="20"/>
        </w:rPr>
        <w:t xml:space="preserve">In Case 1, LTE TDD UL HARQ timing is </w:t>
      </w:r>
      <w:proofErr w:type="gramStart"/>
      <w:r w:rsidRPr="009359BA">
        <w:rPr>
          <w:sz w:val="20"/>
          <w:szCs w:val="20"/>
        </w:rPr>
        <w:t>supported</w:t>
      </w:r>
      <w:proofErr w:type="gramEnd"/>
      <w:r w:rsidRPr="009359BA">
        <w:rPr>
          <w:sz w:val="20"/>
          <w:szCs w:val="20"/>
        </w:rPr>
        <w:t xml:space="preserve"> and the UE is allowed to transmit only in the subframes designated as UL in the reference TDD configuration. Additionally, a UE-specific HARQ subframe offset can be configured.                   </w:t>
      </w:r>
    </w:p>
    <w:p w14:paraId="089B0D53" w14:textId="77777777" w:rsidR="00F8486E" w:rsidRDefault="00F8486E" w:rsidP="005677CE">
      <w:pPr>
        <w:overflowPunct w:val="0"/>
        <w:autoSpaceDE w:val="0"/>
        <w:autoSpaceDN w:val="0"/>
        <w:adjustRightInd w:val="0"/>
        <w:jc w:val="both"/>
        <w:textAlignment w:val="baseline"/>
        <w:rPr>
          <w:rFonts w:eastAsia="MS Mincho"/>
          <w:bCs/>
          <w:sz w:val="20"/>
          <w:szCs w:val="20"/>
        </w:rPr>
      </w:pPr>
    </w:p>
    <w:p w14:paraId="4384B281" w14:textId="1F1AF080" w:rsidR="009359BA" w:rsidRDefault="00F8486E" w:rsidP="00F8486E">
      <w:pPr>
        <w:overflowPunct w:val="0"/>
        <w:autoSpaceDE w:val="0"/>
        <w:autoSpaceDN w:val="0"/>
        <w:adjustRightInd w:val="0"/>
        <w:spacing w:after="120"/>
        <w:jc w:val="both"/>
        <w:textAlignment w:val="baseline"/>
        <w:rPr>
          <w:rFonts w:eastAsia="MS Mincho"/>
          <w:bCs/>
          <w:sz w:val="20"/>
          <w:szCs w:val="20"/>
        </w:rPr>
      </w:pPr>
      <w:r>
        <w:rPr>
          <w:rFonts w:eastAsia="MS Mincho"/>
          <w:bCs/>
          <w:sz w:val="20"/>
          <w:szCs w:val="20"/>
        </w:rPr>
        <w:t>The agreement was</w:t>
      </w:r>
      <w:r w:rsidR="009359BA">
        <w:rPr>
          <w:rFonts w:eastAsia="MS Mincho"/>
          <w:bCs/>
          <w:sz w:val="20"/>
          <w:szCs w:val="20"/>
        </w:rPr>
        <w:t xml:space="preserve"> captured in </w:t>
      </w:r>
      <w:r w:rsidR="00B3022F">
        <w:rPr>
          <w:rFonts w:eastAsia="MS Mincho"/>
          <w:bCs/>
          <w:sz w:val="20"/>
          <w:szCs w:val="20"/>
        </w:rPr>
        <w:t xml:space="preserve">three places, i.e., </w:t>
      </w:r>
      <w:r w:rsidR="009359BA">
        <w:rPr>
          <w:rFonts w:eastAsia="MS Mincho"/>
          <w:bCs/>
          <w:sz w:val="20"/>
          <w:szCs w:val="20"/>
        </w:rPr>
        <w:t>section 5.1, section 6 and section 8 of TS36.213</w:t>
      </w:r>
      <w:r w:rsidR="00B3022F">
        <w:rPr>
          <w:rFonts w:eastAsia="MS Mincho"/>
          <w:bCs/>
          <w:sz w:val="20"/>
          <w:szCs w:val="20"/>
        </w:rPr>
        <w:t>,</w:t>
      </w:r>
      <w:r>
        <w:rPr>
          <w:rFonts w:eastAsia="MS Mincho"/>
          <w:bCs/>
          <w:sz w:val="20"/>
          <w:szCs w:val="20"/>
        </w:rPr>
        <w:t xml:space="preserve"> with the same contents.</w:t>
      </w:r>
    </w:p>
    <w:tbl>
      <w:tblPr>
        <w:tblStyle w:val="TableGrid"/>
        <w:tblW w:w="0" w:type="auto"/>
        <w:tblLook w:val="04A0" w:firstRow="1" w:lastRow="0" w:firstColumn="1" w:lastColumn="0" w:noHBand="0" w:noVBand="1"/>
      </w:tblPr>
      <w:tblGrid>
        <w:gridCol w:w="9629"/>
      </w:tblGrid>
      <w:tr w:rsidR="00F8486E" w14:paraId="0D92B231" w14:textId="77777777" w:rsidTr="006A334D">
        <w:tc>
          <w:tcPr>
            <w:tcW w:w="9629" w:type="dxa"/>
          </w:tcPr>
          <w:p w14:paraId="1D0CC29D" w14:textId="31386845" w:rsidR="00F8486E" w:rsidRPr="00F8486E" w:rsidRDefault="00F8486E" w:rsidP="00F8486E">
            <w:pPr>
              <w:pStyle w:val="NormalWeb"/>
              <w:rPr>
                <w:rFonts w:ascii="TimesNewRomanPSMT" w:hAnsi="TimesNewRomanPSMT"/>
                <w:sz w:val="20"/>
                <w:szCs w:val="20"/>
              </w:rPr>
            </w:pPr>
            <w:r>
              <w:rPr>
                <w:rFonts w:ascii="TimesNewRomanPSMT" w:hAnsi="TimesNewRomanPSMT"/>
                <w:sz w:val="20"/>
                <w:szCs w:val="20"/>
              </w:rPr>
              <w:t xml:space="preserve">For a UE configured with EN-DC/NE-DC and serving cell frame structure type 1, if the UE is configured with </w:t>
            </w:r>
            <w:r>
              <w:rPr>
                <w:rFonts w:ascii="TimesNewRomanPS" w:hAnsi="TimesNewRomanPS"/>
                <w:i/>
                <w:iCs/>
                <w:sz w:val="20"/>
                <w:szCs w:val="20"/>
              </w:rPr>
              <w:t xml:space="preserve">subframeAssignment-r15 </w:t>
            </w:r>
            <w:r>
              <w:rPr>
                <w:rFonts w:ascii="TimesNewRomanPSMT" w:hAnsi="TimesNewRomanPSMT"/>
                <w:sz w:val="20"/>
                <w:szCs w:val="20"/>
              </w:rPr>
              <w:t xml:space="preserve">for the serving cell, the UE </w:t>
            </w:r>
            <w:r>
              <w:rPr>
                <w:rFonts w:ascii="Times" w:hAnsi="Times"/>
                <w:sz w:val="20"/>
                <w:szCs w:val="20"/>
              </w:rPr>
              <w:t xml:space="preserve">is not expected to transmit any uplink physical channel or signal in the serving cell on subframes other than offset-UL subframes, where the offset-UL subframes are determined by applying an </w:t>
            </w:r>
            <w:r>
              <w:rPr>
                <w:rFonts w:ascii="TimesNewRomanPSMT" w:hAnsi="TimesNewRomanPSMT"/>
                <w:sz w:val="20"/>
                <w:szCs w:val="20"/>
              </w:rPr>
              <w:t xml:space="preserve">offset value given by </w:t>
            </w:r>
            <w:r>
              <w:rPr>
                <w:rFonts w:ascii="TimesNewRomanPS" w:hAnsi="TimesNewRomanPS"/>
                <w:i/>
                <w:iCs/>
                <w:sz w:val="20"/>
                <w:szCs w:val="20"/>
              </w:rPr>
              <w:t xml:space="preserve">harq-Offset-r15 </w:t>
            </w:r>
            <w:r>
              <w:rPr>
                <w:rFonts w:ascii="Times" w:hAnsi="Times"/>
                <w:sz w:val="20"/>
                <w:szCs w:val="20"/>
              </w:rPr>
              <w:t xml:space="preserve">to the subframes denoted as uplink in the </w:t>
            </w:r>
            <w:r>
              <w:rPr>
                <w:rFonts w:ascii="TimesNewRomanPSMT" w:hAnsi="TimesNewRomanPSMT"/>
                <w:sz w:val="20"/>
                <w:szCs w:val="20"/>
              </w:rPr>
              <w:t xml:space="preserve">UL/DL configuration </w:t>
            </w:r>
            <w:r>
              <w:rPr>
                <w:rFonts w:ascii="TimesNewRomanPS" w:hAnsi="TimesNewRomanPS"/>
                <w:i/>
                <w:iCs/>
                <w:sz w:val="20"/>
                <w:szCs w:val="20"/>
              </w:rPr>
              <w:t>subframeAssignment-r15</w:t>
            </w:r>
            <w:r>
              <w:rPr>
                <w:rFonts w:ascii="TimesNewRomanPSMT" w:hAnsi="TimesNewRomanPSMT"/>
                <w:sz w:val="20"/>
                <w:szCs w:val="20"/>
              </w:rPr>
              <w:t>.</w:t>
            </w:r>
          </w:p>
        </w:tc>
      </w:tr>
    </w:tbl>
    <w:p w14:paraId="76DEBC2B" w14:textId="77777777" w:rsidR="00F8486E" w:rsidRPr="00F8486E" w:rsidRDefault="00F8486E" w:rsidP="005677CE">
      <w:pPr>
        <w:overflowPunct w:val="0"/>
        <w:autoSpaceDE w:val="0"/>
        <w:autoSpaceDN w:val="0"/>
        <w:adjustRightInd w:val="0"/>
        <w:jc w:val="both"/>
        <w:textAlignment w:val="baseline"/>
        <w:rPr>
          <w:rFonts w:eastAsia="MS Mincho"/>
          <w:bCs/>
          <w:sz w:val="20"/>
          <w:szCs w:val="20"/>
        </w:rPr>
      </w:pPr>
    </w:p>
    <w:p w14:paraId="5172F461" w14:textId="7F252A54" w:rsidR="007D4383" w:rsidRPr="00DE24CC" w:rsidRDefault="00F8486E" w:rsidP="005677CE">
      <w:pPr>
        <w:overflowPunct w:val="0"/>
        <w:autoSpaceDE w:val="0"/>
        <w:autoSpaceDN w:val="0"/>
        <w:adjustRightInd w:val="0"/>
        <w:jc w:val="both"/>
        <w:textAlignment w:val="baseline"/>
        <w:rPr>
          <w:rFonts w:eastAsia="MS Mincho"/>
          <w:bCs/>
          <w:sz w:val="20"/>
          <w:szCs w:val="20"/>
        </w:rPr>
      </w:pPr>
      <w:r>
        <w:rPr>
          <w:rFonts w:eastAsia="MS Mincho"/>
          <w:bCs/>
          <w:sz w:val="20"/>
          <w:szCs w:val="20"/>
        </w:rPr>
        <w:t xml:space="preserve">In </w:t>
      </w:r>
      <w:r w:rsidR="00DE24CC">
        <w:rPr>
          <w:rFonts w:eastAsia="MS Mincho"/>
          <w:bCs/>
          <w:sz w:val="20"/>
          <w:szCs w:val="20"/>
        </w:rPr>
        <w:t>Rel. 16</w:t>
      </w:r>
      <w:r>
        <w:rPr>
          <w:rFonts w:eastAsia="MS Mincho"/>
          <w:bCs/>
          <w:sz w:val="20"/>
          <w:szCs w:val="20"/>
        </w:rPr>
        <w:t>, the similar agreements were reached in</w:t>
      </w:r>
      <w:r w:rsidR="00DE24CC">
        <w:rPr>
          <w:rFonts w:eastAsia="MS Mincho"/>
          <w:bCs/>
          <w:sz w:val="20"/>
          <w:szCs w:val="20"/>
        </w:rPr>
        <w:t xml:space="preserve"> EN-DC enhancement</w:t>
      </w:r>
      <w:r w:rsidR="00B3022F">
        <w:rPr>
          <w:rFonts w:eastAsia="MS Mincho"/>
          <w:bCs/>
          <w:sz w:val="20"/>
          <w:szCs w:val="20"/>
        </w:rPr>
        <w:t>, as shown below</w:t>
      </w:r>
      <w:r>
        <w:rPr>
          <w:rFonts w:eastAsia="MS Mincho"/>
          <w:bCs/>
          <w:sz w:val="20"/>
          <w:szCs w:val="20"/>
        </w:rPr>
        <w:t>.</w:t>
      </w:r>
      <w:r w:rsidR="00DE24CC">
        <w:rPr>
          <w:rFonts w:eastAsia="MS Mincho"/>
          <w:bCs/>
          <w:sz w:val="20"/>
          <w:szCs w:val="20"/>
        </w:rPr>
        <w:t xml:space="preserve"> </w:t>
      </w:r>
      <w:r w:rsidR="00B3022F">
        <w:rPr>
          <w:rFonts w:eastAsia="MS Mincho"/>
          <w:bCs/>
          <w:sz w:val="20"/>
          <w:szCs w:val="20"/>
        </w:rPr>
        <w:t xml:space="preserve">The </w:t>
      </w:r>
      <w:r w:rsidR="00DE24CC">
        <w:rPr>
          <w:rFonts w:eastAsia="MS Mincho"/>
          <w:bCs/>
          <w:sz w:val="20"/>
          <w:szCs w:val="20"/>
        </w:rPr>
        <w:t xml:space="preserve">agreements were captured in </w:t>
      </w:r>
      <w:r w:rsidR="00B3022F">
        <w:rPr>
          <w:rFonts w:eastAsia="MS Mincho"/>
          <w:bCs/>
          <w:sz w:val="20"/>
          <w:szCs w:val="20"/>
        </w:rPr>
        <w:t xml:space="preserve">both </w:t>
      </w:r>
      <w:r w:rsidR="00DE24CC">
        <w:rPr>
          <w:rFonts w:eastAsia="MS Mincho"/>
          <w:bCs/>
          <w:sz w:val="20"/>
          <w:szCs w:val="20"/>
        </w:rPr>
        <w:t>section 6 and section 8 of TS36.213</w:t>
      </w:r>
      <w:r w:rsidR="00904961">
        <w:rPr>
          <w:rFonts w:eastAsia="MS Mincho"/>
          <w:bCs/>
          <w:sz w:val="20"/>
          <w:szCs w:val="20"/>
        </w:rPr>
        <w:t xml:space="preserve">, </w:t>
      </w:r>
      <w:r w:rsidR="00904961" w:rsidRPr="00B3022F">
        <w:rPr>
          <w:rFonts w:eastAsia="MS Mincho"/>
          <w:bCs/>
          <w:sz w:val="20"/>
          <w:szCs w:val="20"/>
          <w:u w:val="single"/>
        </w:rPr>
        <w:t xml:space="preserve">but not </w:t>
      </w:r>
      <w:r w:rsidR="00B3022F" w:rsidRPr="00B3022F">
        <w:rPr>
          <w:rFonts w:eastAsia="MS Mincho"/>
          <w:bCs/>
          <w:sz w:val="20"/>
          <w:szCs w:val="20"/>
          <w:u w:val="single"/>
        </w:rPr>
        <w:t xml:space="preserve">in </w:t>
      </w:r>
      <w:r w:rsidR="00904961" w:rsidRPr="00B3022F">
        <w:rPr>
          <w:rFonts w:eastAsia="MS Mincho"/>
          <w:bCs/>
          <w:sz w:val="20"/>
          <w:szCs w:val="20"/>
          <w:u w:val="single"/>
        </w:rPr>
        <w:t>section 5.1</w:t>
      </w:r>
      <w:r w:rsidR="00904961">
        <w:rPr>
          <w:rFonts w:eastAsia="MS Mincho"/>
          <w:bCs/>
          <w:sz w:val="20"/>
          <w:szCs w:val="20"/>
        </w:rPr>
        <w:t>. To avoid confusi</w:t>
      </w:r>
      <w:r w:rsidR="00B3022F">
        <w:rPr>
          <w:rFonts w:eastAsia="MS Mincho"/>
          <w:bCs/>
          <w:sz w:val="20"/>
          <w:szCs w:val="20"/>
        </w:rPr>
        <w:t>on</w:t>
      </w:r>
      <w:r w:rsidR="00904961">
        <w:rPr>
          <w:rFonts w:eastAsia="MS Mincho"/>
          <w:bCs/>
          <w:sz w:val="20"/>
          <w:szCs w:val="20"/>
        </w:rPr>
        <w:t xml:space="preserve"> between Rel.15 and Rel.16, It was proposed to capture the same contents in section 5.1 as these in section 6 and section 8 by [4]. But according to [1], this alignment is not necessary.</w:t>
      </w:r>
    </w:p>
    <w:p w14:paraId="6111E7D5" w14:textId="7F1AA98E" w:rsidR="007D4383" w:rsidRPr="00904961" w:rsidRDefault="007D4383" w:rsidP="005677CE">
      <w:pPr>
        <w:overflowPunct w:val="0"/>
        <w:autoSpaceDE w:val="0"/>
        <w:autoSpaceDN w:val="0"/>
        <w:adjustRightInd w:val="0"/>
        <w:jc w:val="both"/>
        <w:textAlignment w:val="baseline"/>
        <w:rPr>
          <w:rFonts w:eastAsia="MS Mincho"/>
          <w:bCs/>
          <w:sz w:val="20"/>
          <w:szCs w:val="20"/>
        </w:rPr>
      </w:pPr>
    </w:p>
    <w:p w14:paraId="42C75F1F" w14:textId="77777777" w:rsidR="00904961" w:rsidRPr="00627A15" w:rsidRDefault="00904961" w:rsidP="00904961">
      <w:pPr>
        <w:rPr>
          <w:rFonts w:ascii="MS PGothic" w:eastAsia="MS PGothic" w:hAnsi="MS PGothic" w:cs="MS PGothic"/>
          <w:sz w:val="20"/>
          <w:szCs w:val="20"/>
          <w:lang w:eastAsia="ja-JP"/>
        </w:rPr>
      </w:pPr>
      <w:r w:rsidRPr="00627A15">
        <w:rPr>
          <w:rFonts w:cs="+mn-cs"/>
          <w:color w:val="13171F"/>
          <w:kern w:val="24"/>
          <w:sz w:val="20"/>
          <w:szCs w:val="20"/>
          <w:highlight w:val="green"/>
          <w:lang w:val="en-GB" w:eastAsia="ja-JP"/>
        </w:rPr>
        <w:t>Agreements</w:t>
      </w:r>
      <w:r w:rsidRPr="00627A15">
        <w:rPr>
          <w:rFonts w:cs="+mn-cs"/>
          <w:color w:val="13171F"/>
          <w:kern w:val="24"/>
          <w:sz w:val="20"/>
          <w:szCs w:val="20"/>
          <w:lang w:val="en-GB" w:eastAsia="ja-JP"/>
        </w:rPr>
        <w:t>:</w:t>
      </w:r>
    </w:p>
    <w:p w14:paraId="7599138F" w14:textId="77777777" w:rsidR="00904961" w:rsidRPr="00627A15" w:rsidRDefault="00904961" w:rsidP="00904961">
      <w:pPr>
        <w:rPr>
          <w:rFonts w:ascii="MS PGothic" w:eastAsia="MS PGothic" w:hAnsi="MS PGothic" w:cs="MS PGothic"/>
          <w:sz w:val="20"/>
          <w:szCs w:val="20"/>
          <w:lang w:eastAsia="ja-JP"/>
        </w:rPr>
      </w:pPr>
      <w:r w:rsidRPr="00627A15">
        <w:rPr>
          <w:rFonts w:cs="+mn-cs"/>
          <w:color w:val="13171F"/>
          <w:kern w:val="24"/>
          <w:sz w:val="20"/>
          <w:szCs w:val="20"/>
          <w:lang w:val="en-GB" w:eastAsia="ja-JP"/>
        </w:rPr>
        <w:t xml:space="preserve">For a UE configured with DL-reference DL/UL configuration in Rel-16 (including single Tx with LTE TDD </w:t>
      </w:r>
      <w:proofErr w:type="spellStart"/>
      <w:r w:rsidRPr="00627A15">
        <w:rPr>
          <w:rFonts w:cs="+mn-cs"/>
          <w:color w:val="13171F"/>
          <w:kern w:val="24"/>
          <w:sz w:val="20"/>
          <w:szCs w:val="20"/>
          <w:lang w:val="en-GB" w:eastAsia="ja-JP"/>
        </w:rPr>
        <w:t>PCell</w:t>
      </w:r>
      <w:proofErr w:type="spellEnd"/>
      <w:r w:rsidRPr="00627A15">
        <w:rPr>
          <w:rFonts w:cs="+mn-cs"/>
          <w:color w:val="13171F"/>
          <w:kern w:val="24"/>
          <w:sz w:val="20"/>
          <w:szCs w:val="20"/>
          <w:lang w:val="en-GB" w:eastAsia="ja-JP"/>
        </w:rPr>
        <w:t xml:space="preserve"> or LTE FDD </w:t>
      </w:r>
      <w:proofErr w:type="spellStart"/>
      <w:r w:rsidRPr="00627A15">
        <w:rPr>
          <w:rFonts w:cs="+mn-cs"/>
          <w:color w:val="13171F"/>
          <w:kern w:val="24"/>
          <w:sz w:val="20"/>
          <w:szCs w:val="20"/>
          <w:lang w:val="en-GB" w:eastAsia="ja-JP"/>
        </w:rPr>
        <w:t>PCell</w:t>
      </w:r>
      <w:proofErr w:type="spellEnd"/>
      <w:r w:rsidRPr="00627A15">
        <w:rPr>
          <w:rFonts w:cs="+mn-cs"/>
          <w:color w:val="13171F"/>
          <w:kern w:val="24"/>
          <w:sz w:val="20"/>
          <w:szCs w:val="20"/>
          <w:lang w:val="en-GB" w:eastAsia="ja-JP"/>
        </w:rPr>
        <w:t>, and dual Tx cases):</w:t>
      </w:r>
    </w:p>
    <w:p w14:paraId="5BDBBC14" w14:textId="3F3FF607" w:rsidR="007D4383" w:rsidRPr="00904961" w:rsidRDefault="00904961" w:rsidP="00904961">
      <w:pPr>
        <w:numPr>
          <w:ilvl w:val="0"/>
          <w:numId w:val="24"/>
        </w:numPr>
        <w:tabs>
          <w:tab w:val="left" w:pos="720"/>
        </w:tabs>
        <w:spacing w:line="256" w:lineRule="auto"/>
        <w:ind w:left="1267"/>
        <w:jc w:val="both"/>
        <w:rPr>
          <w:rFonts w:ascii="MS PGothic" w:eastAsia="MS PGothic" w:hAnsi="MS PGothic" w:cs="MS PGothic"/>
          <w:sz w:val="20"/>
          <w:szCs w:val="20"/>
          <w:lang w:eastAsia="ja-JP"/>
        </w:rPr>
      </w:pPr>
      <w:r w:rsidRPr="00904961">
        <w:rPr>
          <w:rFonts w:cs="Times"/>
          <w:color w:val="13171F"/>
          <w:kern w:val="24"/>
          <w:sz w:val="20"/>
          <w:szCs w:val="20"/>
          <w:lang w:eastAsia="ja-JP"/>
        </w:rPr>
        <w:t>For type 2 UE</w:t>
      </w:r>
      <w:r w:rsidRPr="00627A15">
        <w:rPr>
          <w:rFonts w:cs="Times"/>
          <w:color w:val="13171F"/>
          <w:kern w:val="24"/>
          <w:sz w:val="20"/>
          <w:szCs w:val="20"/>
          <w:lang w:eastAsia="ja-JP"/>
        </w:rPr>
        <w:t xml:space="preserve"> (i.e., UE without dynamic power sharing capability), any LTE UL transmissions should take place only in UL subframes designated for HARQ-ACK feedback.</w:t>
      </w:r>
    </w:p>
    <w:p w14:paraId="17CB2735" w14:textId="53E1FD00" w:rsidR="007D4383" w:rsidRPr="008F7D1A" w:rsidRDefault="007D4383" w:rsidP="007D4383">
      <w:pPr>
        <w:spacing w:before="120" w:after="240"/>
        <w:rPr>
          <w:b/>
          <w:bCs/>
          <w:color w:val="000000"/>
          <w:sz w:val="20"/>
          <w:szCs w:val="20"/>
        </w:rPr>
      </w:pPr>
      <w:r w:rsidRPr="00BA5C02">
        <w:rPr>
          <w:b/>
          <w:bCs/>
          <w:color w:val="000000"/>
          <w:sz w:val="20"/>
          <w:szCs w:val="20"/>
        </w:rPr>
        <w:t xml:space="preserve">Proposal </w:t>
      </w:r>
      <w:r w:rsidR="00904961">
        <w:rPr>
          <w:b/>
          <w:bCs/>
          <w:color w:val="000000"/>
          <w:sz w:val="20"/>
          <w:szCs w:val="20"/>
        </w:rPr>
        <w:t>3</w:t>
      </w:r>
      <w:r w:rsidRPr="00BA5C02">
        <w:rPr>
          <w:b/>
          <w:bCs/>
          <w:color w:val="000000"/>
          <w:sz w:val="20"/>
          <w:szCs w:val="20"/>
        </w:rPr>
        <w:t xml:space="preserve">: </w:t>
      </w:r>
      <w:r w:rsidR="00904961">
        <w:rPr>
          <w:b/>
          <w:bCs/>
          <w:color w:val="000000"/>
          <w:sz w:val="20"/>
          <w:szCs w:val="20"/>
        </w:rPr>
        <w:t>Discuss further whether a</w:t>
      </w:r>
      <w:r w:rsidRPr="00BA5C02">
        <w:rPr>
          <w:b/>
          <w:bCs/>
          <w:color w:val="000000"/>
          <w:sz w:val="20"/>
          <w:szCs w:val="20"/>
        </w:rPr>
        <w:t>dopt the</w:t>
      </w:r>
      <w:r>
        <w:rPr>
          <w:b/>
          <w:bCs/>
          <w:color w:val="000000"/>
          <w:sz w:val="20"/>
          <w:szCs w:val="20"/>
        </w:rPr>
        <w:t xml:space="preserve"> proposed</w:t>
      </w:r>
      <w:r w:rsidRPr="00BA5C02">
        <w:rPr>
          <w:b/>
          <w:bCs/>
          <w:color w:val="000000"/>
          <w:sz w:val="20"/>
          <w:szCs w:val="20"/>
        </w:rPr>
        <w:t xml:space="preserve"> text proposal on uplink power control</w:t>
      </w:r>
      <w:r>
        <w:rPr>
          <w:b/>
          <w:bCs/>
          <w:color w:val="000000"/>
          <w:sz w:val="20"/>
          <w:szCs w:val="20"/>
        </w:rPr>
        <w:t xml:space="preserve"> section in TS36.213</w:t>
      </w:r>
      <w:r w:rsidRPr="00BA5C02">
        <w:rPr>
          <w:b/>
          <w:bCs/>
          <w:color w:val="000000"/>
          <w:sz w:val="20"/>
          <w:szCs w:val="20"/>
        </w:rPr>
        <w:t>.</w:t>
      </w:r>
    </w:p>
    <w:tbl>
      <w:tblPr>
        <w:tblStyle w:val="TableGrid"/>
        <w:tblW w:w="0" w:type="auto"/>
        <w:tblLook w:val="04A0" w:firstRow="1" w:lastRow="0" w:firstColumn="1" w:lastColumn="0" w:noHBand="0" w:noVBand="1"/>
      </w:tblPr>
      <w:tblGrid>
        <w:gridCol w:w="9629"/>
      </w:tblGrid>
      <w:tr w:rsidR="007D4383" w14:paraId="4E1B9C35" w14:textId="77777777" w:rsidTr="006A334D">
        <w:tc>
          <w:tcPr>
            <w:tcW w:w="9629" w:type="dxa"/>
          </w:tcPr>
          <w:p w14:paraId="67ABCADB" w14:textId="77777777" w:rsidR="007D4383" w:rsidRDefault="007D4383" w:rsidP="006A334D">
            <w:pPr>
              <w:pStyle w:val="NormalWeb"/>
            </w:pPr>
            <w:r>
              <w:rPr>
                <w:rFonts w:ascii="ArialMT" w:hAnsi="ArialMT"/>
                <w:sz w:val="32"/>
                <w:szCs w:val="32"/>
              </w:rPr>
              <w:t xml:space="preserve">5.1 Uplink power control </w:t>
            </w:r>
          </w:p>
          <w:p w14:paraId="44923303" w14:textId="77777777" w:rsidR="007D4383" w:rsidRPr="001810BD" w:rsidRDefault="007D4383" w:rsidP="006A334D">
            <w:pPr>
              <w:pStyle w:val="Heading3"/>
              <w:numPr>
                <w:ilvl w:val="0"/>
                <w:numId w:val="0"/>
              </w:numPr>
              <w:tabs>
                <w:tab w:val="center" w:pos="4819"/>
              </w:tabs>
              <w:spacing w:before="120" w:after="120"/>
              <w:ind w:left="720"/>
              <w:jc w:val="center"/>
              <w:outlineLvl w:val="2"/>
              <w:rPr>
                <w:color w:val="FF0000"/>
                <w:sz w:val="20"/>
                <w:lang w:eastAsia="zh-CN"/>
              </w:rPr>
            </w:pPr>
            <w:r w:rsidRPr="00B43A15">
              <w:rPr>
                <w:color w:val="FF0000"/>
                <w:sz w:val="20"/>
                <w:lang w:eastAsia="zh-CN"/>
              </w:rPr>
              <w:t xml:space="preserve">&lt; </w:t>
            </w:r>
            <w:r w:rsidRPr="00B43A15">
              <w:rPr>
                <w:color w:val="FF0000"/>
                <w:sz w:val="20"/>
              </w:rPr>
              <w:t>Unchanged parts are omitted</w:t>
            </w:r>
            <w:r w:rsidRPr="00B43A15">
              <w:rPr>
                <w:color w:val="FF0000"/>
                <w:sz w:val="20"/>
                <w:lang w:eastAsia="zh-CN"/>
              </w:rPr>
              <w:t xml:space="preserve"> &gt;</w:t>
            </w:r>
          </w:p>
          <w:p w14:paraId="37BBD2CE" w14:textId="77777777" w:rsidR="007D4383" w:rsidRDefault="007D4383" w:rsidP="006A334D">
            <w:pPr>
              <w:pStyle w:val="NormalWeb"/>
              <w:rPr>
                <w:rFonts w:ascii="TimesNewRomanPSMT" w:hAnsi="TimesNewRomanPSMT"/>
                <w:sz w:val="20"/>
                <w:szCs w:val="20"/>
              </w:rPr>
            </w:pPr>
            <w:r>
              <w:rPr>
                <w:rFonts w:ascii="TimesNewRomanPSMT" w:hAnsi="TimesNewRomanPSMT"/>
                <w:sz w:val="20"/>
                <w:szCs w:val="20"/>
              </w:rPr>
              <w:t xml:space="preserve">For a UE configured with EN-DC/NE-DC and serving cell frame structure type 1, if the UE is configured with </w:t>
            </w:r>
            <w:r>
              <w:rPr>
                <w:rFonts w:ascii="TimesNewRomanPS" w:hAnsi="TimesNewRomanPS"/>
                <w:i/>
                <w:iCs/>
                <w:sz w:val="20"/>
                <w:szCs w:val="20"/>
              </w:rPr>
              <w:t xml:space="preserve">subframeAssignment-r15 </w:t>
            </w:r>
            <w:r>
              <w:rPr>
                <w:rFonts w:ascii="TimesNewRomanPSMT" w:hAnsi="TimesNewRomanPSMT"/>
                <w:sz w:val="20"/>
                <w:szCs w:val="20"/>
              </w:rPr>
              <w:t xml:space="preserve">for the serving cell, the UE </w:t>
            </w:r>
            <w:r>
              <w:rPr>
                <w:rFonts w:ascii="Times" w:hAnsi="Times"/>
                <w:sz w:val="20"/>
                <w:szCs w:val="20"/>
              </w:rPr>
              <w:t xml:space="preserve">is not expected to transmit any uplink physical channel or signal in the serving cell on subframes other than offset-UL subframes, where the offset-UL subframes are determined by applying an </w:t>
            </w:r>
            <w:r>
              <w:rPr>
                <w:rFonts w:ascii="TimesNewRomanPSMT" w:hAnsi="TimesNewRomanPSMT"/>
                <w:sz w:val="20"/>
                <w:szCs w:val="20"/>
              </w:rPr>
              <w:t xml:space="preserve">offset value given by </w:t>
            </w:r>
            <w:r>
              <w:rPr>
                <w:rFonts w:ascii="TimesNewRomanPS" w:hAnsi="TimesNewRomanPS"/>
                <w:i/>
                <w:iCs/>
                <w:sz w:val="20"/>
                <w:szCs w:val="20"/>
              </w:rPr>
              <w:t xml:space="preserve">harq-Offset-r15 </w:t>
            </w:r>
            <w:r>
              <w:rPr>
                <w:rFonts w:ascii="Times" w:hAnsi="Times"/>
                <w:sz w:val="20"/>
                <w:szCs w:val="20"/>
              </w:rPr>
              <w:t xml:space="preserve">to the subframes denoted as uplink in the </w:t>
            </w:r>
            <w:r>
              <w:rPr>
                <w:rFonts w:ascii="TimesNewRomanPSMT" w:hAnsi="TimesNewRomanPSMT"/>
                <w:sz w:val="20"/>
                <w:szCs w:val="20"/>
              </w:rPr>
              <w:t xml:space="preserve">UL/DL configuration </w:t>
            </w:r>
            <w:r>
              <w:rPr>
                <w:rFonts w:ascii="TimesNewRomanPS" w:hAnsi="TimesNewRomanPS"/>
                <w:i/>
                <w:iCs/>
                <w:sz w:val="20"/>
                <w:szCs w:val="20"/>
              </w:rPr>
              <w:t>subframeAssignment-r15</w:t>
            </w:r>
            <w:r>
              <w:rPr>
                <w:rFonts w:ascii="TimesNewRomanPSMT" w:hAnsi="TimesNewRomanPSMT"/>
                <w:sz w:val="20"/>
                <w:szCs w:val="20"/>
              </w:rPr>
              <w:t xml:space="preserve">. </w:t>
            </w:r>
          </w:p>
          <w:p w14:paraId="3B930513" w14:textId="77777777" w:rsidR="007D4383" w:rsidRPr="007D4383" w:rsidRDefault="007D4383" w:rsidP="006A334D">
            <w:pPr>
              <w:rPr>
                <w:color w:val="FF0000"/>
                <w:sz w:val="20"/>
                <w:szCs w:val="20"/>
                <w:u w:val="single"/>
              </w:rPr>
            </w:pPr>
            <w:r w:rsidRPr="007D4383">
              <w:rPr>
                <w:bCs/>
                <w:noProof/>
                <w:color w:val="FF0000"/>
                <w:sz w:val="20"/>
                <w:szCs w:val="20"/>
                <w:u w:val="single"/>
              </w:rPr>
              <w:t xml:space="preserve">For a UE configured with EN-DC, if the UE does not indicate </w:t>
            </w:r>
            <w:r w:rsidRPr="007D4383">
              <w:rPr>
                <w:color w:val="FF0000"/>
                <w:sz w:val="20"/>
                <w:szCs w:val="20"/>
                <w:u w:val="single"/>
              </w:rPr>
              <w:t>a capability for dynamic power sharing (as specified in [17])</w:t>
            </w:r>
            <w:r w:rsidRPr="007D4383">
              <w:rPr>
                <w:bCs/>
                <w:noProof/>
                <w:color w:val="FF0000"/>
                <w:sz w:val="20"/>
                <w:szCs w:val="20"/>
                <w:u w:val="single"/>
              </w:rPr>
              <w:t xml:space="preserve"> and </w:t>
            </w:r>
            <w:r w:rsidRPr="007D4383">
              <w:rPr>
                <w:color w:val="FF0000"/>
                <w:sz w:val="20"/>
                <w:szCs w:val="20"/>
                <w:u w:val="single"/>
              </w:rPr>
              <w:t xml:space="preserve">if the UE is configured with </w:t>
            </w:r>
            <w:r w:rsidRPr="007D4383">
              <w:rPr>
                <w:i/>
                <w:color w:val="FF0000"/>
                <w:sz w:val="20"/>
                <w:szCs w:val="20"/>
                <w:u w:val="single"/>
              </w:rPr>
              <w:t xml:space="preserve">subframeAssignment-r16 </w:t>
            </w:r>
            <w:r w:rsidRPr="007D4383">
              <w:rPr>
                <w:color w:val="FF0000"/>
                <w:sz w:val="20"/>
                <w:szCs w:val="20"/>
                <w:u w:val="single"/>
              </w:rPr>
              <w:t xml:space="preserve">for the serving cell, the UE </w:t>
            </w:r>
            <w:r w:rsidRPr="007D4383">
              <w:rPr>
                <w:rFonts w:ascii="Times" w:hAnsi="Times"/>
                <w:color w:val="FF0000"/>
                <w:sz w:val="20"/>
                <w:szCs w:val="20"/>
                <w:u w:val="single"/>
              </w:rPr>
              <w:t xml:space="preserve">is not expected to transmit any uplink physical channel or signal in the serving cell on subframes other than offset-UL subframes, where the offset-UL subframes are determined by applying an </w:t>
            </w:r>
            <w:r w:rsidRPr="007D4383">
              <w:rPr>
                <w:color w:val="FF0000"/>
                <w:sz w:val="20"/>
                <w:szCs w:val="20"/>
                <w:u w:val="single"/>
              </w:rPr>
              <w:t xml:space="preserve">offset value given by </w:t>
            </w:r>
            <w:r w:rsidRPr="007D4383">
              <w:rPr>
                <w:bCs/>
                <w:i/>
                <w:color w:val="FF0000"/>
                <w:sz w:val="20"/>
                <w:szCs w:val="20"/>
                <w:u w:val="single"/>
                <w:lang w:val="x-none"/>
              </w:rPr>
              <w:t>harq-Offset</w:t>
            </w:r>
            <w:r w:rsidRPr="007D4383">
              <w:rPr>
                <w:bCs/>
                <w:i/>
                <w:color w:val="FF0000"/>
                <w:sz w:val="20"/>
                <w:szCs w:val="20"/>
                <w:u w:val="single"/>
              </w:rPr>
              <w:t>-r16</w:t>
            </w:r>
            <w:r w:rsidRPr="007D4383">
              <w:rPr>
                <w:rFonts w:ascii="Times" w:hAnsi="Times"/>
                <w:color w:val="FF0000"/>
                <w:sz w:val="20"/>
                <w:szCs w:val="20"/>
                <w:u w:val="single"/>
              </w:rPr>
              <w:t xml:space="preserve"> to the subframes denoted as uplink in the </w:t>
            </w:r>
            <w:r w:rsidRPr="007D4383">
              <w:rPr>
                <w:color w:val="FF0000"/>
                <w:sz w:val="20"/>
                <w:szCs w:val="20"/>
                <w:u w:val="single"/>
              </w:rPr>
              <w:t xml:space="preserve">UL/DL configuration </w:t>
            </w:r>
            <w:r w:rsidRPr="007D4383">
              <w:rPr>
                <w:i/>
                <w:color w:val="FF0000"/>
                <w:sz w:val="20"/>
                <w:szCs w:val="20"/>
                <w:u w:val="single"/>
              </w:rPr>
              <w:t>subframeAssignment-r16</w:t>
            </w:r>
            <w:r w:rsidRPr="007D4383">
              <w:rPr>
                <w:color w:val="FF0000"/>
                <w:sz w:val="20"/>
                <w:szCs w:val="20"/>
                <w:u w:val="single"/>
              </w:rPr>
              <w:t>.</w:t>
            </w:r>
          </w:p>
          <w:p w14:paraId="12367462" w14:textId="77777777" w:rsidR="007D4383" w:rsidRPr="006A3F97" w:rsidRDefault="007D4383" w:rsidP="006A334D">
            <w:pPr>
              <w:rPr>
                <w:sz w:val="20"/>
                <w:szCs w:val="20"/>
              </w:rPr>
            </w:pPr>
          </w:p>
        </w:tc>
      </w:tr>
    </w:tbl>
    <w:p w14:paraId="5819E058" w14:textId="2F834F68" w:rsidR="00D95ACF" w:rsidRDefault="00D95ACF" w:rsidP="00B03F36">
      <w:pPr>
        <w:rPr>
          <w:rFonts w:eastAsia="MS Mincho"/>
          <w:lang w:val="en-GB" w:eastAsia="ja-JP" w:bidi="hi-IN"/>
        </w:rPr>
      </w:pPr>
    </w:p>
    <w:p w14:paraId="7D7B11CA" w14:textId="75666326" w:rsidR="00041146" w:rsidRPr="00041146" w:rsidRDefault="00041146" w:rsidP="00041146">
      <w:pPr>
        <w:rPr>
          <w:b/>
          <w:bCs/>
          <w:lang w:val="en-GB" w:eastAsia="en-US"/>
        </w:rPr>
      </w:pPr>
    </w:p>
    <w:p w14:paraId="61C99177" w14:textId="429A9816" w:rsidR="00041146" w:rsidRPr="00041146" w:rsidRDefault="00041146" w:rsidP="00041146">
      <w:pPr>
        <w:numPr>
          <w:ilvl w:val="0"/>
          <w:numId w:val="34"/>
        </w:numPr>
        <w:rPr>
          <w:b/>
          <w:bCs/>
          <w:sz w:val="20"/>
          <w:szCs w:val="20"/>
          <w:lang w:eastAsia="en-US"/>
        </w:rPr>
      </w:pPr>
      <w:r w:rsidRPr="00041146">
        <w:rPr>
          <w:b/>
          <w:bCs/>
          <w:sz w:val="20"/>
          <w:szCs w:val="20"/>
          <w:lang w:eastAsia="en-US"/>
        </w:rPr>
        <w:t>Q2-2: Do we need to copy the same text on R16 UE behavior from section 6 &amp; 8 to section 5.1 as well in 36.213? (Note that we indeed have the same text in section 6 &amp; 8 &amp; 5.1 on R15 UE behavior)</w:t>
      </w:r>
    </w:p>
    <w:p w14:paraId="3FC9591C" w14:textId="77777777" w:rsidR="00041146" w:rsidRPr="00041146" w:rsidRDefault="00041146" w:rsidP="00041146">
      <w:pPr>
        <w:rPr>
          <w:sz w:val="20"/>
          <w:szCs w:val="20"/>
          <w:lang w:eastAsia="en-US"/>
        </w:rPr>
      </w:pPr>
    </w:p>
    <w:tbl>
      <w:tblPr>
        <w:tblStyle w:val="TableGrid"/>
        <w:tblW w:w="0" w:type="auto"/>
        <w:tblLook w:val="04A0" w:firstRow="1" w:lastRow="0" w:firstColumn="1" w:lastColumn="0" w:noHBand="0" w:noVBand="1"/>
      </w:tblPr>
      <w:tblGrid>
        <w:gridCol w:w="1435"/>
        <w:gridCol w:w="8194"/>
      </w:tblGrid>
      <w:tr w:rsidR="00041146" w14:paraId="2C065131" w14:textId="77777777" w:rsidTr="006A334D">
        <w:tc>
          <w:tcPr>
            <w:tcW w:w="1435" w:type="dxa"/>
          </w:tcPr>
          <w:p w14:paraId="5C2BD2F2" w14:textId="77777777" w:rsidR="00041146" w:rsidRDefault="00041146" w:rsidP="006A334D">
            <w:pPr>
              <w:rPr>
                <w:sz w:val="20"/>
                <w:szCs w:val="20"/>
                <w:lang w:eastAsia="ja-JP" w:bidi="hi-IN"/>
              </w:rPr>
            </w:pPr>
            <w:r>
              <w:rPr>
                <w:sz w:val="20"/>
                <w:szCs w:val="20"/>
                <w:lang w:eastAsia="ja-JP" w:bidi="hi-IN"/>
              </w:rPr>
              <w:t>Company</w:t>
            </w:r>
          </w:p>
        </w:tc>
        <w:tc>
          <w:tcPr>
            <w:tcW w:w="8194" w:type="dxa"/>
          </w:tcPr>
          <w:p w14:paraId="184862E3" w14:textId="77777777" w:rsidR="00041146" w:rsidRDefault="00041146" w:rsidP="006A334D">
            <w:pPr>
              <w:rPr>
                <w:sz w:val="20"/>
                <w:szCs w:val="20"/>
                <w:lang w:eastAsia="ja-JP" w:bidi="hi-IN"/>
              </w:rPr>
            </w:pPr>
            <w:r>
              <w:rPr>
                <w:sz w:val="20"/>
                <w:szCs w:val="20"/>
                <w:lang w:eastAsia="ja-JP" w:bidi="hi-IN"/>
              </w:rPr>
              <w:t>Comments</w:t>
            </w:r>
          </w:p>
        </w:tc>
      </w:tr>
      <w:tr w:rsidR="00041146" w14:paraId="56F8FB47" w14:textId="77777777" w:rsidTr="006A334D">
        <w:tc>
          <w:tcPr>
            <w:tcW w:w="1435" w:type="dxa"/>
          </w:tcPr>
          <w:p w14:paraId="09659D85" w14:textId="4F7391EE" w:rsidR="00041146" w:rsidRPr="00820F31" w:rsidRDefault="00820F31" w:rsidP="006A334D">
            <w:pPr>
              <w:rPr>
                <w:rFonts w:eastAsiaTheme="minorEastAsia"/>
                <w:sz w:val="20"/>
                <w:szCs w:val="20"/>
                <w:lang w:bidi="hi-IN"/>
              </w:rPr>
            </w:pPr>
            <w:r>
              <w:rPr>
                <w:rFonts w:eastAsiaTheme="minorEastAsia" w:hint="eastAsia"/>
                <w:sz w:val="20"/>
                <w:szCs w:val="20"/>
                <w:lang w:bidi="hi-IN"/>
              </w:rPr>
              <w:t>Z</w:t>
            </w:r>
            <w:r>
              <w:rPr>
                <w:rFonts w:eastAsiaTheme="minorEastAsia"/>
                <w:sz w:val="20"/>
                <w:szCs w:val="20"/>
                <w:lang w:bidi="hi-IN"/>
              </w:rPr>
              <w:t>TE</w:t>
            </w:r>
          </w:p>
        </w:tc>
        <w:tc>
          <w:tcPr>
            <w:tcW w:w="8194" w:type="dxa"/>
          </w:tcPr>
          <w:p w14:paraId="1A58AD31" w14:textId="7633AF87" w:rsidR="00041146" w:rsidRPr="00820F31" w:rsidRDefault="00820F31" w:rsidP="006A334D">
            <w:pPr>
              <w:rPr>
                <w:rFonts w:eastAsiaTheme="minorEastAsia"/>
                <w:sz w:val="20"/>
                <w:szCs w:val="20"/>
                <w:lang w:bidi="hi-IN"/>
              </w:rPr>
            </w:pPr>
            <w:r>
              <w:rPr>
                <w:rFonts w:eastAsiaTheme="minorEastAsia"/>
                <w:sz w:val="20"/>
                <w:szCs w:val="20"/>
                <w:lang w:bidi="hi-IN"/>
              </w:rPr>
              <w:t>Copying the same text seems fine to us.</w:t>
            </w:r>
          </w:p>
        </w:tc>
      </w:tr>
      <w:tr w:rsidR="00041146" w14:paraId="6A6A573C" w14:textId="77777777" w:rsidTr="006A334D">
        <w:tc>
          <w:tcPr>
            <w:tcW w:w="1435" w:type="dxa"/>
          </w:tcPr>
          <w:p w14:paraId="28CCC1C3" w14:textId="043FAF4A" w:rsidR="00041146" w:rsidRDefault="00E4543C" w:rsidP="006A334D">
            <w:pPr>
              <w:rPr>
                <w:sz w:val="20"/>
                <w:szCs w:val="20"/>
                <w:lang w:eastAsia="ja-JP" w:bidi="hi-IN"/>
              </w:rPr>
            </w:pPr>
            <w:r>
              <w:rPr>
                <w:sz w:val="20"/>
                <w:szCs w:val="20"/>
                <w:lang w:eastAsia="ja-JP" w:bidi="hi-IN"/>
              </w:rPr>
              <w:t>Apple</w:t>
            </w:r>
          </w:p>
        </w:tc>
        <w:tc>
          <w:tcPr>
            <w:tcW w:w="8194" w:type="dxa"/>
          </w:tcPr>
          <w:p w14:paraId="5232300D" w14:textId="4E515D9D" w:rsidR="00041146" w:rsidRDefault="00E4543C" w:rsidP="006A334D">
            <w:pPr>
              <w:rPr>
                <w:sz w:val="20"/>
                <w:szCs w:val="20"/>
                <w:lang w:eastAsia="ja-JP" w:bidi="hi-IN"/>
              </w:rPr>
            </w:pPr>
            <w:r>
              <w:rPr>
                <w:sz w:val="20"/>
                <w:szCs w:val="20"/>
                <w:lang w:eastAsia="ja-JP" w:bidi="hi-IN"/>
              </w:rPr>
              <w:t>We prefer to capture the TP in the spec, otherwise it could cause confusion why it is different from Rel.15.</w:t>
            </w:r>
          </w:p>
        </w:tc>
      </w:tr>
      <w:tr w:rsidR="00703E70" w14:paraId="2A607299" w14:textId="77777777" w:rsidTr="006A334D">
        <w:tc>
          <w:tcPr>
            <w:tcW w:w="1435" w:type="dxa"/>
          </w:tcPr>
          <w:p w14:paraId="0CA183F3" w14:textId="6D3D3B7B" w:rsidR="00703E70" w:rsidRDefault="00703E70" w:rsidP="00703E70">
            <w:pPr>
              <w:rPr>
                <w:sz w:val="20"/>
                <w:szCs w:val="20"/>
                <w:lang w:eastAsia="ja-JP" w:bidi="hi-IN"/>
              </w:rPr>
            </w:pPr>
            <w:r w:rsidRPr="00446017">
              <w:rPr>
                <w:rFonts w:eastAsiaTheme="minorEastAsia"/>
                <w:sz w:val="20"/>
                <w:szCs w:val="20"/>
                <w:lang w:bidi="hi-IN"/>
              </w:rPr>
              <w:t>MTK</w:t>
            </w:r>
          </w:p>
        </w:tc>
        <w:tc>
          <w:tcPr>
            <w:tcW w:w="8194" w:type="dxa"/>
          </w:tcPr>
          <w:p w14:paraId="2B4FAB04" w14:textId="611FCFDF" w:rsidR="00703E70" w:rsidRDefault="00703E70" w:rsidP="00703E70">
            <w:pPr>
              <w:rPr>
                <w:sz w:val="20"/>
                <w:szCs w:val="20"/>
                <w:lang w:eastAsia="ja-JP" w:bidi="hi-IN"/>
              </w:rPr>
            </w:pPr>
            <w:r>
              <w:rPr>
                <w:rFonts w:eastAsiaTheme="minorEastAsia"/>
                <w:sz w:val="20"/>
                <w:szCs w:val="20"/>
                <w:lang w:bidi="hi-IN"/>
              </w:rPr>
              <w:t xml:space="preserve">We think it is better to copy the same text to </w:t>
            </w:r>
            <w:r w:rsidRPr="00446017">
              <w:rPr>
                <w:rFonts w:eastAsiaTheme="minorEastAsia"/>
                <w:sz w:val="20"/>
                <w:szCs w:val="20"/>
                <w:lang w:bidi="hi-IN"/>
              </w:rPr>
              <w:t>section 5.1.</w:t>
            </w:r>
          </w:p>
        </w:tc>
      </w:tr>
      <w:tr w:rsidR="00703E70" w14:paraId="4113294C" w14:textId="77777777" w:rsidTr="006A334D">
        <w:tc>
          <w:tcPr>
            <w:tcW w:w="1435" w:type="dxa"/>
          </w:tcPr>
          <w:p w14:paraId="51192F9F" w14:textId="317D3DBB" w:rsidR="00703E70" w:rsidRPr="00DA00AA" w:rsidRDefault="00DA00AA" w:rsidP="00703E70">
            <w:pPr>
              <w:rPr>
                <w:rFonts w:eastAsiaTheme="minorEastAsia"/>
                <w:sz w:val="20"/>
                <w:szCs w:val="20"/>
                <w:lang w:bidi="hi-IN"/>
              </w:rPr>
            </w:pPr>
            <w:r>
              <w:rPr>
                <w:rFonts w:eastAsiaTheme="minorEastAsia" w:hint="eastAsia"/>
                <w:sz w:val="20"/>
                <w:szCs w:val="20"/>
                <w:lang w:bidi="hi-IN"/>
              </w:rPr>
              <w:t>H</w:t>
            </w:r>
            <w:r>
              <w:rPr>
                <w:rFonts w:eastAsiaTheme="minorEastAsia"/>
                <w:sz w:val="20"/>
                <w:szCs w:val="20"/>
                <w:lang w:bidi="hi-IN"/>
              </w:rPr>
              <w:t xml:space="preserve">uawei, </w:t>
            </w:r>
            <w:proofErr w:type="spellStart"/>
            <w:r>
              <w:rPr>
                <w:rFonts w:eastAsiaTheme="minorEastAsia"/>
                <w:sz w:val="20"/>
                <w:szCs w:val="20"/>
                <w:lang w:bidi="hi-IN"/>
              </w:rPr>
              <w:t>HiSilicon</w:t>
            </w:r>
            <w:proofErr w:type="spellEnd"/>
          </w:p>
        </w:tc>
        <w:tc>
          <w:tcPr>
            <w:tcW w:w="8194" w:type="dxa"/>
          </w:tcPr>
          <w:p w14:paraId="4E44D102" w14:textId="73D7D285" w:rsidR="00703E70" w:rsidRPr="00DA00AA" w:rsidRDefault="00DA00AA" w:rsidP="00DA00AA">
            <w:pPr>
              <w:rPr>
                <w:rFonts w:eastAsiaTheme="minorEastAsia"/>
                <w:sz w:val="20"/>
                <w:szCs w:val="20"/>
                <w:lang w:bidi="hi-IN"/>
              </w:rPr>
            </w:pPr>
            <w:r>
              <w:rPr>
                <w:rFonts w:eastAsiaTheme="minorEastAsia" w:hint="eastAsia"/>
                <w:sz w:val="20"/>
                <w:szCs w:val="20"/>
                <w:lang w:bidi="hi-IN"/>
              </w:rPr>
              <w:t>I</w:t>
            </w:r>
            <w:r>
              <w:rPr>
                <w:rFonts w:eastAsiaTheme="minorEastAsia"/>
                <w:sz w:val="20"/>
                <w:szCs w:val="20"/>
                <w:lang w:bidi="hi-IN"/>
              </w:rPr>
              <w:t>t is not necessary. Because such UE behavior has been captured at multiple sections for all PHY UL channels, the specification 36.213 is clear, no need to duplicate them into the section of power control. Or please clarify which PHY UL channel is missing.</w:t>
            </w:r>
          </w:p>
        </w:tc>
      </w:tr>
      <w:tr w:rsidR="00703E70" w14:paraId="2BCBC03C" w14:textId="77777777" w:rsidTr="006A334D">
        <w:tc>
          <w:tcPr>
            <w:tcW w:w="1435" w:type="dxa"/>
          </w:tcPr>
          <w:p w14:paraId="17240DD9" w14:textId="17660588" w:rsidR="00703E70" w:rsidRDefault="00EB2FA8" w:rsidP="00703E70">
            <w:pPr>
              <w:rPr>
                <w:sz w:val="20"/>
                <w:szCs w:val="20"/>
                <w:lang w:eastAsia="ja-JP" w:bidi="hi-IN"/>
              </w:rPr>
            </w:pPr>
            <w:r>
              <w:rPr>
                <w:sz w:val="20"/>
                <w:szCs w:val="20"/>
                <w:lang w:eastAsia="ja-JP" w:bidi="hi-IN"/>
              </w:rPr>
              <w:t>Qualcomm</w:t>
            </w:r>
          </w:p>
        </w:tc>
        <w:tc>
          <w:tcPr>
            <w:tcW w:w="8194" w:type="dxa"/>
          </w:tcPr>
          <w:p w14:paraId="79C42C51" w14:textId="14976583" w:rsidR="00651F1A" w:rsidRPr="00651F1A" w:rsidRDefault="00EB2FA8" w:rsidP="00703E70">
            <w:pPr>
              <w:rPr>
                <w:rFonts w:eastAsia="Yu Mincho"/>
                <w:sz w:val="20"/>
                <w:szCs w:val="20"/>
                <w:lang w:eastAsia="ja-JP" w:bidi="hi-IN"/>
              </w:rPr>
            </w:pPr>
            <w:r>
              <w:rPr>
                <w:rFonts w:eastAsia="Yu Mincho" w:hint="eastAsia"/>
                <w:sz w:val="20"/>
                <w:szCs w:val="20"/>
                <w:lang w:eastAsia="ja-JP" w:bidi="hi-IN"/>
              </w:rPr>
              <w:t>A</w:t>
            </w:r>
            <w:r>
              <w:rPr>
                <w:rFonts w:eastAsia="Yu Mincho"/>
                <w:sz w:val="20"/>
                <w:szCs w:val="20"/>
                <w:lang w:eastAsia="ja-JP" w:bidi="hi-IN"/>
              </w:rPr>
              <w:t>s we propose in R1-</w:t>
            </w:r>
            <w:r w:rsidR="00056E02">
              <w:rPr>
                <w:rFonts w:eastAsia="Yu Mincho"/>
                <w:sz w:val="20"/>
                <w:szCs w:val="20"/>
                <w:lang w:eastAsia="ja-JP" w:bidi="hi-IN"/>
              </w:rPr>
              <w:t xml:space="preserve">2002524 and R1-2002559, </w:t>
            </w:r>
            <w:r w:rsidR="0065657D">
              <w:rPr>
                <w:rFonts w:eastAsia="Yu Mincho"/>
                <w:sz w:val="20"/>
                <w:szCs w:val="20"/>
                <w:lang w:eastAsia="ja-JP" w:bidi="hi-IN"/>
              </w:rPr>
              <w:t xml:space="preserve">“the UE is not expected to transmit” should be corrected </w:t>
            </w:r>
            <w:r w:rsidR="0082530C">
              <w:rPr>
                <w:rFonts w:eastAsia="Yu Mincho"/>
                <w:sz w:val="20"/>
                <w:szCs w:val="20"/>
                <w:lang w:eastAsia="ja-JP" w:bidi="hi-IN"/>
              </w:rPr>
              <w:t xml:space="preserve">to “the UE is not expected to be configured or indicated to transmit” </w:t>
            </w:r>
            <w:r w:rsidR="0065657D">
              <w:rPr>
                <w:rFonts w:eastAsia="Yu Mincho"/>
                <w:sz w:val="20"/>
                <w:szCs w:val="20"/>
                <w:lang w:eastAsia="ja-JP" w:bidi="hi-IN"/>
              </w:rPr>
              <w:t>overall.</w:t>
            </w:r>
            <w:r w:rsidR="0093508B">
              <w:rPr>
                <w:rFonts w:eastAsia="Yu Mincho"/>
                <w:sz w:val="20"/>
                <w:szCs w:val="20"/>
                <w:lang w:eastAsia="ja-JP" w:bidi="hi-IN"/>
              </w:rPr>
              <w:t xml:space="preserve"> According to R1-200</w:t>
            </w:r>
            <w:r w:rsidR="00DA6BDD">
              <w:rPr>
                <w:rFonts w:eastAsia="Yu Mincho"/>
                <w:sz w:val="20"/>
                <w:szCs w:val="20"/>
                <w:lang w:eastAsia="ja-JP" w:bidi="hi-IN"/>
              </w:rPr>
              <w:t xml:space="preserve">1391, </w:t>
            </w:r>
            <w:r w:rsidR="00662BF0">
              <w:rPr>
                <w:rFonts w:eastAsia="Yu Mincho"/>
                <w:sz w:val="20"/>
                <w:szCs w:val="20"/>
                <w:lang w:eastAsia="ja-JP" w:bidi="hi-IN"/>
              </w:rPr>
              <w:t xml:space="preserve">for semi-static LTE UL transmission, following </w:t>
            </w:r>
            <w:r w:rsidR="00DB4102">
              <w:rPr>
                <w:rFonts w:eastAsia="Yu Mincho"/>
                <w:sz w:val="20"/>
                <w:szCs w:val="20"/>
                <w:lang w:eastAsia="ja-JP" w:bidi="hi-IN"/>
              </w:rPr>
              <w:t xml:space="preserve">description by ZTE </w:t>
            </w:r>
            <w:r w:rsidR="001E4640">
              <w:rPr>
                <w:rFonts w:eastAsia="Yu Mincho"/>
                <w:sz w:val="20"/>
                <w:szCs w:val="20"/>
                <w:lang w:eastAsia="ja-JP" w:bidi="hi-IN"/>
              </w:rPr>
              <w:t>was</w:t>
            </w:r>
            <w:r w:rsidR="00662BF0">
              <w:rPr>
                <w:rFonts w:eastAsia="Yu Mincho"/>
                <w:sz w:val="20"/>
                <w:szCs w:val="20"/>
                <w:lang w:eastAsia="ja-JP" w:bidi="hi-IN"/>
              </w:rPr>
              <w:t xml:space="preserve"> a common understanding</w:t>
            </w:r>
            <w:r w:rsidR="008113D7">
              <w:rPr>
                <w:rFonts w:eastAsia="Yu Mincho"/>
                <w:sz w:val="20"/>
                <w:szCs w:val="20"/>
                <w:lang w:eastAsia="ja-JP" w:bidi="hi-IN"/>
              </w:rPr>
              <w:t xml:space="preserve"> among many companies</w:t>
            </w:r>
            <w:r w:rsidR="00662BF0">
              <w:rPr>
                <w:rFonts w:eastAsia="Yu Mincho"/>
                <w:sz w:val="20"/>
                <w:szCs w:val="20"/>
                <w:lang w:eastAsia="ja-JP" w:bidi="hi-IN"/>
              </w:rPr>
              <w:t>.</w:t>
            </w:r>
            <w:r w:rsidR="008113D7">
              <w:rPr>
                <w:rFonts w:eastAsia="Yu Mincho"/>
                <w:sz w:val="20"/>
                <w:szCs w:val="20"/>
                <w:lang w:eastAsia="ja-JP" w:bidi="hi-IN"/>
              </w:rPr>
              <w:t xml:space="preserve"> This implies that </w:t>
            </w:r>
            <w:r w:rsidR="007D3427">
              <w:rPr>
                <w:rFonts w:eastAsia="Yu Mincho"/>
                <w:sz w:val="20"/>
                <w:szCs w:val="20"/>
                <w:lang w:eastAsia="ja-JP" w:bidi="hi-IN"/>
              </w:rPr>
              <w:t>at least for semi-static LTE UL transmission, the NW</w:t>
            </w:r>
            <w:r w:rsidR="001E4640">
              <w:rPr>
                <w:rFonts w:eastAsia="Yu Mincho"/>
                <w:sz w:val="20"/>
                <w:szCs w:val="20"/>
                <w:lang w:eastAsia="ja-JP" w:bidi="hi-IN"/>
              </w:rPr>
              <w:t xml:space="preserve"> will take care of it.</w:t>
            </w:r>
            <w:r w:rsidR="002A44FE">
              <w:rPr>
                <w:rFonts w:eastAsia="Yu Mincho"/>
                <w:sz w:val="20"/>
                <w:szCs w:val="20"/>
                <w:lang w:eastAsia="ja-JP" w:bidi="hi-IN"/>
              </w:rPr>
              <w:t xml:space="preserve"> Just copy and paste means that we will carry over the ambiguity from Rel.15 to Rel.16</w:t>
            </w:r>
            <w:r w:rsidR="00973B47">
              <w:rPr>
                <w:rFonts w:eastAsia="Yu Mincho"/>
                <w:sz w:val="20"/>
                <w:szCs w:val="20"/>
                <w:lang w:eastAsia="ja-JP" w:bidi="hi-IN"/>
              </w:rPr>
              <w:t>.</w:t>
            </w:r>
          </w:p>
          <w:p w14:paraId="19AC24D0" w14:textId="065DC3E2" w:rsidR="00651F1A" w:rsidRPr="00651F1A" w:rsidRDefault="00651F1A" w:rsidP="00703E70">
            <w:pPr>
              <w:rPr>
                <w:rFonts w:eastAsiaTheme="minorEastAsia"/>
                <w:color w:val="4472C4" w:themeColor="accent1"/>
              </w:rPr>
            </w:pPr>
            <w:r w:rsidRPr="00651F1A">
              <w:rPr>
                <w:color w:val="4472C4" w:themeColor="accent1"/>
              </w:rPr>
              <w:t>Our understanding is as below.</w:t>
            </w:r>
          </w:p>
          <w:p w14:paraId="4EE3B5A5" w14:textId="77777777" w:rsidR="00662BF0" w:rsidRPr="00651F1A" w:rsidRDefault="00662BF0" w:rsidP="00662BF0">
            <w:pPr>
              <w:numPr>
                <w:ilvl w:val="0"/>
                <w:numId w:val="42"/>
              </w:numPr>
              <w:rPr>
                <w:color w:val="4472C4" w:themeColor="accent1"/>
              </w:rPr>
            </w:pPr>
            <w:r w:rsidRPr="00651F1A">
              <w:rPr>
                <w:color w:val="4472C4" w:themeColor="accent1"/>
              </w:rPr>
              <w:t>The semi-statically configured LTE UL transmissions include periodic SR, configured grant, periodic SRS.</w:t>
            </w:r>
          </w:p>
          <w:p w14:paraId="10BC5070" w14:textId="77777777" w:rsidR="00662BF0" w:rsidRPr="00651F1A" w:rsidRDefault="00662BF0" w:rsidP="00662BF0">
            <w:pPr>
              <w:numPr>
                <w:ilvl w:val="0"/>
                <w:numId w:val="42"/>
              </w:numPr>
              <w:rPr>
                <w:color w:val="4472C4" w:themeColor="accent1"/>
              </w:rPr>
            </w:pPr>
            <w:r w:rsidRPr="00651F1A">
              <w:rPr>
                <w:color w:val="4472C4" w:themeColor="accent1"/>
              </w:rPr>
              <w:lastRenderedPageBreak/>
              <w:t>If a UE indicates support of semi-static-for-all-subframes, network can configure the semi-static LTE UL transmissions in all UL subframes (i.e., not restricted by the TDM U subframes). Of course, network can also configure the semi-static LTE UL transmissions only in the TDM U subframes.</w:t>
            </w:r>
          </w:p>
          <w:p w14:paraId="236695D5" w14:textId="77777777" w:rsidR="00662BF0" w:rsidRPr="00651F1A" w:rsidRDefault="00662BF0" w:rsidP="00662BF0">
            <w:pPr>
              <w:numPr>
                <w:ilvl w:val="0"/>
                <w:numId w:val="42"/>
              </w:numPr>
              <w:rPr>
                <w:color w:val="4472C4" w:themeColor="accent1"/>
              </w:rPr>
            </w:pPr>
            <w:r w:rsidRPr="00651F1A">
              <w:rPr>
                <w:color w:val="4472C4" w:themeColor="accent1"/>
              </w:rPr>
              <w:t>If a UE does NOT indicate support of semi-static-for-all-subframes, network has to configure the semi-static LTE UL transmissions only in the TDM U subframes.</w:t>
            </w:r>
          </w:p>
          <w:p w14:paraId="5D33EB03" w14:textId="3CB357DA" w:rsidR="0082530C" w:rsidRPr="00662BF0" w:rsidRDefault="0082530C" w:rsidP="00703E70">
            <w:pPr>
              <w:rPr>
                <w:rFonts w:eastAsia="Yu Mincho"/>
                <w:sz w:val="20"/>
                <w:szCs w:val="20"/>
                <w:lang w:eastAsia="ja-JP" w:bidi="hi-IN"/>
              </w:rPr>
            </w:pPr>
          </w:p>
        </w:tc>
      </w:tr>
      <w:tr w:rsidR="00A900DF" w14:paraId="7508C989" w14:textId="77777777" w:rsidTr="006A334D">
        <w:tc>
          <w:tcPr>
            <w:tcW w:w="1435" w:type="dxa"/>
          </w:tcPr>
          <w:p w14:paraId="6DB7FC48" w14:textId="3E278E80" w:rsidR="00A900DF" w:rsidRDefault="00A900DF" w:rsidP="00703E70">
            <w:pPr>
              <w:rPr>
                <w:sz w:val="20"/>
                <w:szCs w:val="20"/>
                <w:lang w:eastAsia="ja-JP" w:bidi="hi-IN"/>
              </w:rPr>
            </w:pPr>
            <w:r>
              <w:rPr>
                <w:sz w:val="20"/>
                <w:szCs w:val="20"/>
                <w:lang w:eastAsia="ja-JP" w:bidi="hi-IN"/>
              </w:rPr>
              <w:lastRenderedPageBreak/>
              <w:t>Ericsson</w:t>
            </w:r>
          </w:p>
        </w:tc>
        <w:tc>
          <w:tcPr>
            <w:tcW w:w="8194" w:type="dxa"/>
          </w:tcPr>
          <w:p w14:paraId="46563A56" w14:textId="05E86767" w:rsidR="00A900DF" w:rsidRDefault="00A900DF" w:rsidP="00703E70">
            <w:pPr>
              <w:rPr>
                <w:rFonts w:eastAsia="Yu Mincho"/>
                <w:sz w:val="20"/>
                <w:szCs w:val="20"/>
                <w:lang w:eastAsia="ja-JP" w:bidi="hi-IN"/>
              </w:rPr>
            </w:pPr>
            <w:r>
              <w:rPr>
                <w:rFonts w:eastAsia="Yu Mincho"/>
                <w:sz w:val="20"/>
                <w:szCs w:val="20"/>
                <w:lang w:eastAsia="ja-JP" w:bidi="hi-IN"/>
              </w:rPr>
              <w:t xml:space="preserve">No strong view but OK to match Rel15 formulation. </w:t>
            </w:r>
          </w:p>
        </w:tc>
      </w:tr>
      <w:tr w:rsidR="00A2316F" w14:paraId="1A1B9792" w14:textId="77777777" w:rsidTr="006A334D">
        <w:tc>
          <w:tcPr>
            <w:tcW w:w="1435" w:type="dxa"/>
          </w:tcPr>
          <w:p w14:paraId="3CD4B7C5" w14:textId="6C92E42D" w:rsidR="00A2316F" w:rsidRPr="00A2316F" w:rsidRDefault="00A2316F" w:rsidP="00703E70">
            <w:pPr>
              <w:rPr>
                <w:rFonts w:eastAsia="Malgun Gothic"/>
                <w:sz w:val="20"/>
                <w:szCs w:val="20"/>
                <w:lang w:eastAsia="ko-KR" w:bidi="hi-IN"/>
              </w:rPr>
            </w:pPr>
            <w:r>
              <w:rPr>
                <w:rFonts w:eastAsia="Malgun Gothic" w:hint="eastAsia"/>
                <w:sz w:val="20"/>
                <w:szCs w:val="20"/>
                <w:lang w:eastAsia="ko-KR" w:bidi="hi-IN"/>
              </w:rPr>
              <w:t>S</w:t>
            </w:r>
            <w:r>
              <w:rPr>
                <w:rFonts w:eastAsia="Malgun Gothic"/>
                <w:sz w:val="20"/>
                <w:szCs w:val="20"/>
                <w:lang w:eastAsia="ko-KR" w:bidi="hi-IN"/>
              </w:rPr>
              <w:t>amsung</w:t>
            </w:r>
          </w:p>
        </w:tc>
        <w:tc>
          <w:tcPr>
            <w:tcW w:w="8194" w:type="dxa"/>
          </w:tcPr>
          <w:p w14:paraId="479AD649" w14:textId="3EC3D6D1" w:rsidR="00A2316F" w:rsidRPr="00A2316F" w:rsidRDefault="00A2316F" w:rsidP="00703E70">
            <w:pPr>
              <w:rPr>
                <w:rFonts w:eastAsia="Malgun Gothic"/>
                <w:sz w:val="20"/>
                <w:szCs w:val="20"/>
                <w:lang w:eastAsia="ko-KR" w:bidi="hi-IN"/>
              </w:rPr>
            </w:pPr>
            <w:r>
              <w:rPr>
                <w:rFonts w:eastAsia="Malgun Gothic" w:hint="eastAsia"/>
                <w:sz w:val="20"/>
                <w:szCs w:val="20"/>
                <w:lang w:eastAsia="ko-KR" w:bidi="hi-IN"/>
              </w:rPr>
              <w:t xml:space="preserve">OK with capturing </w:t>
            </w:r>
            <w:r>
              <w:rPr>
                <w:rFonts w:eastAsia="Malgun Gothic"/>
                <w:sz w:val="20"/>
                <w:szCs w:val="20"/>
                <w:lang w:eastAsia="ko-KR" w:bidi="hi-IN"/>
              </w:rPr>
              <w:t>the TP in the spec.</w:t>
            </w:r>
          </w:p>
        </w:tc>
      </w:tr>
      <w:tr w:rsidR="002F4997" w14:paraId="49CC4372" w14:textId="77777777" w:rsidTr="006A334D">
        <w:tc>
          <w:tcPr>
            <w:tcW w:w="1435" w:type="dxa"/>
          </w:tcPr>
          <w:p w14:paraId="0CFE1543" w14:textId="43168838" w:rsidR="002F4997" w:rsidRDefault="002F4997" w:rsidP="00703E70">
            <w:pPr>
              <w:rPr>
                <w:rFonts w:eastAsia="Malgun Gothic"/>
                <w:sz w:val="20"/>
                <w:szCs w:val="20"/>
                <w:lang w:eastAsia="ko-KR" w:bidi="hi-IN"/>
              </w:rPr>
            </w:pPr>
            <w:r>
              <w:rPr>
                <w:rFonts w:eastAsia="Malgun Gothic"/>
                <w:sz w:val="20"/>
                <w:szCs w:val="20"/>
                <w:lang w:eastAsia="ko-KR" w:bidi="hi-IN"/>
              </w:rPr>
              <w:t>Nokia</w:t>
            </w:r>
          </w:p>
        </w:tc>
        <w:tc>
          <w:tcPr>
            <w:tcW w:w="8194" w:type="dxa"/>
          </w:tcPr>
          <w:p w14:paraId="0A8274EC" w14:textId="2C424B11" w:rsidR="002F4997" w:rsidRDefault="002F4997" w:rsidP="00703E70">
            <w:pPr>
              <w:rPr>
                <w:rFonts w:eastAsia="Malgun Gothic"/>
                <w:sz w:val="20"/>
                <w:szCs w:val="20"/>
                <w:lang w:eastAsia="ko-KR" w:bidi="hi-IN"/>
              </w:rPr>
            </w:pPr>
            <w:r>
              <w:rPr>
                <w:rFonts w:eastAsia="Malgun Gothic"/>
                <w:sz w:val="20"/>
                <w:szCs w:val="20"/>
                <w:lang w:eastAsia="ko-KR" w:bidi="hi-IN"/>
              </w:rPr>
              <w:t xml:space="preserve">OK with the TP. We do not agree with Qualcomm’s correction, which is actually a modification of a feature. UE is not expected to transmit has a clearly different meaning </w:t>
            </w:r>
            <w:proofErr w:type="spellStart"/>
            <w:r>
              <w:rPr>
                <w:rFonts w:eastAsia="Malgun Gothic"/>
                <w:sz w:val="20"/>
                <w:szCs w:val="20"/>
                <w:lang w:eastAsia="ko-KR" w:bidi="hi-IN"/>
              </w:rPr>
              <w:t>frm</w:t>
            </w:r>
            <w:proofErr w:type="spellEnd"/>
            <w:r>
              <w:rPr>
                <w:rFonts w:eastAsia="Malgun Gothic"/>
                <w:sz w:val="20"/>
                <w:szCs w:val="20"/>
                <w:lang w:eastAsia="ko-KR" w:bidi="hi-IN"/>
              </w:rPr>
              <w:t xml:space="preserve"> UE is not expected to be configured or scheduled to transmit. The Rel-15 definition was not </w:t>
            </w:r>
            <w:proofErr w:type="spellStart"/>
            <w:r>
              <w:rPr>
                <w:rFonts w:eastAsia="Malgun Gothic"/>
                <w:sz w:val="20"/>
                <w:szCs w:val="20"/>
                <w:lang w:eastAsia="ko-KR" w:bidi="hi-IN"/>
              </w:rPr>
              <w:t>accidential</w:t>
            </w:r>
            <w:proofErr w:type="spellEnd"/>
            <w:r>
              <w:rPr>
                <w:rFonts w:eastAsia="Malgun Gothic"/>
                <w:sz w:val="20"/>
                <w:szCs w:val="20"/>
                <w:lang w:eastAsia="ko-KR" w:bidi="hi-IN"/>
              </w:rPr>
              <w:t xml:space="preserve"> and should not be changed to something else.</w:t>
            </w:r>
          </w:p>
        </w:tc>
      </w:tr>
      <w:tr w:rsidR="006C59C5" w14:paraId="2860B25D" w14:textId="77777777" w:rsidTr="006A334D">
        <w:tc>
          <w:tcPr>
            <w:tcW w:w="1435" w:type="dxa"/>
          </w:tcPr>
          <w:p w14:paraId="22B86FB6" w14:textId="3B846C54" w:rsidR="006C59C5" w:rsidRDefault="006C59C5" w:rsidP="00703E70">
            <w:pPr>
              <w:rPr>
                <w:rFonts w:eastAsia="Malgun Gothic"/>
                <w:sz w:val="20"/>
                <w:szCs w:val="20"/>
                <w:lang w:eastAsia="ko-KR" w:bidi="hi-IN"/>
              </w:rPr>
            </w:pPr>
            <w:r>
              <w:rPr>
                <w:rFonts w:eastAsia="Malgun Gothic"/>
                <w:sz w:val="20"/>
                <w:szCs w:val="20"/>
                <w:lang w:eastAsia="ko-KR" w:bidi="hi-IN"/>
              </w:rPr>
              <w:t>Intel</w:t>
            </w:r>
          </w:p>
        </w:tc>
        <w:tc>
          <w:tcPr>
            <w:tcW w:w="8194" w:type="dxa"/>
          </w:tcPr>
          <w:p w14:paraId="18A2609A" w14:textId="5EDE2A48" w:rsidR="006C59C5" w:rsidRDefault="006C59C5" w:rsidP="00703E70">
            <w:pPr>
              <w:rPr>
                <w:rFonts w:eastAsia="Malgun Gothic"/>
                <w:sz w:val="20"/>
                <w:szCs w:val="20"/>
                <w:lang w:eastAsia="ko-KR" w:bidi="hi-IN"/>
              </w:rPr>
            </w:pPr>
            <w:r>
              <w:rPr>
                <w:rFonts w:eastAsia="Yu Mincho"/>
                <w:sz w:val="20"/>
                <w:szCs w:val="20"/>
                <w:lang w:eastAsia="ja-JP" w:bidi="hi-IN"/>
              </w:rPr>
              <w:t>No strong view but OK to match Rel15 formulation.</w:t>
            </w:r>
          </w:p>
        </w:tc>
      </w:tr>
    </w:tbl>
    <w:p w14:paraId="73F690E1" w14:textId="7F828123" w:rsidR="00041146" w:rsidRDefault="00041146" w:rsidP="00041146">
      <w:pPr>
        <w:rPr>
          <w:sz w:val="20"/>
          <w:szCs w:val="20"/>
          <w:lang w:eastAsia="en-US"/>
        </w:rPr>
      </w:pPr>
    </w:p>
    <w:p w14:paraId="4CA11EEA" w14:textId="77777777" w:rsidR="00041146" w:rsidRPr="00041146" w:rsidRDefault="00041146" w:rsidP="00041146">
      <w:pPr>
        <w:rPr>
          <w:sz w:val="20"/>
          <w:szCs w:val="20"/>
          <w:lang w:eastAsia="en-US"/>
        </w:rPr>
      </w:pPr>
    </w:p>
    <w:p w14:paraId="47BA569A" w14:textId="70458DA0" w:rsidR="0017048A" w:rsidRPr="00342BBF" w:rsidRDefault="0017048A" w:rsidP="00342BBF">
      <w:pPr>
        <w:pStyle w:val="Heading1"/>
      </w:pPr>
      <w:r w:rsidRPr="00342BBF">
        <w:t>References</w:t>
      </w:r>
    </w:p>
    <w:p w14:paraId="0904D4DD" w14:textId="3FF1EA46" w:rsidR="007712B7" w:rsidRPr="00531B7F" w:rsidRDefault="007712B7" w:rsidP="007712B7">
      <w:pPr>
        <w:numPr>
          <w:ilvl w:val="0"/>
          <w:numId w:val="5"/>
        </w:numPr>
        <w:overflowPunct w:val="0"/>
        <w:autoSpaceDE w:val="0"/>
        <w:autoSpaceDN w:val="0"/>
        <w:adjustRightInd w:val="0"/>
        <w:spacing w:before="100" w:beforeAutospacing="1" w:after="100" w:afterAutospacing="1"/>
        <w:jc w:val="both"/>
        <w:textAlignment w:val="baseline"/>
        <w:rPr>
          <w:sz w:val="22"/>
          <w:szCs w:val="22"/>
        </w:rPr>
      </w:pPr>
      <w:bookmarkStart w:id="7" w:name="_Ref5027430"/>
      <w:r>
        <w:rPr>
          <w:sz w:val="22"/>
          <w:szCs w:val="22"/>
        </w:rPr>
        <w:t>R1-</w:t>
      </w:r>
      <w:r w:rsidR="0090513A">
        <w:rPr>
          <w:sz w:val="22"/>
          <w:szCs w:val="22"/>
        </w:rPr>
        <w:t>200</w:t>
      </w:r>
      <w:r w:rsidR="00531B7F">
        <w:rPr>
          <w:sz w:val="22"/>
          <w:szCs w:val="22"/>
        </w:rPr>
        <w:t>1529</w:t>
      </w:r>
      <w:r>
        <w:rPr>
          <w:sz w:val="22"/>
          <w:szCs w:val="22"/>
        </w:rPr>
        <w:t>, “</w:t>
      </w:r>
      <w:r w:rsidR="00531B7F" w:rsidRPr="00531B7F">
        <w:rPr>
          <w:sz w:val="22"/>
          <w:szCs w:val="22"/>
        </w:rPr>
        <w:t>Enhancements for single UL operation for EN-DC</w:t>
      </w:r>
      <w:r>
        <w:rPr>
          <w:sz w:val="22"/>
          <w:szCs w:val="22"/>
        </w:rPr>
        <w:t xml:space="preserve">”, </w:t>
      </w:r>
      <w:r w:rsidR="00531B7F" w:rsidRPr="00531B7F">
        <w:rPr>
          <w:sz w:val="22"/>
          <w:szCs w:val="22"/>
        </w:rPr>
        <w:t xml:space="preserve">Huawei, </w:t>
      </w:r>
      <w:proofErr w:type="spellStart"/>
      <w:r w:rsidR="00531B7F" w:rsidRPr="00531B7F">
        <w:rPr>
          <w:sz w:val="22"/>
          <w:szCs w:val="22"/>
        </w:rPr>
        <w:t>HiSilicon</w:t>
      </w:r>
      <w:proofErr w:type="spellEnd"/>
      <w:r>
        <w:rPr>
          <w:sz w:val="22"/>
          <w:szCs w:val="22"/>
        </w:rPr>
        <w:t>, 3GPP RAN1#</w:t>
      </w:r>
      <w:r w:rsidR="0090513A">
        <w:rPr>
          <w:sz w:val="22"/>
          <w:szCs w:val="22"/>
        </w:rPr>
        <w:t>100</w:t>
      </w:r>
      <w:r w:rsidR="00531B7F">
        <w:rPr>
          <w:sz w:val="22"/>
          <w:szCs w:val="22"/>
        </w:rPr>
        <w:t xml:space="preserve"> bis </w:t>
      </w:r>
      <w:r w:rsidR="0090513A">
        <w:rPr>
          <w:sz w:val="22"/>
          <w:szCs w:val="22"/>
        </w:rPr>
        <w:t>e</w:t>
      </w:r>
      <w:r w:rsidR="00531B7F">
        <w:rPr>
          <w:sz w:val="22"/>
          <w:szCs w:val="22"/>
        </w:rPr>
        <w:t>-meeting</w:t>
      </w:r>
      <w:r>
        <w:rPr>
          <w:sz w:val="22"/>
          <w:szCs w:val="22"/>
        </w:rPr>
        <w:t xml:space="preserve">, </w:t>
      </w:r>
      <w:bookmarkEnd w:id="7"/>
      <w:r w:rsidR="00531B7F" w:rsidRPr="00531B7F">
        <w:rPr>
          <w:bCs/>
          <w:sz w:val="22"/>
          <w:szCs w:val="22"/>
        </w:rPr>
        <w:t>April 20</w:t>
      </w:r>
      <w:r w:rsidR="00531B7F" w:rsidRPr="00531B7F">
        <w:rPr>
          <w:bCs/>
          <w:sz w:val="22"/>
          <w:szCs w:val="22"/>
          <w:vertAlign w:val="superscript"/>
        </w:rPr>
        <w:t>th</w:t>
      </w:r>
      <w:r w:rsidR="00531B7F" w:rsidRPr="00531B7F">
        <w:rPr>
          <w:bCs/>
          <w:sz w:val="22"/>
          <w:szCs w:val="22"/>
        </w:rPr>
        <w:t xml:space="preserve"> – 30</w:t>
      </w:r>
      <w:r w:rsidR="00531B7F" w:rsidRPr="00531B7F">
        <w:rPr>
          <w:bCs/>
          <w:sz w:val="22"/>
          <w:szCs w:val="22"/>
          <w:vertAlign w:val="superscript"/>
        </w:rPr>
        <w:t>th</w:t>
      </w:r>
      <w:r w:rsidR="00531B7F" w:rsidRPr="00531B7F">
        <w:rPr>
          <w:rFonts w:hint="eastAsia"/>
          <w:bCs/>
          <w:sz w:val="22"/>
          <w:szCs w:val="22"/>
        </w:rPr>
        <w:t>,</w:t>
      </w:r>
      <w:r w:rsidR="00531B7F" w:rsidRPr="00531B7F">
        <w:rPr>
          <w:bCs/>
          <w:sz w:val="22"/>
          <w:szCs w:val="22"/>
        </w:rPr>
        <w:t xml:space="preserve"> 2020</w:t>
      </w:r>
    </w:p>
    <w:p w14:paraId="25436F64" w14:textId="41F88D2E" w:rsidR="00531B7F" w:rsidRDefault="00531B7F" w:rsidP="00531B7F">
      <w:pPr>
        <w:numPr>
          <w:ilvl w:val="0"/>
          <w:numId w:val="5"/>
        </w:numPr>
        <w:overflowPunct w:val="0"/>
        <w:autoSpaceDE w:val="0"/>
        <w:autoSpaceDN w:val="0"/>
        <w:adjustRightInd w:val="0"/>
        <w:spacing w:before="100" w:beforeAutospacing="1" w:after="100" w:afterAutospacing="1"/>
        <w:jc w:val="both"/>
        <w:textAlignment w:val="baseline"/>
        <w:rPr>
          <w:sz w:val="22"/>
          <w:szCs w:val="22"/>
        </w:rPr>
      </w:pPr>
      <w:r>
        <w:rPr>
          <w:sz w:val="22"/>
          <w:szCs w:val="22"/>
        </w:rPr>
        <w:t>R1-2001619, “</w:t>
      </w:r>
      <w:r w:rsidRPr="00531B7F">
        <w:rPr>
          <w:sz w:val="22"/>
          <w:szCs w:val="22"/>
        </w:rPr>
        <w:t>Remaining Issues on Single Tx Switched Uplink Solution for EN-DC</w:t>
      </w:r>
      <w:r>
        <w:rPr>
          <w:sz w:val="22"/>
          <w:szCs w:val="22"/>
        </w:rPr>
        <w:t xml:space="preserve">”, ZTE, 3GPP RAN1#100 bis e-meeting, </w:t>
      </w:r>
      <w:r w:rsidRPr="00531B7F">
        <w:rPr>
          <w:bCs/>
          <w:sz w:val="22"/>
          <w:szCs w:val="22"/>
        </w:rPr>
        <w:t>April 20</w:t>
      </w:r>
      <w:r w:rsidRPr="00531B7F">
        <w:rPr>
          <w:bCs/>
          <w:sz w:val="22"/>
          <w:szCs w:val="22"/>
          <w:vertAlign w:val="superscript"/>
        </w:rPr>
        <w:t>th</w:t>
      </w:r>
      <w:r w:rsidRPr="00531B7F">
        <w:rPr>
          <w:bCs/>
          <w:sz w:val="22"/>
          <w:szCs w:val="22"/>
        </w:rPr>
        <w:t xml:space="preserve"> – 30</w:t>
      </w:r>
      <w:r w:rsidRPr="00531B7F">
        <w:rPr>
          <w:bCs/>
          <w:sz w:val="22"/>
          <w:szCs w:val="22"/>
          <w:vertAlign w:val="superscript"/>
        </w:rPr>
        <w:t>th</w:t>
      </w:r>
      <w:r w:rsidRPr="00531B7F">
        <w:rPr>
          <w:rFonts w:hint="eastAsia"/>
          <w:bCs/>
          <w:sz w:val="22"/>
          <w:szCs w:val="22"/>
        </w:rPr>
        <w:t>,</w:t>
      </w:r>
      <w:r w:rsidRPr="00531B7F">
        <w:rPr>
          <w:bCs/>
          <w:sz w:val="22"/>
          <w:szCs w:val="22"/>
        </w:rPr>
        <w:t xml:space="preserve"> 2020</w:t>
      </w:r>
    </w:p>
    <w:p w14:paraId="5EC2C08F" w14:textId="54C10178" w:rsidR="00531B7F" w:rsidRDefault="00531B7F" w:rsidP="00531B7F">
      <w:pPr>
        <w:numPr>
          <w:ilvl w:val="0"/>
          <w:numId w:val="5"/>
        </w:numPr>
        <w:overflowPunct w:val="0"/>
        <w:autoSpaceDE w:val="0"/>
        <w:autoSpaceDN w:val="0"/>
        <w:adjustRightInd w:val="0"/>
        <w:spacing w:before="100" w:beforeAutospacing="1" w:after="100" w:afterAutospacing="1"/>
        <w:jc w:val="both"/>
        <w:textAlignment w:val="baseline"/>
        <w:rPr>
          <w:sz w:val="22"/>
          <w:szCs w:val="22"/>
        </w:rPr>
      </w:pPr>
      <w:r>
        <w:rPr>
          <w:sz w:val="22"/>
          <w:szCs w:val="22"/>
        </w:rPr>
        <w:t>R1-2001835, “</w:t>
      </w:r>
      <w:r w:rsidRPr="00531B7F">
        <w:rPr>
          <w:sz w:val="22"/>
          <w:szCs w:val="22"/>
        </w:rPr>
        <w:t>Remaining issues on single Tx switched UL solution for EN-DC</w:t>
      </w:r>
      <w:r>
        <w:rPr>
          <w:sz w:val="22"/>
          <w:szCs w:val="22"/>
        </w:rPr>
        <w:t xml:space="preserve">”, MediaTek Inc., 3GPP RAN1#100 bis e-meeting, </w:t>
      </w:r>
      <w:r w:rsidRPr="00531B7F">
        <w:rPr>
          <w:bCs/>
          <w:sz w:val="22"/>
          <w:szCs w:val="22"/>
        </w:rPr>
        <w:t>April 20</w:t>
      </w:r>
      <w:r w:rsidRPr="00531B7F">
        <w:rPr>
          <w:bCs/>
          <w:sz w:val="22"/>
          <w:szCs w:val="22"/>
          <w:vertAlign w:val="superscript"/>
        </w:rPr>
        <w:t>th</w:t>
      </w:r>
      <w:r w:rsidRPr="00531B7F">
        <w:rPr>
          <w:bCs/>
          <w:sz w:val="22"/>
          <w:szCs w:val="22"/>
        </w:rPr>
        <w:t xml:space="preserve"> – 30</w:t>
      </w:r>
      <w:r w:rsidRPr="00531B7F">
        <w:rPr>
          <w:bCs/>
          <w:sz w:val="22"/>
          <w:szCs w:val="22"/>
          <w:vertAlign w:val="superscript"/>
        </w:rPr>
        <w:t>th</w:t>
      </w:r>
      <w:r w:rsidRPr="00531B7F">
        <w:rPr>
          <w:rFonts w:hint="eastAsia"/>
          <w:bCs/>
          <w:sz w:val="22"/>
          <w:szCs w:val="22"/>
        </w:rPr>
        <w:t>,</w:t>
      </w:r>
      <w:r w:rsidRPr="00531B7F">
        <w:rPr>
          <w:bCs/>
          <w:sz w:val="22"/>
          <w:szCs w:val="22"/>
        </w:rPr>
        <w:t xml:space="preserve"> 2020</w:t>
      </w:r>
    </w:p>
    <w:p w14:paraId="706223F5" w14:textId="21BA7769" w:rsidR="00531B7F" w:rsidRDefault="00531B7F" w:rsidP="00531B7F">
      <w:pPr>
        <w:numPr>
          <w:ilvl w:val="0"/>
          <w:numId w:val="5"/>
        </w:numPr>
        <w:overflowPunct w:val="0"/>
        <w:autoSpaceDE w:val="0"/>
        <w:autoSpaceDN w:val="0"/>
        <w:adjustRightInd w:val="0"/>
        <w:spacing w:before="100" w:beforeAutospacing="1" w:after="100" w:afterAutospacing="1"/>
        <w:jc w:val="both"/>
        <w:textAlignment w:val="baseline"/>
        <w:rPr>
          <w:sz w:val="22"/>
          <w:szCs w:val="22"/>
        </w:rPr>
      </w:pPr>
      <w:r>
        <w:rPr>
          <w:sz w:val="22"/>
          <w:szCs w:val="22"/>
        </w:rPr>
        <w:t>R1-2002347, “</w:t>
      </w:r>
      <w:r w:rsidRPr="00531B7F">
        <w:rPr>
          <w:sz w:val="22"/>
          <w:szCs w:val="22"/>
        </w:rPr>
        <w:t>Remaining issues on single Tx operation for EN-DC</w:t>
      </w:r>
      <w:r>
        <w:rPr>
          <w:sz w:val="22"/>
          <w:szCs w:val="22"/>
        </w:rPr>
        <w:t xml:space="preserve">”, Apple, 3GPP RAN1#100 bis e-meeting, </w:t>
      </w:r>
      <w:r w:rsidRPr="00531B7F">
        <w:rPr>
          <w:bCs/>
          <w:sz w:val="22"/>
          <w:szCs w:val="22"/>
        </w:rPr>
        <w:t>April 20</w:t>
      </w:r>
      <w:r w:rsidRPr="00531B7F">
        <w:rPr>
          <w:bCs/>
          <w:sz w:val="22"/>
          <w:szCs w:val="22"/>
          <w:vertAlign w:val="superscript"/>
        </w:rPr>
        <w:t>th</w:t>
      </w:r>
      <w:r w:rsidRPr="00531B7F">
        <w:rPr>
          <w:bCs/>
          <w:sz w:val="22"/>
          <w:szCs w:val="22"/>
        </w:rPr>
        <w:t xml:space="preserve"> – 30</w:t>
      </w:r>
      <w:r w:rsidRPr="00531B7F">
        <w:rPr>
          <w:bCs/>
          <w:sz w:val="22"/>
          <w:szCs w:val="22"/>
          <w:vertAlign w:val="superscript"/>
        </w:rPr>
        <w:t>th</w:t>
      </w:r>
      <w:r w:rsidRPr="00531B7F">
        <w:rPr>
          <w:rFonts w:hint="eastAsia"/>
          <w:bCs/>
          <w:sz w:val="22"/>
          <w:szCs w:val="22"/>
        </w:rPr>
        <w:t>,</w:t>
      </w:r>
      <w:r w:rsidRPr="00531B7F">
        <w:rPr>
          <w:bCs/>
          <w:sz w:val="22"/>
          <w:szCs w:val="22"/>
        </w:rPr>
        <w:t xml:space="preserve"> 2020</w:t>
      </w:r>
    </w:p>
    <w:p w14:paraId="000A716F" w14:textId="36EF90F2" w:rsidR="00531B7F" w:rsidRDefault="00531B7F" w:rsidP="00531B7F">
      <w:pPr>
        <w:numPr>
          <w:ilvl w:val="0"/>
          <w:numId w:val="5"/>
        </w:numPr>
        <w:overflowPunct w:val="0"/>
        <w:autoSpaceDE w:val="0"/>
        <w:autoSpaceDN w:val="0"/>
        <w:adjustRightInd w:val="0"/>
        <w:spacing w:before="100" w:beforeAutospacing="1" w:after="100" w:afterAutospacing="1"/>
        <w:jc w:val="both"/>
        <w:textAlignment w:val="baseline"/>
        <w:rPr>
          <w:sz w:val="22"/>
          <w:szCs w:val="22"/>
        </w:rPr>
      </w:pPr>
      <w:r>
        <w:rPr>
          <w:sz w:val="22"/>
          <w:szCs w:val="22"/>
        </w:rPr>
        <w:t>R1-2002419, “</w:t>
      </w:r>
      <w:r w:rsidRPr="00531B7F">
        <w:rPr>
          <w:sz w:val="22"/>
          <w:szCs w:val="22"/>
        </w:rPr>
        <w:t>Remaining issues for single Tx UL enhancements</w:t>
      </w:r>
      <w:r>
        <w:rPr>
          <w:sz w:val="22"/>
          <w:szCs w:val="22"/>
        </w:rPr>
        <w:t xml:space="preserve">”, Ericsson, 3GPP RAN1#100 bis e-meeting, </w:t>
      </w:r>
      <w:r w:rsidRPr="00531B7F">
        <w:rPr>
          <w:bCs/>
          <w:sz w:val="22"/>
          <w:szCs w:val="22"/>
        </w:rPr>
        <w:t>April 20</w:t>
      </w:r>
      <w:r w:rsidRPr="00531B7F">
        <w:rPr>
          <w:bCs/>
          <w:sz w:val="22"/>
          <w:szCs w:val="22"/>
          <w:vertAlign w:val="superscript"/>
        </w:rPr>
        <w:t>th</w:t>
      </w:r>
      <w:r w:rsidRPr="00531B7F">
        <w:rPr>
          <w:bCs/>
          <w:sz w:val="22"/>
          <w:szCs w:val="22"/>
        </w:rPr>
        <w:t xml:space="preserve"> – 30</w:t>
      </w:r>
      <w:r w:rsidRPr="00531B7F">
        <w:rPr>
          <w:bCs/>
          <w:sz w:val="22"/>
          <w:szCs w:val="22"/>
          <w:vertAlign w:val="superscript"/>
        </w:rPr>
        <w:t>th</w:t>
      </w:r>
      <w:r w:rsidRPr="00531B7F">
        <w:rPr>
          <w:rFonts w:hint="eastAsia"/>
          <w:bCs/>
          <w:sz w:val="22"/>
          <w:szCs w:val="22"/>
        </w:rPr>
        <w:t>,</w:t>
      </w:r>
      <w:r w:rsidRPr="00531B7F">
        <w:rPr>
          <w:bCs/>
          <w:sz w:val="22"/>
          <w:szCs w:val="22"/>
        </w:rPr>
        <w:t xml:space="preserve"> 2020</w:t>
      </w:r>
    </w:p>
    <w:p w14:paraId="3EB5433D" w14:textId="61137069" w:rsidR="00531B7F" w:rsidRPr="00A27A34" w:rsidRDefault="00531B7F" w:rsidP="00A27A34">
      <w:pPr>
        <w:numPr>
          <w:ilvl w:val="0"/>
          <w:numId w:val="5"/>
        </w:numPr>
        <w:overflowPunct w:val="0"/>
        <w:autoSpaceDE w:val="0"/>
        <w:autoSpaceDN w:val="0"/>
        <w:adjustRightInd w:val="0"/>
        <w:spacing w:before="100" w:beforeAutospacing="1" w:after="100" w:afterAutospacing="1"/>
        <w:jc w:val="both"/>
        <w:textAlignment w:val="baseline"/>
        <w:rPr>
          <w:sz w:val="22"/>
          <w:szCs w:val="22"/>
        </w:rPr>
      </w:pPr>
      <w:bookmarkStart w:id="8" w:name="_Ref37764295"/>
      <w:r>
        <w:rPr>
          <w:sz w:val="22"/>
          <w:szCs w:val="22"/>
        </w:rPr>
        <w:t>R1-2002559, “</w:t>
      </w:r>
      <w:r w:rsidRPr="00531B7F">
        <w:rPr>
          <w:sz w:val="22"/>
          <w:szCs w:val="22"/>
        </w:rPr>
        <w:t>Remaining issues for EN-DC Single-Tx TDM Operation</w:t>
      </w:r>
      <w:r>
        <w:rPr>
          <w:sz w:val="22"/>
          <w:szCs w:val="22"/>
        </w:rPr>
        <w:t xml:space="preserve">”, </w:t>
      </w:r>
      <w:r w:rsidRPr="00531B7F">
        <w:rPr>
          <w:sz w:val="22"/>
          <w:szCs w:val="22"/>
        </w:rPr>
        <w:t>Qualcomm Incorporated</w:t>
      </w:r>
      <w:r>
        <w:rPr>
          <w:sz w:val="22"/>
          <w:szCs w:val="22"/>
        </w:rPr>
        <w:t xml:space="preserve">, 3GPP RAN1#100 bis e-meeting, </w:t>
      </w:r>
      <w:r w:rsidRPr="00531B7F">
        <w:rPr>
          <w:bCs/>
          <w:sz w:val="22"/>
          <w:szCs w:val="22"/>
        </w:rPr>
        <w:t>April 20</w:t>
      </w:r>
      <w:r w:rsidRPr="00531B7F">
        <w:rPr>
          <w:bCs/>
          <w:sz w:val="22"/>
          <w:szCs w:val="22"/>
          <w:vertAlign w:val="superscript"/>
        </w:rPr>
        <w:t>th</w:t>
      </w:r>
      <w:r w:rsidRPr="00531B7F">
        <w:rPr>
          <w:bCs/>
          <w:sz w:val="22"/>
          <w:szCs w:val="22"/>
        </w:rPr>
        <w:t xml:space="preserve"> – 30</w:t>
      </w:r>
      <w:r w:rsidRPr="00531B7F">
        <w:rPr>
          <w:bCs/>
          <w:sz w:val="22"/>
          <w:szCs w:val="22"/>
          <w:vertAlign w:val="superscript"/>
        </w:rPr>
        <w:t>th</w:t>
      </w:r>
      <w:r w:rsidRPr="00531B7F">
        <w:rPr>
          <w:rFonts w:hint="eastAsia"/>
          <w:bCs/>
          <w:sz w:val="22"/>
          <w:szCs w:val="22"/>
        </w:rPr>
        <w:t>,</w:t>
      </w:r>
      <w:r w:rsidRPr="00531B7F">
        <w:rPr>
          <w:bCs/>
          <w:sz w:val="22"/>
          <w:szCs w:val="22"/>
        </w:rPr>
        <w:t xml:space="preserve"> 2020</w:t>
      </w:r>
      <w:bookmarkEnd w:id="8"/>
    </w:p>
    <w:p w14:paraId="7665E587" w14:textId="388824C6" w:rsidR="00892379" w:rsidRPr="00253D80" w:rsidRDefault="009243A8" w:rsidP="00253D80">
      <w:pPr>
        <w:numPr>
          <w:ilvl w:val="0"/>
          <w:numId w:val="5"/>
        </w:numPr>
        <w:overflowPunct w:val="0"/>
        <w:autoSpaceDE w:val="0"/>
        <w:autoSpaceDN w:val="0"/>
        <w:adjustRightInd w:val="0"/>
        <w:spacing w:before="100" w:beforeAutospacing="1" w:after="100" w:afterAutospacing="1"/>
        <w:jc w:val="both"/>
        <w:textAlignment w:val="baseline"/>
        <w:rPr>
          <w:sz w:val="22"/>
          <w:szCs w:val="22"/>
        </w:rPr>
      </w:pPr>
      <w:bookmarkStart w:id="9" w:name="_Ref4528096"/>
      <w:r>
        <w:rPr>
          <w:sz w:val="22"/>
          <w:szCs w:val="22"/>
        </w:rPr>
        <w:t>“</w:t>
      </w:r>
      <w:r w:rsidRPr="000243BF">
        <w:rPr>
          <w:sz w:val="22"/>
          <w:szCs w:val="22"/>
        </w:rPr>
        <w:t>Chairman Note</w:t>
      </w:r>
      <w:r>
        <w:rPr>
          <w:sz w:val="22"/>
          <w:szCs w:val="22"/>
        </w:rPr>
        <w:t>s</w:t>
      </w:r>
      <w:r w:rsidRPr="000243BF">
        <w:rPr>
          <w:sz w:val="22"/>
          <w:szCs w:val="22"/>
        </w:rPr>
        <w:t>, RAN1</w:t>
      </w:r>
      <w:r>
        <w:rPr>
          <w:sz w:val="22"/>
          <w:szCs w:val="22"/>
        </w:rPr>
        <w:t xml:space="preserve"> </w:t>
      </w:r>
      <w:r w:rsidRPr="000243BF">
        <w:rPr>
          <w:sz w:val="22"/>
          <w:szCs w:val="22"/>
        </w:rPr>
        <w:t>#</w:t>
      </w:r>
      <w:r>
        <w:rPr>
          <w:sz w:val="22"/>
          <w:szCs w:val="22"/>
        </w:rPr>
        <w:t>9</w:t>
      </w:r>
      <w:r w:rsidR="0099551F">
        <w:rPr>
          <w:sz w:val="22"/>
          <w:szCs w:val="22"/>
        </w:rPr>
        <w:t>9</w:t>
      </w:r>
      <w:r>
        <w:rPr>
          <w:sz w:val="22"/>
          <w:szCs w:val="22"/>
        </w:rPr>
        <w:t>”, 3GPP RAN1 #</w:t>
      </w:r>
      <w:r w:rsidR="00483620">
        <w:rPr>
          <w:sz w:val="22"/>
          <w:szCs w:val="22"/>
        </w:rPr>
        <w:t>9</w:t>
      </w:r>
      <w:r w:rsidR="0099551F">
        <w:rPr>
          <w:sz w:val="22"/>
          <w:szCs w:val="22"/>
        </w:rPr>
        <w:t>9</w:t>
      </w:r>
      <w:r w:rsidRPr="000243BF">
        <w:rPr>
          <w:sz w:val="22"/>
          <w:szCs w:val="22"/>
        </w:rPr>
        <w:t xml:space="preserve">, </w:t>
      </w:r>
      <w:r w:rsidR="0099551F">
        <w:rPr>
          <w:sz w:val="22"/>
          <w:szCs w:val="22"/>
        </w:rPr>
        <w:t>Reno, USA</w:t>
      </w:r>
      <w:r w:rsidRPr="000243BF">
        <w:rPr>
          <w:sz w:val="22"/>
          <w:szCs w:val="22"/>
        </w:rPr>
        <w:t xml:space="preserve">, </w:t>
      </w:r>
      <w:r w:rsidR="007A05D0">
        <w:rPr>
          <w:sz w:val="22"/>
          <w:szCs w:val="22"/>
        </w:rPr>
        <w:t>November</w:t>
      </w:r>
      <w:r w:rsidR="00483620">
        <w:rPr>
          <w:sz w:val="22"/>
          <w:szCs w:val="22"/>
        </w:rPr>
        <w:t xml:space="preserve"> </w:t>
      </w:r>
      <w:r w:rsidR="007A05D0">
        <w:rPr>
          <w:sz w:val="22"/>
          <w:szCs w:val="22"/>
        </w:rPr>
        <w:t>18</w:t>
      </w:r>
      <w:r w:rsidRPr="00AD62C5">
        <w:rPr>
          <w:sz w:val="22"/>
          <w:szCs w:val="22"/>
          <w:vertAlign w:val="superscript"/>
        </w:rPr>
        <w:t>th</w:t>
      </w:r>
      <w:r>
        <w:rPr>
          <w:sz w:val="22"/>
          <w:szCs w:val="22"/>
        </w:rPr>
        <w:t xml:space="preserve"> </w:t>
      </w:r>
      <w:r w:rsidR="00483620">
        <w:rPr>
          <w:sz w:val="22"/>
          <w:szCs w:val="22"/>
        </w:rPr>
        <w:t xml:space="preserve">– </w:t>
      </w:r>
      <w:r w:rsidR="007A05D0">
        <w:rPr>
          <w:sz w:val="22"/>
          <w:szCs w:val="22"/>
        </w:rPr>
        <w:t>22</w:t>
      </w:r>
      <w:r w:rsidR="007A05D0" w:rsidRPr="007A05D0">
        <w:rPr>
          <w:sz w:val="22"/>
          <w:szCs w:val="22"/>
          <w:vertAlign w:val="superscript"/>
        </w:rPr>
        <w:t>nd</w:t>
      </w:r>
      <w:r w:rsidR="00483620">
        <w:rPr>
          <w:sz w:val="22"/>
          <w:szCs w:val="22"/>
        </w:rPr>
        <w:t xml:space="preserve">, </w:t>
      </w:r>
      <w:r w:rsidRPr="000243BF">
        <w:rPr>
          <w:sz w:val="22"/>
          <w:szCs w:val="22"/>
        </w:rPr>
        <w:t>201</w:t>
      </w:r>
      <w:r>
        <w:rPr>
          <w:sz w:val="22"/>
          <w:szCs w:val="22"/>
        </w:rPr>
        <w:t>9.</w:t>
      </w:r>
      <w:bookmarkEnd w:id="9"/>
    </w:p>
    <w:p w14:paraId="7B2289A0" w14:textId="77777777" w:rsidR="00A60163" w:rsidRPr="00A60163" w:rsidRDefault="00A60163" w:rsidP="00A60163">
      <w:pPr>
        <w:widowControl w:val="0"/>
      </w:pPr>
    </w:p>
    <w:sectPr w:rsidR="00A60163" w:rsidRPr="00A60163" w:rsidSect="00C775EF">
      <w:headerReference w:type="even" r:id="rId43"/>
      <w:footerReference w:type="even" r:id="rId44"/>
      <w:footerReference w:type="default" r:id="rId45"/>
      <w:footnotePr>
        <w:numRestart w:val="eachSect"/>
      </w:footnotePr>
      <w:type w:val="continuous"/>
      <w:pgSz w:w="11907" w:h="16839" w:code="9"/>
      <w:pgMar w:top="1418" w:right="1134" w:bottom="1134" w:left="1134" w:header="624"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FC70340" w14:textId="77777777" w:rsidR="00C42DAF" w:rsidRDefault="00C42DAF">
      <w:r>
        <w:separator/>
      </w:r>
    </w:p>
  </w:endnote>
  <w:endnote w:type="continuationSeparator" w:id="0">
    <w:p w14:paraId="4FFD9F80" w14:textId="77777777" w:rsidR="00C42DAF" w:rsidRDefault="00C42DAF">
      <w:r>
        <w:continuationSeparator/>
      </w:r>
    </w:p>
  </w:endnote>
  <w:endnote w:type="continuationNotice" w:id="1">
    <w:p w14:paraId="62F62B59" w14:textId="77777777" w:rsidR="00C42DAF" w:rsidRDefault="00C42DA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ew York">
    <w:altName w:val="Times New Roman"/>
    <w:panose1 w:val="020B0604020202020204"/>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MS Mincho">
    <w:altName w:val="ＭＳ 明朝"/>
    <w:panose1 w:val="02020609040205080304"/>
    <w:charset w:val="80"/>
    <w:family w:val="modern"/>
    <w:notTrueType/>
    <w:pitch w:val="fixed"/>
    <w:sig w:usb0="00000001" w:usb1="08070000" w:usb2="00000010" w:usb3="00000000" w:csb0="0002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SimSun">
    <w:altName w:val="宋体"/>
    <w:panose1 w:val="02010600030101010101"/>
    <w:charset w:val="86"/>
    <w:family w:val="auto"/>
    <w:pitch w:val="variable"/>
    <w:sig w:usb0="00000003" w:usb1="288F0000" w:usb2="00000016" w:usb3="00000000" w:csb0="00040001" w:csb1="00000000"/>
  </w:font>
  <w:font w:name="Mincho">
    <w:altName w:val="MS Mincho"/>
    <w:panose1 w:val="020B0604020202020204"/>
    <w:charset w:val="80"/>
    <w:family w:val="roman"/>
    <w:pitch w:val="fixed"/>
    <w:sig w:usb0="00002A87" w:usb1="08070000" w:usb2="00000010" w:usb3="00000000" w:csb0="000201FF" w:csb1="00000000"/>
  </w:font>
  <w:font w:name="Arial">
    <w:panose1 w:val="020B0604020202020204"/>
    <w:charset w:val="00"/>
    <w:family w:val="swiss"/>
    <w:pitch w:val="variable"/>
    <w:sig w:usb0="E0002AFF" w:usb1="C0007843" w:usb2="00000009" w:usb3="00000000" w:csb0="000001FF" w:csb1="00000000"/>
  </w:font>
  <w:font w:name="v4.2.0">
    <w:altName w:val="Times New Roman"/>
    <w:panose1 w:val="020B0604020202020204"/>
    <w:charset w:val="00"/>
    <w:family w:val="auto"/>
    <w:pitch w:val="default"/>
  </w:font>
  <w:font w:name="Calibri">
    <w:panose1 w:val="020F0502020204030204"/>
    <w:charset w:val="00"/>
    <w:family w:val="swiss"/>
    <w:pitch w:val="variable"/>
    <w:sig w:usb0="E0002AFF" w:usb1="C000247B" w:usb2="00000009" w:usb3="00000000" w:csb0="000001FF" w:csb1="00000000"/>
  </w:font>
  <w:font w:name="Vrinda">
    <w:panose1 w:val="020B0502040204020203"/>
    <w:charset w:val="00"/>
    <w:family w:val="swiss"/>
    <w:pitch w:val="variable"/>
    <w:sig w:usb0="00010003" w:usb1="00000000" w:usb2="00000000" w:usb3="00000000" w:csb0="00000001" w:csb1="00000000"/>
  </w:font>
  <w:font w:name="Times">
    <w:panose1 w:val="00000500000000020000"/>
    <w:charset w:val="00"/>
    <w:family w:val="auto"/>
    <w:pitch w:val="variable"/>
    <w:sig w:usb0="E00002FF" w:usb1="5000205A"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Helvetica">
    <w:panose1 w:val="00000000000000000000"/>
    <w:charset w:val="00"/>
    <w:family w:val="auto"/>
    <w:pitch w:val="variable"/>
    <w:sig w:usb0="E00002FF" w:usb1="5000785B" w:usb2="00000000" w:usb3="00000000" w:csb0="0000019F" w:csb1="00000000"/>
  </w:font>
  <w:font w:name="Yu Mincho">
    <w:panose1 w:val="02020400000000000000"/>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Arial Unicode MS">
    <w:panose1 w:val="020B0604020202020204"/>
    <w:charset w:val="80"/>
    <w:family w:val="swiss"/>
    <w:pitch w:val="variable"/>
    <w:sig w:usb0="F7FFAFFF" w:usb1="E9DFFFFF" w:usb2="0000003F" w:usb3="00000000" w:csb0="003F01FF" w:csb1="00000000"/>
  </w:font>
  <w:font w:name="Arial-BoldItalicMT">
    <w:altName w:val="Arial"/>
    <w:panose1 w:val="020B0604020202020204"/>
    <w:charset w:val="00"/>
    <w:family w:val="roman"/>
    <w:notTrueType/>
    <w:pitch w:val="default"/>
  </w:font>
  <w:font w:name="ArialMT">
    <w:altName w:val="Microsoft JhengHei"/>
    <w:panose1 w:val="020B0604020202020204"/>
    <w:charset w:val="00"/>
    <w:family w:val="roman"/>
    <w:notTrueType/>
    <w:pitch w:val="default"/>
  </w:font>
  <w:font w:name="TimesNewRomanPSMT">
    <w:altName w:val="Times New Roman"/>
    <w:panose1 w:val="020B0604020202020204"/>
    <w:charset w:val="00"/>
    <w:family w:val="roman"/>
    <w:notTrueType/>
    <w:pitch w:val="default"/>
  </w:font>
  <w:font w:name="TimesNewRomanPS">
    <w:altName w:val="Times New Roman"/>
    <w:panose1 w:val="020B0604020202020204"/>
    <w:charset w:val="00"/>
    <w:family w:val="roman"/>
    <w:notTrueType/>
    <w:pitch w:val="default"/>
  </w:font>
  <w:font w:name="+mn-cs">
    <w:panose1 w:val="020B0604020202020204"/>
    <w:charset w:val="00"/>
    <w:family w:val="roman"/>
    <w:notTrueType/>
    <w:pitch w:val="default"/>
  </w:font>
  <w:font w:name="MS PGothic">
    <w:panose1 w:val="020B0600070205080204"/>
    <w:charset w:val="80"/>
    <w:family w:val="swiss"/>
    <w:pitch w:val="variable"/>
    <w:sig w:usb0="E00002FF" w:usb1="6AC7FDFB" w:usb2="08000012" w:usb3="00000000" w:csb0="000200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770657" w14:textId="77777777" w:rsidR="00902DFE" w:rsidRDefault="00902DFE" w:rsidP="00F837D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B3B0E00" w14:textId="77777777" w:rsidR="00902DFE" w:rsidRDefault="00902DFE" w:rsidP="00505E3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7D6269" w14:textId="42EA6EF7" w:rsidR="00902DFE" w:rsidRPr="00DB1239" w:rsidRDefault="00902DFE" w:rsidP="00450D3B">
    <w:pPr>
      <w:pStyle w:val="Footer"/>
      <w:ind w:right="360"/>
      <w:rPr>
        <w:b w:val="0"/>
      </w:rPr>
    </w:pPr>
    <w:r>
      <w:rPr>
        <w:rStyle w:val="PageNumber"/>
      </w:rPr>
      <w:fldChar w:fldCharType="begin"/>
    </w:r>
    <w:r>
      <w:rPr>
        <w:rStyle w:val="PageNumber"/>
      </w:rPr>
      <w:instrText xml:space="preserve"> PAGE </w:instrText>
    </w:r>
    <w:r>
      <w:rPr>
        <w:rStyle w:val="PageNumber"/>
      </w:rPr>
      <w:fldChar w:fldCharType="separate"/>
    </w:r>
    <w:r w:rsidR="00DD63B0">
      <w:rPr>
        <w:rStyle w:val="PageNumber"/>
      </w:rPr>
      <w:t>8</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DD63B0">
      <w:rPr>
        <w:rStyle w:val="PageNumber"/>
      </w:rPr>
      <w:t>13</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2B7A2E" w14:textId="77777777" w:rsidR="00C42DAF" w:rsidRDefault="00C42DAF">
      <w:r>
        <w:separator/>
      </w:r>
    </w:p>
  </w:footnote>
  <w:footnote w:type="continuationSeparator" w:id="0">
    <w:p w14:paraId="03D04AB7" w14:textId="77777777" w:rsidR="00C42DAF" w:rsidRDefault="00C42DAF">
      <w:r>
        <w:continuationSeparator/>
      </w:r>
    </w:p>
  </w:footnote>
  <w:footnote w:type="continuationNotice" w:id="1">
    <w:p w14:paraId="67FB2C24" w14:textId="77777777" w:rsidR="00C42DAF" w:rsidRDefault="00C42DA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3E5896" w14:textId="77777777" w:rsidR="00902DFE" w:rsidRDefault="00902DFE">
    <w:r>
      <w:t xml:space="preserve">Page </w:t>
    </w:r>
    <w:r>
      <w:fldChar w:fldCharType="begin"/>
    </w:r>
    <w:r>
      <w:instrText>PAGE</w:instrText>
    </w:r>
    <w:r>
      <w:fldChar w:fldCharType="separate"/>
    </w:r>
    <w:r>
      <w:rPr>
        <w:noProof/>
      </w:rP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singleLevel"/>
    <w:tmpl w:val="00000001"/>
    <w:name w:val="WW8Num7"/>
    <w:lvl w:ilvl="0">
      <w:start w:val="1"/>
      <w:numFmt w:val="decimal"/>
      <w:lvlText w:val="[%1]"/>
      <w:lvlJc w:val="left"/>
      <w:pPr>
        <w:tabs>
          <w:tab w:val="num" w:pos="567"/>
        </w:tabs>
        <w:ind w:left="567" w:hanging="567"/>
      </w:pPr>
    </w:lvl>
  </w:abstractNum>
  <w:abstractNum w:abstractNumId="1" w15:restartNumberingAfterBreak="0">
    <w:nsid w:val="00000009"/>
    <w:multiLevelType w:val="multilevel"/>
    <w:tmpl w:val="BE762F00"/>
    <w:lvl w:ilvl="0">
      <w:start w:val="1"/>
      <w:numFmt w:val="bullet"/>
      <w:pStyle w:val="Char"/>
      <w:lvlText w:val=""/>
      <w:lvlJc w:val="left"/>
      <w:pPr>
        <w:tabs>
          <w:tab w:val="num" w:pos="851"/>
        </w:tabs>
        <w:ind w:left="851" w:hanging="851"/>
      </w:pPr>
      <w:rPr>
        <w:rFonts w:ascii="New York" w:hAnsi="New York" w:hint="default"/>
        <w:b/>
        <w:i w:val="0"/>
        <w:color w:val="auto"/>
        <w:sz w:val="20"/>
        <w:szCs w:val="20"/>
      </w:rPr>
    </w:lvl>
    <w:lvl w:ilvl="1">
      <w:start w:val="1"/>
      <w:numFmt w:val="upperLetter"/>
      <w:lvlText w:val="%2)"/>
      <w:lvlJc w:val="left"/>
      <w:pPr>
        <w:tabs>
          <w:tab w:val="num" w:pos="1440"/>
        </w:tabs>
        <w:ind w:left="1440" w:hanging="360"/>
      </w:pPr>
      <w:rPr>
        <w:rFonts w:cs="New York" w:hint="default"/>
      </w:rPr>
    </w:lvl>
    <w:lvl w:ilvl="2">
      <w:start w:val="1"/>
      <w:numFmt w:val="bullet"/>
      <w:lvlText w:val=""/>
      <w:lvlJc w:val="left"/>
      <w:pPr>
        <w:tabs>
          <w:tab w:val="num" w:pos="2160"/>
        </w:tabs>
        <w:ind w:left="1440" w:firstLine="360"/>
      </w:pPr>
      <w:rPr>
        <w:rFonts w:ascii="New York" w:hAnsi="New York"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New York" w:hAnsi="New York" w:cs="New York" w:hint="default"/>
      </w:rPr>
    </w:lvl>
    <w:lvl w:ilvl="5">
      <w:start w:val="1"/>
      <w:numFmt w:val="bullet"/>
      <w:lvlText w:val=""/>
      <w:lvlJc w:val="left"/>
      <w:pPr>
        <w:tabs>
          <w:tab w:val="num" w:pos="4320"/>
        </w:tabs>
        <w:ind w:left="4320" w:hanging="360"/>
      </w:pPr>
      <w:rPr>
        <w:rFonts w:ascii="New York" w:hAnsi="New York"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New York" w:hAnsi="New York" w:cs="New York" w:hint="default"/>
      </w:rPr>
    </w:lvl>
    <w:lvl w:ilvl="8">
      <w:start w:val="1"/>
      <w:numFmt w:val="bullet"/>
      <w:lvlText w:val=""/>
      <w:lvlJc w:val="left"/>
      <w:pPr>
        <w:tabs>
          <w:tab w:val="num" w:pos="6480"/>
        </w:tabs>
        <w:ind w:left="6480" w:hanging="360"/>
      </w:pPr>
      <w:rPr>
        <w:rFonts w:ascii="New York" w:hAnsi="New York" w:hint="default"/>
      </w:rPr>
    </w:lvl>
  </w:abstractNum>
  <w:abstractNum w:abstractNumId="2" w15:restartNumberingAfterBreak="0">
    <w:nsid w:val="02F4053F"/>
    <w:multiLevelType w:val="hybridMultilevel"/>
    <w:tmpl w:val="02F84A66"/>
    <w:lvl w:ilvl="0" w:tplc="B4166282">
      <w:start w:val="1"/>
      <w:numFmt w:val="bullet"/>
      <w:lvlText w:val="-"/>
      <w:lvlJc w:val="left"/>
      <w:pPr>
        <w:tabs>
          <w:tab w:val="num" w:pos="720"/>
        </w:tabs>
        <w:ind w:left="720" w:hanging="360"/>
      </w:pPr>
      <w:rPr>
        <w:rFonts w:ascii="Times New Roman" w:hAnsi="Times New Roman" w:hint="default"/>
      </w:rPr>
    </w:lvl>
    <w:lvl w:ilvl="1" w:tplc="84A056F2" w:tentative="1">
      <w:start w:val="1"/>
      <w:numFmt w:val="bullet"/>
      <w:lvlText w:val="-"/>
      <w:lvlJc w:val="left"/>
      <w:pPr>
        <w:tabs>
          <w:tab w:val="num" w:pos="1440"/>
        </w:tabs>
        <w:ind w:left="1440" w:hanging="360"/>
      </w:pPr>
      <w:rPr>
        <w:rFonts w:ascii="Times New Roman" w:hAnsi="Times New Roman" w:hint="default"/>
      </w:rPr>
    </w:lvl>
    <w:lvl w:ilvl="2" w:tplc="E9AAA80A" w:tentative="1">
      <w:start w:val="1"/>
      <w:numFmt w:val="bullet"/>
      <w:lvlText w:val="-"/>
      <w:lvlJc w:val="left"/>
      <w:pPr>
        <w:tabs>
          <w:tab w:val="num" w:pos="2160"/>
        </w:tabs>
        <w:ind w:left="2160" w:hanging="360"/>
      </w:pPr>
      <w:rPr>
        <w:rFonts w:ascii="Times New Roman" w:hAnsi="Times New Roman" w:hint="default"/>
      </w:rPr>
    </w:lvl>
    <w:lvl w:ilvl="3" w:tplc="2A64C0E2" w:tentative="1">
      <w:start w:val="1"/>
      <w:numFmt w:val="bullet"/>
      <w:lvlText w:val="-"/>
      <w:lvlJc w:val="left"/>
      <w:pPr>
        <w:tabs>
          <w:tab w:val="num" w:pos="2880"/>
        </w:tabs>
        <w:ind w:left="2880" w:hanging="360"/>
      </w:pPr>
      <w:rPr>
        <w:rFonts w:ascii="Times New Roman" w:hAnsi="Times New Roman" w:hint="default"/>
      </w:rPr>
    </w:lvl>
    <w:lvl w:ilvl="4" w:tplc="5A76C71A" w:tentative="1">
      <w:start w:val="1"/>
      <w:numFmt w:val="bullet"/>
      <w:lvlText w:val="-"/>
      <w:lvlJc w:val="left"/>
      <w:pPr>
        <w:tabs>
          <w:tab w:val="num" w:pos="3600"/>
        </w:tabs>
        <w:ind w:left="3600" w:hanging="360"/>
      </w:pPr>
      <w:rPr>
        <w:rFonts w:ascii="Times New Roman" w:hAnsi="Times New Roman" w:hint="default"/>
      </w:rPr>
    </w:lvl>
    <w:lvl w:ilvl="5" w:tplc="B7222E8E" w:tentative="1">
      <w:start w:val="1"/>
      <w:numFmt w:val="bullet"/>
      <w:lvlText w:val="-"/>
      <w:lvlJc w:val="left"/>
      <w:pPr>
        <w:tabs>
          <w:tab w:val="num" w:pos="4320"/>
        </w:tabs>
        <w:ind w:left="4320" w:hanging="360"/>
      </w:pPr>
      <w:rPr>
        <w:rFonts w:ascii="Times New Roman" w:hAnsi="Times New Roman" w:hint="default"/>
      </w:rPr>
    </w:lvl>
    <w:lvl w:ilvl="6" w:tplc="42CA8BF0" w:tentative="1">
      <w:start w:val="1"/>
      <w:numFmt w:val="bullet"/>
      <w:lvlText w:val="-"/>
      <w:lvlJc w:val="left"/>
      <w:pPr>
        <w:tabs>
          <w:tab w:val="num" w:pos="5040"/>
        </w:tabs>
        <w:ind w:left="5040" w:hanging="360"/>
      </w:pPr>
      <w:rPr>
        <w:rFonts w:ascii="Times New Roman" w:hAnsi="Times New Roman" w:hint="default"/>
      </w:rPr>
    </w:lvl>
    <w:lvl w:ilvl="7" w:tplc="F9ACD070" w:tentative="1">
      <w:start w:val="1"/>
      <w:numFmt w:val="bullet"/>
      <w:lvlText w:val="-"/>
      <w:lvlJc w:val="left"/>
      <w:pPr>
        <w:tabs>
          <w:tab w:val="num" w:pos="5760"/>
        </w:tabs>
        <w:ind w:left="5760" w:hanging="360"/>
      </w:pPr>
      <w:rPr>
        <w:rFonts w:ascii="Times New Roman" w:hAnsi="Times New Roman" w:hint="default"/>
      </w:rPr>
    </w:lvl>
    <w:lvl w:ilvl="8" w:tplc="018475C8" w:tentative="1">
      <w:start w:val="1"/>
      <w:numFmt w:val="bullet"/>
      <w:lvlText w:val="-"/>
      <w:lvlJc w:val="left"/>
      <w:pPr>
        <w:tabs>
          <w:tab w:val="num" w:pos="6480"/>
        </w:tabs>
        <w:ind w:left="6480" w:hanging="360"/>
      </w:pPr>
      <w:rPr>
        <w:rFonts w:ascii="Times New Roman" w:hAnsi="Times New Roman" w:hint="default"/>
      </w:rPr>
    </w:lvl>
  </w:abstractNum>
  <w:abstractNum w:abstractNumId="3" w15:restartNumberingAfterBreak="0">
    <w:nsid w:val="03145377"/>
    <w:multiLevelType w:val="hybridMultilevel"/>
    <w:tmpl w:val="62AE3FD8"/>
    <w:lvl w:ilvl="0" w:tplc="4202C932">
      <w:start w:val="1"/>
      <w:numFmt w:val="bullet"/>
      <w:lvlText w:val=""/>
      <w:lvlJc w:val="left"/>
      <w:pPr>
        <w:tabs>
          <w:tab w:val="num" w:pos="720"/>
        </w:tabs>
        <w:ind w:left="720" w:hanging="360"/>
      </w:pPr>
      <w:rPr>
        <w:rFonts w:ascii="Symbol" w:eastAsia="MS Mincho"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483224E0">
      <w:start w:val="1"/>
      <w:numFmt w:val="decimal"/>
      <w:pStyle w:val="References"/>
      <w:lvlText w:val="[%3]"/>
      <w:lvlJc w:val="left"/>
      <w:pPr>
        <w:tabs>
          <w:tab w:val="num" w:pos="2481"/>
        </w:tabs>
        <w:ind w:left="2481" w:hanging="681"/>
      </w:pPr>
      <w:rPr>
        <w:rFont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9912BA0"/>
    <w:multiLevelType w:val="multilevel"/>
    <w:tmpl w:val="9DDA1A8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C4B5C04"/>
    <w:multiLevelType w:val="multilevel"/>
    <w:tmpl w:val="8E0E4B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8DA1FAC"/>
    <w:multiLevelType w:val="multilevel"/>
    <w:tmpl w:val="62F274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sz w:val="20"/>
      </w:rPr>
    </w:lvl>
    <w:lvl w:ilvl="2">
      <w:start w:val="1"/>
      <w:numFmt w:val="bullet"/>
      <w:lvlText w:val=""/>
      <w:lvlJc w:val="left"/>
      <w:pPr>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8F81EBB"/>
    <w:multiLevelType w:val="hybridMultilevel"/>
    <w:tmpl w:val="49D4CF6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BAA76D6"/>
    <w:multiLevelType w:val="hybridMultilevel"/>
    <w:tmpl w:val="1576ACA8"/>
    <w:lvl w:ilvl="0" w:tplc="04090001">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1BFA01FF"/>
    <w:multiLevelType w:val="hybridMultilevel"/>
    <w:tmpl w:val="AD9E06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0" w15:restartNumberingAfterBreak="0">
    <w:nsid w:val="1E4C0571"/>
    <w:multiLevelType w:val="multilevel"/>
    <w:tmpl w:val="C91821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F250011"/>
    <w:multiLevelType w:val="multilevel"/>
    <w:tmpl w:val="6390F9DE"/>
    <w:lvl w:ilvl="0">
      <w:start w:val="1"/>
      <w:numFmt w:val="decimal"/>
      <w:lvlText w:val="[%1]"/>
      <w:lvlJc w:val="left"/>
      <w:pPr>
        <w:tabs>
          <w:tab w:val="num" w:pos="420"/>
        </w:tabs>
        <w:ind w:left="420" w:hanging="42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2" w15:restartNumberingAfterBreak="0">
    <w:nsid w:val="286309A2"/>
    <w:multiLevelType w:val="multilevel"/>
    <w:tmpl w:val="8D4663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A9B4976"/>
    <w:multiLevelType w:val="multilevel"/>
    <w:tmpl w:val="9776171C"/>
    <w:lvl w:ilvl="0">
      <w:start w:val="1"/>
      <w:numFmt w:val="decimal"/>
      <w:pStyle w:val="Heading1"/>
      <w:lvlText w:val="%1."/>
      <w:lvlJc w:val="left"/>
      <w:pPr>
        <w:ind w:left="502" w:hanging="360"/>
      </w:pPr>
      <w:rPr>
        <w:rFonts w:hint="default"/>
        <w:lang w:val="en-US"/>
      </w:rPr>
    </w:lvl>
    <w:lvl w:ilvl="1">
      <w:start w:val="1"/>
      <w:numFmt w:val="decimal"/>
      <w:pStyle w:val="Heading2"/>
      <w:isLgl/>
      <w:lvlText w:val="%1.%2"/>
      <w:lvlJc w:val="left"/>
      <w:pPr>
        <w:ind w:left="8516" w:hanging="720"/>
      </w:pPr>
      <w:rPr>
        <w:rFonts w:hint="default"/>
        <w:lang w:val="en-GB"/>
      </w:rPr>
    </w:lvl>
    <w:lvl w:ilvl="2">
      <w:start w:val="1"/>
      <w:numFmt w:val="decimal"/>
      <w:pStyle w:val="Heading3"/>
      <w:isLgl/>
      <w:lvlText w:val="%1.%2.%3"/>
      <w:lvlJc w:val="left"/>
      <w:pPr>
        <w:ind w:left="720" w:hanging="720"/>
      </w:pPr>
      <w:rPr>
        <w:rFonts w:hint="default"/>
        <w:lang w:val="en-GB"/>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800" w:hanging="180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520" w:hanging="2520"/>
      </w:pPr>
      <w:rPr>
        <w:rFonts w:hint="default"/>
      </w:rPr>
    </w:lvl>
  </w:abstractNum>
  <w:abstractNum w:abstractNumId="14"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15" w15:restartNumberingAfterBreak="0">
    <w:nsid w:val="2FB01FD2"/>
    <w:multiLevelType w:val="hybridMultilevel"/>
    <w:tmpl w:val="E8F228B2"/>
    <w:lvl w:ilvl="0" w:tplc="0809000F">
      <w:start w:val="1"/>
      <w:numFmt w:val="decimal"/>
      <w:pStyle w:val="ListNumber4"/>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6" w15:restartNumberingAfterBreak="0">
    <w:nsid w:val="37F8557C"/>
    <w:multiLevelType w:val="hybridMultilevel"/>
    <w:tmpl w:val="65223F78"/>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7" w15:restartNumberingAfterBreak="0">
    <w:nsid w:val="39AF2358"/>
    <w:multiLevelType w:val="multilevel"/>
    <w:tmpl w:val="5DEED0E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AB735D6"/>
    <w:multiLevelType w:val="hybridMultilevel"/>
    <w:tmpl w:val="AEC8BF24"/>
    <w:lvl w:ilvl="0" w:tplc="28EC57CE">
      <w:start w:val="120"/>
      <w:numFmt w:val="bullet"/>
      <w:lvlText w:val="-"/>
      <w:lvlJc w:val="left"/>
      <w:pPr>
        <w:ind w:left="720" w:hanging="360"/>
      </w:pPr>
      <w:rPr>
        <w:rFonts w:ascii="Times New Roman" w:eastAsia="SimSun" w:hAnsi="Times New Roman" w:cs="Times New Roman" w:hint="default"/>
      </w:rPr>
    </w:lvl>
    <w:lvl w:ilvl="1" w:tplc="5A3AF93E">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C77505E"/>
    <w:multiLevelType w:val="multilevel"/>
    <w:tmpl w:val="D8527D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DC208CD"/>
    <w:multiLevelType w:val="hybridMultilevel"/>
    <w:tmpl w:val="BA2A8028"/>
    <w:lvl w:ilvl="0" w:tplc="04090001">
      <w:numFmt w:val="bullet"/>
      <w:lvlText w:val="-"/>
      <w:lvlJc w:val="left"/>
      <w:pPr>
        <w:tabs>
          <w:tab w:val="num" w:pos="644"/>
        </w:tabs>
        <w:ind w:left="644" w:hanging="360"/>
      </w:pPr>
      <w:rPr>
        <w:rFonts w:ascii="Times New Roman" w:eastAsia="Times New Roman" w:hAnsi="Times New Roman" w:cs="Times New Roman" w:hint="default"/>
      </w:rPr>
    </w:lvl>
    <w:lvl w:ilvl="1" w:tplc="0A826626">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2673B72"/>
    <w:multiLevelType w:val="multilevel"/>
    <w:tmpl w:val="85B63F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68927E4"/>
    <w:multiLevelType w:val="multilevel"/>
    <w:tmpl w:val="2F181C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04A77AB"/>
    <w:multiLevelType w:val="multilevel"/>
    <w:tmpl w:val="5A8AE0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4EC2126"/>
    <w:multiLevelType w:val="hybridMultilevel"/>
    <w:tmpl w:val="B2ACF35E"/>
    <w:lvl w:ilvl="0" w:tplc="F460ADD2">
      <w:start w:val="1"/>
      <w:numFmt w:val="bullet"/>
      <w:lvlText w:val=""/>
      <w:lvlJc w:val="left"/>
      <w:pPr>
        <w:tabs>
          <w:tab w:val="num" w:pos="720"/>
        </w:tabs>
        <w:ind w:left="720" w:hanging="360"/>
      </w:pPr>
      <w:rPr>
        <w:rFonts w:ascii="Symbol" w:hAnsi="Symbol" w:hint="default"/>
      </w:rPr>
    </w:lvl>
    <w:lvl w:ilvl="1" w:tplc="C0FE430E">
      <w:start w:val="142"/>
      <w:numFmt w:val="bullet"/>
      <w:lvlText w:val="o"/>
      <w:lvlJc w:val="left"/>
      <w:pPr>
        <w:tabs>
          <w:tab w:val="num" w:pos="1440"/>
        </w:tabs>
        <w:ind w:left="1440" w:hanging="360"/>
      </w:pPr>
      <w:rPr>
        <w:rFonts w:ascii="Courier New" w:hAnsi="Courier New" w:hint="default"/>
      </w:rPr>
    </w:lvl>
    <w:lvl w:ilvl="2" w:tplc="DE84109C" w:tentative="1">
      <w:start w:val="1"/>
      <w:numFmt w:val="bullet"/>
      <w:lvlText w:val=""/>
      <w:lvlJc w:val="left"/>
      <w:pPr>
        <w:tabs>
          <w:tab w:val="num" w:pos="2160"/>
        </w:tabs>
        <w:ind w:left="2160" w:hanging="360"/>
      </w:pPr>
      <w:rPr>
        <w:rFonts w:ascii="Symbol" w:hAnsi="Symbol" w:hint="default"/>
      </w:rPr>
    </w:lvl>
    <w:lvl w:ilvl="3" w:tplc="9FE483B6" w:tentative="1">
      <w:start w:val="1"/>
      <w:numFmt w:val="bullet"/>
      <w:lvlText w:val=""/>
      <w:lvlJc w:val="left"/>
      <w:pPr>
        <w:tabs>
          <w:tab w:val="num" w:pos="2880"/>
        </w:tabs>
        <w:ind w:left="2880" w:hanging="360"/>
      </w:pPr>
      <w:rPr>
        <w:rFonts w:ascii="Symbol" w:hAnsi="Symbol" w:hint="default"/>
      </w:rPr>
    </w:lvl>
    <w:lvl w:ilvl="4" w:tplc="6FC43170" w:tentative="1">
      <w:start w:val="1"/>
      <w:numFmt w:val="bullet"/>
      <w:lvlText w:val=""/>
      <w:lvlJc w:val="left"/>
      <w:pPr>
        <w:tabs>
          <w:tab w:val="num" w:pos="3600"/>
        </w:tabs>
        <w:ind w:left="3600" w:hanging="360"/>
      </w:pPr>
      <w:rPr>
        <w:rFonts w:ascii="Symbol" w:hAnsi="Symbol" w:hint="default"/>
      </w:rPr>
    </w:lvl>
    <w:lvl w:ilvl="5" w:tplc="1E6C785A" w:tentative="1">
      <w:start w:val="1"/>
      <w:numFmt w:val="bullet"/>
      <w:lvlText w:val=""/>
      <w:lvlJc w:val="left"/>
      <w:pPr>
        <w:tabs>
          <w:tab w:val="num" w:pos="4320"/>
        </w:tabs>
        <w:ind w:left="4320" w:hanging="360"/>
      </w:pPr>
      <w:rPr>
        <w:rFonts w:ascii="Symbol" w:hAnsi="Symbol" w:hint="default"/>
      </w:rPr>
    </w:lvl>
    <w:lvl w:ilvl="6" w:tplc="84286320" w:tentative="1">
      <w:start w:val="1"/>
      <w:numFmt w:val="bullet"/>
      <w:lvlText w:val=""/>
      <w:lvlJc w:val="left"/>
      <w:pPr>
        <w:tabs>
          <w:tab w:val="num" w:pos="5040"/>
        </w:tabs>
        <w:ind w:left="5040" w:hanging="360"/>
      </w:pPr>
      <w:rPr>
        <w:rFonts w:ascii="Symbol" w:hAnsi="Symbol" w:hint="default"/>
      </w:rPr>
    </w:lvl>
    <w:lvl w:ilvl="7" w:tplc="3548958A" w:tentative="1">
      <w:start w:val="1"/>
      <w:numFmt w:val="bullet"/>
      <w:lvlText w:val=""/>
      <w:lvlJc w:val="left"/>
      <w:pPr>
        <w:tabs>
          <w:tab w:val="num" w:pos="5760"/>
        </w:tabs>
        <w:ind w:left="5760" w:hanging="360"/>
      </w:pPr>
      <w:rPr>
        <w:rFonts w:ascii="Symbol" w:hAnsi="Symbol" w:hint="default"/>
      </w:rPr>
    </w:lvl>
    <w:lvl w:ilvl="8" w:tplc="5408342E" w:tentative="1">
      <w:start w:val="1"/>
      <w:numFmt w:val="bullet"/>
      <w:lvlText w:val=""/>
      <w:lvlJc w:val="left"/>
      <w:pPr>
        <w:tabs>
          <w:tab w:val="num" w:pos="6480"/>
        </w:tabs>
        <w:ind w:left="6480" w:hanging="360"/>
      </w:pPr>
      <w:rPr>
        <w:rFonts w:ascii="Symbol" w:hAnsi="Symbol" w:hint="default"/>
      </w:rPr>
    </w:lvl>
  </w:abstractNum>
  <w:abstractNum w:abstractNumId="25" w15:restartNumberingAfterBreak="0">
    <w:nsid w:val="55AB5097"/>
    <w:multiLevelType w:val="hybridMultilevel"/>
    <w:tmpl w:val="1D56E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8836B61"/>
    <w:multiLevelType w:val="hybridMultilevel"/>
    <w:tmpl w:val="910CE81E"/>
    <w:lvl w:ilvl="0" w:tplc="0409000B">
      <w:start w:val="1"/>
      <w:numFmt w:val="bullet"/>
      <w:lvlText w:val=""/>
      <w:lvlJc w:val="left"/>
      <w:pPr>
        <w:tabs>
          <w:tab w:val="num" w:pos="720"/>
        </w:tabs>
        <w:ind w:left="720" w:hanging="360"/>
      </w:pPr>
      <w:rPr>
        <w:rFonts w:ascii="Wingdings" w:hAnsi="Wingdings" w:hint="default"/>
      </w:rPr>
    </w:lvl>
    <w:lvl w:ilvl="1" w:tplc="ACA6D69E">
      <w:start w:val="1"/>
      <w:numFmt w:val="bullet"/>
      <w:lvlText w:val=""/>
      <w:lvlJc w:val="left"/>
      <w:pPr>
        <w:tabs>
          <w:tab w:val="num" w:pos="1440"/>
        </w:tabs>
        <w:ind w:left="1440" w:hanging="360"/>
      </w:pPr>
      <w:rPr>
        <w:rFonts w:ascii="Wingdings" w:hAnsi="Wingdings" w:hint="default"/>
      </w:rPr>
    </w:lvl>
    <w:lvl w:ilvl="2" w:tplc="F78666A2">
      <w:start w:val="1"/>
      <w:numFmt w:val="bullet"/>
      <w:lvlText w:val=""/>
      <w:lvlJc w:val="left"/>
      <w:pPr>
        <w:tabs>
          <w:tab w:val="num" w:pos="2160"/>
        </w:tabs>
        <w:ind w:left="2160" w:hanging="360"/>
      </w:pPr>
      <w:rPr>
        <w:rFonts w:ascii="Wingdings" w:hAnsi="Wingdings" w:hint="default"/>
      </w:rPr>
    </w:lvl>
    <w:lvl w:ilvl="3" w:tplc="F468C280" w:tentative="1">
      <w:start w:val="1"/>
      <w:numFmt w:val="bullet"/>
      <w:lvlText w:val=""/>
      <w:lvlJc w:val="left"/>
      <w:pPr>
        <w:tabs>
          <w:tab w:val="num" w:pos="2880"/>
        </w:tabs>
        <w:ind w:left="2880" w:hanging="360"/>
      </w:pPr>
      <w:rPr>
        <w:rFonts w:ascii="Wingdings" w:hAnsi="Wingdings" w:hint="default"/>
      </w:rPr>
    </w:lvl>
    <w:lvl w:ilvl="4" w:tplc="19A2DF6E" w:tentative="1">
      <w:start w:val="1"/>
      <w:numFmt w:val="bullet"/>
      <w:lvlText w:val=""/>
      <w:lvlJc w:val="left"/>
      <w:pPr>
        <w:tabs>
          <w:tab w:val="num" w:pos="3600"/>
        </w:tabs>
        <w:ind w:left="3600" w:hanging="360"/>
      </w:pPr>
      <w:rPr>
        <w:rFonts w:ascii="Wingdings" w:hAnsi="Wingdings" w:hint="default"/>
      </w:rPr>
    </w:lvl>
    <w:lvl w:ilvl="5" w:tplc="14E85C02" w:tentative="1">
      <w:start w:val="1"/>
      <w:numFmt w:val="bullet"/>
      <w:lvlText w:val=""/>
      <w:lvlJc w:val="left"/>
      <w:pPr>
        <w:tabs>
          <w:tab w:val="num" w:pos="4320"/>
        </w:tabs>
        <w:ind w:left="4320" w:hanging="360"/>
      </w:pPr>
      <w:rPr>
        <w:rFonts w:ascii="Wingdings" w:hAnsi="Wingdings" w:hint="default"/>
      </w:rPr>
    </w:lvl>
    <w:lvl w:ilvl="6" w:tplc="49D273F4" w:tentative="1">
      <w:start w:val="1"/>
      <w:numFmt w:val="bullet"/>
      <w:lvlText w:val=""/>
      <w:lvlJc w:val="left"/>
      <w:pPr>
        <w:tabs>
          <w:tab w:val="num" w:pos="5040"/>
        </w:tabs>
        <w:ind w:left="5040" w:hanging="360"/>
      </w:pPr>
      <w:rPr>
        <w:rFonts w:ascii="Wingdings" w:hAnsi="Wingdings" w:hint="default"/>
      </w:rPr>
    </w:lvl>
    <w:lvl w:ilvl="7" w:tplc="F6AE241E" w:tentative="1">
      <w:start w:val="1"/>
      <w:numFmt w:val="bullet"/>
      <w:lvlText w:val=""/>
      <w:lvlJc w:val="left"/>
      <w:pPr>
        <w:tabs>
          <w:tab w:val="num" w:pos="5760"/>
        </w:tabs>
        <w:ind w:left="5760" w:hanging="360"/>
      </w:pPr>
      <w:rPr>
        <w:rFonts w:ascii="Wingdings" w:hAnsi="Wingdings" w:hint="default"/>
      </w:rPr>
    </w:lvl>
    <w:lvl w:ilvl="8" w:tplc="0B12EF70"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B0462FA"/>
    <w:multiLevelType w:val="multilevel"/>
    <w:tmpl w:val="B4500EE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5B5519D3"/>
    <w:multiLevelType w:val="hybridMultilevel"/>
    <w:tmpl w:val="69881F0E"/>
    <w:lvl w:ilvl="0" w:tplc="BC546BD8">
      <w:start w:val="3"/>
      <w:numFmt w:val="bullet"/>
      <w:pStyle w:val="ListParagraph"/>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CF8702F"/>
    <w:multiLevelType w:val="hybridMultilevel"/>
    <w:tmpl w:val="318E84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EBB6A76"/>
    <w:multiLevelType w:val="multilevel"/>
    <w:tmpl w:val="20EA23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5F1912B1"/>
    <w:multiLevelType w:val="hybridMultilevel"/>
    <w:tmpl w:val="B6627014"/>
    <w:lvl w:ilvl="0" w:tplc="F836D438">
      <w:start w:val="1"/>
      <w:numFmt w:val="bullet"/>
      <w:pStyle w:val="bullet1"/>
      <w:lvlText w:val=""/>
      <w:lvlJc w:val="left"/>
      <w:pPr>
        <w:ind w:left="720" w:hanging="360"/>
      </w:pPr>
      <w:rPr>
        <w:rFonts w:ascii="Symbol" w:hAnsi="Symbol" w:hint="default"/>
      </w:rPr>
    </w:lvl>
    <w:lvl w:ilvl="1" w:tplc="B7FE2C6E">
      <w:start w:val="1"/>
      <w:numFmt w:val="bullet"/>
      <w:pStyle w:val="bullet2"/>
      <w:lvlText w:val="o"/>
      <w:lvlJc w:val="left"/>
      <w:pPr>
        <w:ind w:left="1440" w:hanging="360"/>
      </w:pPr>
      <w:rPr>
        <w:rFonts w:ascii="Courier New" w:hAnsi="Courier New" w:cs="Courier New" w:hint="default"/>
      </w:rPr>
    </w:lvl>
    <w:lvl w:ilvl="2" w:tplc="FE06D868">
      <w:start w:val="1"/>
      <w:numFmt w:val="bullet"/>
      <w:pStyle w:val="bullet3"/>
      <w:lvlText w:val=""/>
      <w:lvlJc w:val="left"/>
      <w:pPr>
        <w:ind w:left="2160" w:hanging="360"/>
      </w:pPr>
      <w:rPr>
        <w:rFonts w:ascii="Wingdings" w:hAnsi="Wingdings" w:hint="default"/>
      </w:rPr>
    </w:lvl>
    <w:lvl w:ilvl="3" w:tplc="4922EF2E">
      <w:start w:val="1"/>
      <w:numFmt w:val="bullet"/>
      <w:pStyle w:val="bullet4"/>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F6E5C67"/>
    <w:multiLevelType w:val="hybridMultilevel"/>
    <w:tmpl w:val="AB94ED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272069D"/>
    <w:multiLevelType w:val="multilevel"/>
    <w:tmpl w:val="A740C1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66C60902"/>
    <w:multiLevelType w:val="multilevel"/>
    <w:tmpl w:val="66C6090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68067D91"/>
    <w:multiLevelType w:val="multilevel"/>
    <w:tmpl w:val="FEDE25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6C264369"/>
    <w:multiLevelType w:val="hybridMultilevel"/>
    <w:tmpl w:val="6B08A014"/>
    <w:lvl w:ilvl="0" w:tplc="04090001">
      <w:start w:val="1"/>
      <w:numFmt w:val="bullet"/>
      <w:lvlText w:val=""/>
      <w:lvlJc w:val="left"/>
      <w:pPr>
        <w:tabs>
          <w:tab w:val="num" w:pos="720"/>
        </w:tabs>
        <w:ind w:left="720" w:hanging="360"/>
      </w:pPr>
      <w:rPr>
        <w:rFonts w:ascii="Symbol" w:hAnsi="Symbol" w:hint="default"/>
      </w:rPr>
    </w:lvl>
    <w:lvl w:ilvl="1" w:tplc="48925754">
      <w:start w:val="1"/>
      <w:numFmt w:val="bullet"/>
      <w:lvlText w:val=""/>
      <w:lvlJc w:val="left"/>
      <w:pPr>
        <w:tabs>
          <w:tab w:val="num" w:pos="1440"/>
        </w:tabs>
        <w:ind w:left="1440" w:hanging="360"/>
      </w:pPr>
      <w:rPr>
        <w:rFonts w:ascii="Wingdings" w:hAnsi="Wingdings" w:hint="default"/>
      </w:rPr>
    </w:lvl>
    <w:lvl w:ilvl="2" w:tplc="A2C866C2">
      <w:start w:val="1"/>
      <w:numFmt w:val="bullet"/>
      <w:lvlText w:val=""/>
      <w:lvlJc w:val="left"/>
      <w:pPr>
        <w:tabs>
          <w:tab w:val="num" w:pos="2160"/>
        </w:tabs>
        <w:ind w:left="2160" w:hanging="360"/>
      </w:pPr>
      <w:rPr>
        <w:rFonts w:ascii="Wingdings" w:hAnsi="Wingdings" w:hint="default"/>
      </w:rPr>
    </w:lvl>
    <w:lvl w:ilvl="3" w:tplc="B934B03C" w:tentative="1">
      <w:start w:val="1"/>
      <w:numFmt w:val="bullet"/>
      <w:lvlText w:val=""/>
      <w:lvlJc w:val="left"/>
      <w:pPr>
        <w:tabs>
          <w:tab w:val="num" w:pos="2880"/>
        </w:tabs>
        <w:ind w:left="2880" w:hanging="360"/>
      </w:pPr>
      <w:rPr>
        <w:rFonts w:ascii="Wingdings" w:hAnsi="Wingdings" w:hint="default"/>
      </w:rPr>
    </w:lvl>
    <w:lvl w:ilvl="4" w:tplc="8F260ECE" w:tentative="1">
      <w:start w:val="1"/>
      <w:numFmt w:val="bullet"/>
      <w:lvlText w:val=""/>
      <w:lvlJc w:val="left"/>
      <w:pPr>
        <w:tabs>
          <w:tab w:val="num" w:pos="3600"/>
        </w:tabs>
        <w:ind w:left="3600" w:hanging="360"/>
      </w:pPr>
      <w:rPr>
        <w:rFonts w:ascii="Wingdings" w:hAnsi="Wingdings" w:hint="default"/>
      </w:rPr>
    </w:lvl>
    <w:lvl w:ilvl="5" w:tplc="3CB65F52" w:tentative="1">
      <w:start w:val="1"/>
      <w:numFmt w:val="bullet"/>
      <w:lvlText w:val=""/>
      <w:lvlJc w:val="left"/>
      <w:pPr>
        <w:tabs>
          <w:tab w:val="num" w:pos="4320"/>
        </w:tabs>
        <w:ind w:left="4320" w:hanging="360"/>
      </w:pPr>
      <w:rPr>
        <w:rFonts w:ascii="Wingdings" w:hAnsi="Wingdings" w:hint="default"/>
      </w:rPr>
    </w:lvl>
    <w:lvl w:ilvl="6" w:tplc="25B4D528" w:tentative="1">
      <w:start w:val="1"/>
      <w:numFmt w:val="bullet"/>
      <w:lvlText w:val=""/>
      <w:lvlJc w:val="left"/>
      <w:pPr>
        <w:tabs>
          <w:tab w:val="num" w:pos="5040"/>
        </w:tabs>
        <w:ind w:left="5040" w:hanging="360"/>
      </w:pPr>
      <w:rPr>
        <w:rFonts w:ascii="Wingdings" w:hAnsi="Wingdings" w:hint="default"/>
      </w:rPr>
    </w:lvl>
    <w:lvl w:ilvl="7" w:tplc="ED509F16" w:tentative="1">
      <w:start w:val="1"/>
      <w:numFmt w:val="bullet"/>
      <w:lvlText w:val=""/>
      <w:lvlJc w:val="left"/>
      <w:pPr>
        <w:tabs>
          <w:tab w:val="num" w:pos="5760"/>
        </w:tabs>
        <w:ind w:left="5760" w:hanging="360"/>
      </w:pPr>
      <w:rPr>
        <w:rFonts w:ascii="Wingdings" w:hAnsi="Wingdings" w:hint="default"/>
      </w:rPr>
    </w:lvl>
    <w:lvl w:ilvl="8" w:tplc="B0A434CA"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154665C"/>
    <w:multiLevelType w:val="multilevel"/>
    <w:tmpl w:val="557278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3C81FB8"/>
    <w:multiLevelType w:val="hybridMultilevel"/>
    <w:tmpl w:val="2B885948"/>
    <w:lvl w:ilvl="0" w:tplc="D76A8EB0">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7E16AAFE">
      <w:numFmt w:val="bullet"/>
      <w:lvlText w:val="-"/>
      <w:lvlJc w:val="left"/>
      <w:pPr>
        <w:ind w:left="2880" w:hanging="360"/>
      </w:pPr>
      <w:rPr>
        <w:rFonts w:ascii="Times New Roman" w:eastAsia="SimSun" w:hAnsi="Times New Roman" w:cs="Times New Roman"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4A373C3"/>
    <w:multiLevelType w:val="hybridMultilevel"/>
    <w:tmpl w:val="184EBFC0"/>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40" w15:restartNumberingAfterBreak="0">
    <w:nsid w:val="77507D60"/>
    <w:multiLevelType w:val="hybridMultilevel"/>
    <w:tmpl w:val="4F748750"/>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BC330F5"/>
    <w:multiLevelType w:val="hybridMultilevel"/>
    <w:tmpl w:val="C2769C2A"/>
    <w:lvl w:ilvl="0" w:tplc="FFFFFFFF">
      <w:start w:val="1"/>
      <w:numFmt w:val="bullet"/>
      <w:pStyle w:val="CharCharCharCharChar"/>
      <w:lvlText w:val=""/>
      <w:lvlJc w:val="left"/>
      <w:pPr>
        <w:tabs>
          <w:tab w:val="num" w:pos="851"/>
        </w:tabs>
        <w:ind w:left="851" w:hanging="851"/>
      </w:pPr>
      <w:rPr>
        <w:rFonts w:ascii="New York" w:hAnsi="New York" w:hint="default"/>
        <w:b/>
        <w:i w:val="0"/>
        <w:color w:val="70CEF5"/>
        <w:sz w:val="20"/>
        <w:szCs w:val="20"/>
      </w:rPr>
    </w:lvl>
    <w:lvl w:ilvl="1" w:tplc="FFFFFFFF">
      <w:start w:val="1"/>
      <w:numFmt w:val="bullet"/>
      <w:lvlText w:val="o"/>
      <w:lvlJc w:val="left"/>
      <w:pPr>
        <w:tabs>
          <w:tab w:val="num" w:pos="1440"/>
        </w:tabs>
        <w:ind w:left="1440" w:hanging="360"/>
      </w:pPr>
      <w:rPr>
        <w:rFonts w:ascii="New York" w:hAnsi="New York" w:cs="New York" w:hint="default"/>
      </w:rPr>
    </w:lvl>
    <w:lvl w:ilvl="2" w:tplc="FFFFFFFF" w:tentative="1">
      <w:start w:val="1"/>
      <w:numFmt w:val="bullet"/>
      <w:lvlText w:val=""/>
      <w:lvlJc w:val="left"/>
      <w:pPr>
        <w:tabs>
          <w:tab w:val="num" w:pos="2160"/>
        </w:tabs>
        <w:ind w:left="2160" w:hanging="360"/>
      </w:pPr>
      <w:rPr>
        <w:rFonts w:ascii="New York" w:hAnsi="New York"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New York" w:hAnsi="New York" w:cs="New York" w:hint="default"/>
      </w:rPr>
    </w:lvl>
    <w:lvl w:ilvl="5" w:tplc="FFFFFFFF" w:tentative="1">
      <w:start w:val="1"/>
      <w:numFmt w:val="bullet"/>
      <w:lvlText w:val=""/>
      <w:lvlJc w:val="left"/>
      <w:pPr>
        <w:tabs>
          <w:tab w:val="num" w:pos="4320"/>
        </w:tabs>
        <w:ind w:left="4320" w:hanging="360"/>
      </w:pPr>
      <w:rPr>
        <w:rFonts w:ascii="New York" w:hAnsi="New York"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New York" w:hAnsi="New York" w:cs="New York" w:hint="default"/>
      </w:rPr>
    </w:lvl>
    <w:lvl w:ilvl="8" w:tplc="FFFFFFFF" w:tentative="1">
      <w:start w:val="1"/>
      <w:numFmt w:val="bullet"/>
      <w:lvlText w:val=""/>
      <w:lvlJc w:val="left"/>
      <w:pPr>
        <w:tabs>
          <w:tab w:val="num" w:pos="6480"/>
        </w:tabs>
        <w:ind w:left="6480" w:hanging="360"/>
      </w:pPr>
      <w:rPr>
        <w:rFonts w:ascii="New York" w:hAnsi="New York" w:hint="default"/>
      </w:rPr>
    </w:lvl>
  </w:abstractNum>
  <w:abstractNum w:abstractNumId="42" w15:restartNumberingAfterBreak="0">
    <w:nsid w:val="7C31412B"/>
    <w:multiLevelType w:val="multilevel"/>
    <w:tmpl w:val="834688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7F1F0BDA"/>
    <w:multiLevelType w:val="multilevel"/>
    <w:tmpl w:val="A81012A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abstractNumId w:val="14"/>
  </w:num>
  <w:num w:numId="2">
    <w:abstractNumId w:val="13"/>
  </w:num>
  <w:num w:numId="3">
    <w:abstractNumId w:val="15"/>
  </w:num>
  <w:num w:numId="4">
    <w:abstractNumId w:val="1"/>
  </w:num>
  <w:num w:numId="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1"/>
  </w:num>
  <w:num w:numId="7">
    <w:abstractNumId w:val="28"/>
  </w:num>
  <w:num w:numId="8">
    <w:abstractNumId w:val="38"/>
  </w:num>
  <w:num w:numId="9">
    <w:abstractNumId w:val="3"/>
  </w:num>
  <w:num w:numId="10">
    <w:abstractNumId w:val="40"/>
  </w:num>
  <w:num w:numId="11">
    <w:abstractNumId w:val="7"/>
  </w:num>
  <w:num w:numId="12">
    <w:abstractNumId w:val="8"/>
  </w:num>
  <w:num w:numId="13">
    <w:abstractNumId w:val="42"/>
  </w:num>
  <w:num w:numId="14">
    <w:abstractNumId w:val="25"/>
  </w:num>
  <w:num w:numId="15">
    <w:abstractNumId w:val="32"/>
  </w:num>
  <w:num w:numId="16">
    <w:abstractNumId w:val="20"/>
  </w:num>
  <w:num w:numId="17">
    <w:abstractNumId w:val="2"/>
  </w:num>
  <w:num w:numId="18">
    <w:abstractNumId w:val="19"/>
  </w:num>
  <w:num w:numId="19">
    <w:abstractNumId w:val="30"/>
  </w:num>
  <w:num w:numId="20">
    <w:abstractNumId w:val="16"/>
  </w:num>
  <w:num w:numId="21">
    <w:abstractNumId w:val="34"/>
  </w:num>
  <w:num w:numId="22">
    <w:abstractNumId w:val="6"/>
  </w:num>
  <w:num w:numId="23">
    <w:abstractNumId w:val="35"/>
  </w:num>
  <w:num w:numId="24">
    <w:abstractNumId w:val="24"/>
  </w:num>
  <w:num w:numId="25">
    <w:abstractNumId w:val="28"/>
  </w:num>
  <w:num w:numId="26">
    <w:abstractNumId w:val="36"/>
  </w:num>
  <w:num w:numId="27">
    <w:abstractNumId w:val="26"/>
  </w:num>
  <w:num w:numId="28">
    <w:abstractNumId w:val="12"/>
  </w:num>
  <w:num w:numId="29">
    <w:abstractNumId w:val="39"/>
  </w:num>
  <w:num w:numId="30">
    <w:abstractNumId w:val="9"/>
  </w:num>
  <w:num w:numId="31">
    <w:abstractNumId w:val="10"/>
  </w:num>
  <w:num w:numId="32">
    <w:abstractNumId w:val="23"/>
  </w:num>
  <w:num w:numId="33">
    <w:abstractNumId w:val="21"/>
  </w:num>
  <w:num w:numId="34">
    <w:abstractNumId w:val="37"/>
  </w:num>
  <w:num w:numId="35">
    <w:abstractNumId w:val="31"/>
  </w:num>
  <w:num w:numId="36">
    <w:abstractNumId w:val="4"/>
  </w:num>
  <w:num w:numId="37">
    <w:abstractNumId w:val="27"/>
  </w:num>
  <w:num w:numId="38">
    <w:abstractNumId w:val="43"/>
  </w:num>
  <w:num w:numId="39">
    <w:abstractNumId w:val="5"/>
  </w:num>
  <w:num w:numId="40">
    <w:abstractNumId w:val="17"/>
  </w:num>
  <w:num w:numId="41">
    <w:abstractNumId w:val="33"/>
  </w:num>
  <w:num w:numId="42">
    <w:abstractNumId w:val="22"/>
  </w:num>
  <w:num w:numId="43">
    <w:abstractNumId w:val="18"/>
  </w:num>
  <w:num w:numId="44">
    <w:abstractNumId w:val="29"/>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44"/>
  <w:doNotDisplayPageBoundaries/>
  <w:printFractionalCharacterWidth/>
  <w:embedSystemFonts/>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ru-RU" w:vendorID="64" w:dllVersion="6" w:nlCheck="1" w:checkStyle="0"/>
  <w:activeWritingStyle w:appName="MSWord" w:lang="de-DE" w:vendorID="64" w:dllVersion="4096" w:nlCheck="1" w:checkStyle="0"/>
  <w:activeWritingStyle w:appName="MSWord" w:lang="en-GB" w:vendorID="64" w:dllVersion="4096" w:nlCheck="1" w:checkStyle="0"/>
  <w:activeWritingStyle w:appName="MSWord" w:lang="en-US" w:vendorID="64" w:dllVersion="4096" w:nlCheck="1" w:checkStyle="0"/>
  <w:activeWritingStyle w:appName="MSWord" w:lang="fi-FI" w:vendorID="64" w:dllVersion="4096" w:nlCheck="1" w:checkStyle="0"/>
  <w:activeWritingStyle w:appName="MSWord" w:lang="en-US" w:vendorID="64" w:dllVersion="0" w:nlCheck="1" w:checkStyle="0"/>
  <w:activeWritingStyle w:appName="MSWord" w:lang="en-GB" w:vendorID="64" w:dllVersion="0" w:nlCheck="1" w:checkStyle="0"/>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doNotHyphenateCaps/>
  <w:drawingGridHorizontalSpacing w:val="100"/>
  <w:displayHorizontalDrawingGridEvery w:val="0"/>
  <w:displayVerticalDrawingGridEvery w:val="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10FA"/>
    <w:rsid w:val="00000096"/>
    <w:rsid w:val="000000A2"/>
    <w:rsid w:val="00000260"/>
    <w:rsid w:val="000004CA"/>
    <w:rsid w:val="00000515"/>
    <w:rsid w:val="000006E7"/>
    <w:rsid w:val="00000C06"/>
    <w:rsid w:val="00000ECA"/>
    <w:rsid w:val="00000F2A"/>
    <w:rsid w:val="00001FC3"/>
    <w:rsid w:val="000020C0"/>
    <w:rsid w:val="00002375"/>
    <w:rsid w:val="00002459"/>
    <w:rsid w:val="00003131"/>
    <w:rsid w:val="000031AB"/>
    <w:rsid w:val="00003772"/>
    <w:rsid w:val="000037FB"/>
    <w:rsid w:val="00003C60"/>
    <w:rsid w:val="00004039"/>
    <w:rsid w:val="00004885"/>
    <w:rsid w:val="00004AF6"/>
    <w:rsid w:val="00004CD0"/>
    <w:rsid w:val="00004D8C"/>
    <w:rsid w:val="00004DCB"/>
    <w:rsid w:val="000051F0"/>
    <w:rsid w:val="00005327"/>
    <w:rsid w:val="0000553B"/>
    <w:rsid w:val="000056EA"/>
    <w:rsid w:val="00005F73"/>
    <w:rsid w:val="000065C2"/>
    <w:rsid w:val="00006780"/>
    <w:rsid w:val="00006C7A"/>
    <w:rsid w:val="00007113"/>
    <w:rsid w:val="000072BD"/>
    <w:rsid w:val="000074A3"/>
    <w:rsid w:val="0000792C"/>
    <w:rsid w:val="00007CEF"/>
    <w:rsid w:val="000101EF"/>
    <w:rsid w:val="000106BA"/>
    <w:rsid w:val="00010739"/>
    <w:rsid w:val="0001078E"/>
    <w:rsid w:val="00010E97"/>
    <w:rsid w:val="00010FD1"/>
    <w:rsid w:val="0001137B"/>
    <w:rsid w:val="00011519"/>
    <w:rsid w:val="00011595"/>
    <w:rsid w:val="00011703"/>
    <w:rsid w:val="000118B4"/>
    <w:rsid w:val="00011AB7"/>
    <w:rsid w:val="000121EC"/>
    <w:rsid w:val="000124D1"/>
    <w:rsid w:val="0001266C"/>
    <w:rsid w:val="00012D90"/>
    <w:rsid w:val="00012DCC"/>
    <w:rsid w:val="0001321B"/>
    <w:rsid w:val="000137FF"/>
    <w:rsid w:val="00013A7B"/>
    <w:rsid w:val="00013B23"/>
    <w:rsid w:val="00013B63"/>
    <w:rsid w:val="00014035"/>
    <w:rsid w:val="000141F0"/>
    <w:rsid w:val="00015204"/>
    <w:rsid w:val="00015BCB"/>
    <w:rsid w:val="00015FB7"/>
    <w:rsid w:val="00016013"/>
    <w:rsid w:val="000162B2"/>
    <w:rsid w:val="000167D1"/>
    <w:rsid w:val="00016B56"/>
    <w:rsid w:val="00016DCE"/>
    <w:rsid w:val="00016DDC"/>
    <w:rsid w:val="0001729B"/>
    <w:rsid w:val="00017309"/>
    <w:rsid w:val="00017BE2"/>
    <w:rsid w:val="00020331"/>
    <w:rsid w:val="0002033F"/>
    <w:rsid w:val="00020483"/>
    <w:rsid w:val="000205C1"/>
    <w:rsid w:val="000208B8"/>
    <w:rsid w:val="00020D61"/>
    <w:rsid w:val="00020E8F"/>
    <w:rsid w:val="0002130A"/>
    <w:rsid w:val="00021592"/>
    <w:rsid w:val="0002165C"/>
    <w:rsid w:val="00021AE1"/>
    <w:rsid w:val="00021B70"/>
    <w:rsid w:val="00021BDC"/>
    <w:rsid w:val="00021C67"/>
    <w:rsid w:val="00021DEC"/>
    <w:rsid w:val="00021E1F"/>
    <w:rsid w:val="00021E89"/>
    <w:rsid w:val="000222F7"/>
    <w:rsid w:val="000228C4"/>
    <w:rsid w:val="00022BCE"/>
    <w:rsid w:val="0002387B"/>
    <w:rsid w:val="00023985"/>
    <w:rsid w:val="00023C29"/>
    <w:rsid w:val="00024A87"/>
    <w:rsid w:val="00024E37"/>
    <w:rsid w:val="00024E57"/>
    <w:rsid w:val="0002506A"/>
    <w:rsid w:val="00025281"/>
    <w:rsid w:val="000254B6"/>
    <w:rsid w:val="000255A1"/>
    <w:rsid w:val="000258DD"/>
    <w:rsid w:val="0002591B"/>
    <w:rsid w:val="00025AFC"/>
    <w:rsid w:val="00025C5F"/>
    <w:rsid w:val="00025E29"/>
    <w:rsid w:val="00026019"/>
    <w:rsid w:val="000266AD"/>
    <w:rsid w:val="000266AE"/>
    <w:rsid w:val="00026905"/>
    <w:rsid w:val="00026977"/>
    <w:rsid w:val="000269C8"/>
    <w:rsid w:val="00026AF7"/>
    <w:rsid w:val="00026EF9"/>
    <w:rsid w:val="00027333"/>
    <w:rsid w:val="0002790C"/>
    <w:rsid w:val="00027A15"/>
    <w:rsid w:val="00027E41"/>
    <w:rsid w:val="000300FE"/>
    <w:rsid w:val="00030766"/>
    <w:rsid w:val="00030A6A"/>
    <w:rsid w:val="00030ED5"/>
    <w:rsid w:val="00030F74"/>
    <w:rsid w:val="00031242"/>
    <w:rsid w:val="00031AF3"/>
    <w:rsid w:val="00031BD0"/>
    <w:rsid w:val="00031C7D"/>
    <w:rsid w:val="00031E02"/>
    <w:rsid w:val="00031EDD"/>
    <w:rsid w:val="000321DC"/>
    <w:rsid w:val="00032A64"/>
    <w:rsid w:val="000334D2"/>
    <w:rsid w:val="00033834"/>
    <w:rsid w:val="00033A55"/>
    <w:rsid w:val="00033AB8"/>
    <w:rsid w:val="00033AE8"/>
    <w:rsid w:val="00033E5C"/>
    <w:rsid w:val="00034698"/>
    <w:rsid w:val="00034787"/>
    <w:rsid w:val="00034805"/>
    <w:rsid w:val="000349B7"/>
    <w:rsid w:val="000349F1"/>
    <w:rsid w:val="00034C16"/>
    <w:rsid w:val="00034DC2"/>
    <w:rsid w:val="000350B6"/>
    <w:rsid w:val="0003540B"/>
    <w:rsid w:val="00035518"/>
    <w:rsid w:val="0003572F"/>
    <w:rsid w:val="000358EB"/>
    <w:rsid w:val="00035CAB"/>
    <w:rsid w:val="000361C6"/>
    <w:rsid w:val="0003667C"/>
    <w:rsid w:val="00036A16"/>
    <w:rsid w:val="00036C45"/>
    <w:rsid w:val="00036FA7"/>
    <w:rsid w:val="00037419"/>
    <w:rsid w:val="000374AD"/>
    <w:rsid w:val="000377E3"/>
    <w:rsid w:val="00037910"/>
    <w:rsid w:val="00037A21"/>
    <w:rsid w:val="00037AF6"/>
    <w:rsid w:val="00037D3E"/>
    <w:rsid w:val="00037DFF"/>
    <w:rsid w:val="000404F2"/>
    <w:rsid w:val="00040F7A"/>
    <w:rsid w:val="00041146"/>
    <w:rsid w:val="000412B7"/>
    <w:rsid w:val="000413B8"/>
    <w:rsid w:val="000415EC"/>
    <w:rsid w:val="0004182E"/>
    <w:rsid w:val="000418C8"/>
    <w:rsid w:val="00041AEE"/>
    <w:rsid w:val="00042397"/>
    <w:rsid w:val="00042527"/>
    <w:rsid w:val="000426B1"/>
    <w:rsid w:val="000428D0"/>
    <w:rsid w:val="000429CD"/>
    <w:rsid w:val="00042BFC"/>
    <w:rsid w:val="000430CF"/>
    <w:rsid w:val="00043607"/>
    <w:rsid w:val="00043703"/>
    <w:rsid w:val="0004403C"/>
    <w:rsid w:val="000441EC"/>
    <w:rsid w:val="00044225"/>
    <w:rsid w:val="00044359"/>
    <w:rsid w:val="000444AD"/>
    <w:rsid w:val="00044576"/>
    <w:rsid w:val="00044A60"/>
    <w:rsid w:val="00044D26"/>
    <w:rsid w:val="00044FC4"/>
    <w:rsid w:val="000451E5"/>
    <w:rsid w:val="000453F6"/>
    <w:rsid w:val="000458CB"/>
    <w:rsid w:val="00045AC3"/>
    <w:rsid w:val="00045B15"/>
    <w:rsid w:val="00046CD6"/>
    <w:rsid w:val="00046CE4"/>
    <w:rsid w:val="00046F9A"/>
    <w:rsid w:val="0004713D"/>
    <w:rsid w:val="000472F3"/>
    <w:rsid w:val="0004730E"/>
    <w:rsid w:val="0004746D"/>
    <w:rsid w:val="000475B5"/>
    <w:rsid w:val="0004778C"/>
    <w:rsid w:val="000477BB"/>
    <w:rsid w:val="0004781D"/>
    <w:rsid w:val="00047A68"/>
    <w:rsid w:val="00047A82"/>
    <w:rsid w:val="00047B58"/>
    <w:rsid w:val="00047D3D"/>
    <w:rsid w:val="0005055B"/>
    <w:rsid w:val="000505B9"/>
    <w:rsid w:val="000505E0"/>
    <w:rsid w:val="00050A0A"/>
    <w:rsid w:val="00050A7A"/>
    <w:rsid w:val="00050D96"/>
    <w:rsid w:val="00051135"/>
    <w:rsid w:val="00051586"/>
    <w:rsid w:val="000516F0"/>
    <w:rsid w:val="00051C12"/>
    <w:rsid w:val="00051C70"/>
    <w:rsid w:val="0005201C"/>
    <w:rsid w:val="000528EA"/>
    <w:rsid w:val="0005291A"/>
    <w:rsid w:val="00052AE3"/>
    <w:rsid w:val="00052C5E"/>
    <w:rsid w:val="000531A8"/>
    <w:rsid w:val="0005330B"/>
    <w:rsid w:val="0005382E"/>
    <w:rsid w:val="00053849"/>
    <w:rsid w:val="00053A47"/>
    <w:rsid w:val="0005456E"/>
    <w:rsid w:val="00054614"/>
    <w:rsid w:val="0005468A"/>
    <w:rsid w:val="00054970"/>
    <w:rsid w:val="00054A5B"/>
    <w:rsid w:val="00054ACE"/>
    <w:rsid w:val="00054AD7"/>
    <w:rsid w:val="00054AD9"/>
    <w:rsid w:val="00054DAB"/>
    <w:rsid w:val="0005504C"/>
    <w:rsid w:val="00055873"/>
    <w:rsid w:val="00055B8E"/>
    <w:rsid w:val="0005602E"/>
    <w:rsid w:val="00056057"/>
    <w:rsid w:val="00056235"/>
    <w:rsid w:val="0005684D"/>
    <w:rsid w:val="00056ABA"/>
    <w:rsid w:val="00056E02"/>
    <w:rsid w:val="000572A7"/>
    <w:rsid w:val="00057460"/>
    <w:rsid w:val="00057496"/>
    <w:rsid w:val="000574E1"/>
    <w:rsid w:val="00057511"/>
    <w:rsid w:val="00057817"/>
    <w:rsid w:val="00057A18"/>
    <w:rsid w:val="00057AD4"/>
    <w:rsid w:val="00057DF9"/>
    <w:rsid w:val="00057E3B"/>
    <w:rsid w:val="00057EA8"/>
    <w:rsid w:val="00057F2C"/>
    <w:rsid w:val="00057F68"/>
    <w:rsid w:val="00057F6C"/>
    <w:rsid w:val="00057FE7"/>
    <w:rsid w:val="00060586"/>
    <w:rsid w:val="00060F2F"/>
    <w:rsid w:val="00060FDB"/>
    <w:rsid w:val="000612B0"/>
    <w:rsid w:val="000612C5"/>
    <w:rsid w:val="00061C96"/>
    <w:rsid w:val="00061E34"/>
    <w:rsid w:val="000621A9"/>
    <w:rsid w:val="00062595"/>
    <w:rsid w:val="0006263A"/>
    <w:rsid w:val="0006290F"/>
    <w:rsid w:val="000632FF"/>
    <w:rsid w:val="00063485"/>
    <w:rsid w:val="00063CA3"/>
    <w:rsid w:val="00063F57"/>
    <w:rsid w:val="00063F9F"/>
    <w:rsid w:val="00064224"/>
    <w:rsid w:val="000642ED"/>
    <w:rsid w:val="0006436D"/>
    <w:rsid w:val="0006480B"/>
    <w:rsid w:val="00064A18"/>
    <w:rsid w:val="00064A2B"/>
    <w:rsid w:val="00065220"/>
    <w:rsid w:val="0006549C"/>
    <w:rsid w:val="00065636"/>
    <w:rsid w:val="0006570E"/>
    <w:rsid w:val="00065D64"/>
    <w:rsid w:val="000667D1"/>
    <w:rsid w:val="00066942"/>
    <w:rsid w:val="000669D5"/>
    <w:rsid w:val="00066BB7"/>
    <w:rsid w:val="00066E05"/>
    <w:rsid w:val="00066FE3"/>
    <w:rsid w:val="00067087"/>
    <w:rsid w:val="000671F8"/>
    <w:rsid w:val="0006739D"/>
    <w:rsid w:val="00067436"/>
    <w:rsid w:val="000674DD"/>
    <w:rsid w:val="0006777C"/>
    <w:rsid w:val="00067FE2"/>
    <w:rsid w:val="00070237"/>
    <w:rsid w:val="00070378"/>
    <w:rsid w:val="00070C76"/>
    <w:rsid w:val="00070E7B"/>
    <w:rsid w:val="0007118F"/>
    <w:rsid w:val="000711FC"/>
    <w:rsid w:val="00071392"/>
    <w:rsid w:val="00071394"/>
    <w:rsid w:val="000716FB"/>
    <w:rsid w:val="00071E9B"/>
    <w:rsid w:val="00071F99"/>
    <w:rsid w:val="000720B1"/>
    <w:rsid w:val="00072B29"/>
    <w:rsid w:val="00072E75"/>
    <w:rsid w:val="00072EFA"/>
    <w:rsid w:val="00073219"/>
    <w:rsid w:val="00073785"/>
    <w:rsid w:val="000739E8"/>
    <w:rsid w:val="00073D56"/>
    <w:rsid w:val="00074375"/>
    <w:rsid w:val="000743A0"/>
    <w:rsid w:val="000748A2"/>
    <w:rsid w:val="00074A66"/>
    <w:rsid w:val="00074AEA"/>
    <w:rsid w:val="00074BF5"/>
    <w:rsid w:val="00074E65"/>
    <w:rsid w:val="000752CD"/>
    <w:rsid w:val="0007555E"/>
    <w:rsid w:val="00075680"/>
    <w:rsid w:val="000756C6"/>
    <w:rsid w:val="0007590A"/>
    <w:rsid w:val="00075999"/>
    <w:rsid w:val="00075FE3"/>
    <w:rsid w:val="00076622"/>
    <w:rsid w:val="00076775"/>
    <w:rsid w:val="00076D63"/>
    <w:rsid w:val="00077579"/>
    <w:rsid w:val="00077A78"/>
    <w:rsid w:val="00077DCF"/>
    <w:rsid w:val="00080170"/>
    <w:rsid w:val="00080175"/>
    <w:rsid w:val="000805B2"/>
    <w:rsid w:val="00080786"/>
    <w:rsid w:val="00080D46"/>
    <w:rsid w:val="00080D74"/>
    <w:rsid w:val="00080E2A"/>
    <w:rsid w:val="00081E68"/>
    <w:rsid w:val="00082152"/>
    <w:rsid w:val="000826FF"/>
    <w:rsid w:val="000829D7"/>
    <w:rsid w:val="00082A49"/>
    <w:rsid w:val="00082AA1"/>
    <w:rsid w:val="00082C27"/>
    <w:rsid w:val="00082DA4"/>
    <w:rsid w:val="00082E54"/>
    <w:rsid w:val="0008318E"/>
    <w:rsid w:val="00083322"/>
    <w:rsid w:val="000833CA"/>
    <w:rsid w:val="000836DA"/>
    <w:rsid w:val="00083788"/>
    <w:rsid w:val="00083B26"/>
    <w:rsid w:val="00083F02"/>
    <w:rsid w:val="00083FE2"/>
    <w:rsid w:val="00084255"/>
    <w:rsid w:val="0008430A"/>
    <w:rsid w:val="00084937"/>
    <w:rsid w:val="00085239"/>
    <w:rsid w:val="00085E32"/>
    <w:rsid w:val="000861E4"/>
    <w:rsid w:val="000861FC"/>
    <w:rsid w:val="0008629E"/>
    <w:rsid w:val="000862BA"/>
    <w:rsid w:val="00086B50"/>
    <w:rsid w:val="00086C4D"/>
    <w:rsid w:val="00086CF2"/>
    <w:rsid w:val="0008731C"/>
    <w:rsid w:val="0008760B"/>
    <w:rsid w:val="00087881"/>
    <w:rsid w:val="00087BAB"/>
    <w:rsid w:val="00087E29"/>
    <w:rsid w:val="00087F45"/>
    <w:rsid w:val="00087F91"/>
    <w:rsid w:val="00090573"/>
    <w:rsid w:val="00090586"/>
    <w:rsid w:val="00090653"/>
    <w:rsid w:val="00090F49"/>
    <w:rsid w:val="00091714"/>
    <w:rsid w:val="00091C21"/>
    <w:rsid w:val="000921E3"/>
    <w:rsid w:val="00092334"/>
    <w:rsid w:val="000923BD"/>
    <w:rsid w:val="000931C3"/>
    <w:rsid w:val="000938A0"/>
    <w:rsid w:val="00093B72"/>
    <w:rsid w:val="0009437A"/>
    <w:rsid w:val="000947B7"/>
    <w:rsid w:val="0009532E"/>
    <w:rsid w:val="00095540"/>
    <w:rsid w:val="00095671"/>
    <w:rsid w:val="00095920"/>
    <w:rsid w:val="00095F53"/>
    <w:rsid w:val="0009612D"/>
    <w:rsid w:val="00096170"/>
    <w:rsid w:val="0009653B"/>
    <w:rsid w:val="0009680E"/>
    <w:rsid w:val="000968CF"/>
    <w:rsid w:val="000968D8"/>
    <w:rsid w:val="00096CF2"/>
    <w:rsid w:val="0009709B"/>
    <w:rsid w:val="000976D0"/>
    <w:rsid w:val="000979F0"/>
    <w:rsid w:val="00097A51"/>
    <w:rsid w:val="00097AE8"/>
    <w:rsid w:val="000A0296"/>
    <w:rsid w:val="000A02DC"/>
    <w:rsid w:val="000A0ADA"/>
    <w:rsid w:val="000A0C0B"/>
    <w:rsid w:val="000A0CA1"/>
    <w:rsid w:val="000A0E99"/>
    <w:rsid w:val="000A0F08"/>
    <w:rsid w:val="000A0F82"/>
    <w:rsid w:val="000A0F8E"/>
    <w:rsid w:val="000A1089"/>
    <w:rsid w:val="000A11BB"/>
    <w:rsid w:val="000A1AD3"/>
    <w:rsid w:val="000A1AF5"/>
    <w:rsid w:val="000A1BC0"/>
    <w:rsid w:val="000A1D49"/>
    <w:rsid w:val="000A1F8D"/>
    <w:rsid w:val="000A23B7"/>
    <w:rsid w:val="000A2D70"/>
    <w:rsid w:val="000A3A3A"/>
    <w:rsid w:val="000A3ACB"/>
    <w:rsid w:val="000A3CD6"/>
    <w:rsid w:val="000A413E"/>
    <w:rsid w:val="000A4492"/>
    <w:rsid w:val="000A4519"/>
    <w:rsid w:val="000A49DE"/>
    <w:rsid w:val="000A4B74"/>
    <w:rsid w:val="000A52B9"/>
    <w:rsid w:val="000A54DF"/>
    <w:rsid w:val="000A5A3D"/>
    <w:rsid w:val="000A5AD9"/>
    <w:rsid w:val="000A5AE2"/>
    <w:rsid w:val="000A5B09"/>
    <w:rsid w:val="000A5D82"/>
    <w:rsid w:val="000A605D"/>
    <w:rsid w:val="000A61CB"/>
    <w:rsid w:val="000A628E"/>
    <w:rsid w:val="000A64B8"/>
    <w:rsid w:val="000A6788"/>
    <w:rsid w:val="000A68D7"/>
    <w:rsid w:val="000A6AC6"/>
    <w:rsid w:val="000A6CFE"/>
    <w:rsid w:val="000A6EAA"/>
    <w:rsid w:val="000A72D0"/>
    <w:rsid w:val="000A7955"/>
    <w:rsid w:val="000A79C7"/>
    <w:rsid w:val="000A7C88"/>
    <w:rsid w:val="000A7E17"/>
    <w:rsid w:val="000B0190"/>
    <w:rsid w:val="000B02C2"/>
    <w:rsid w:val="000B02FC"/>
    <w:rsid w:val="000B041B"/>
    <w:rsid w:val="000B081C"/>
    <w:rsid w:val="000B0A45"/>
    <w:rsid w:val="000B10AB"/>
    <w:rsid w:val="000B12E0"/>
    <w:rsid w:val="000B1751"/>
    <w:rsid w:val="000B17A1"/>
    <w:rsid w:val="000B191D"/>
    <w:rsid w:val="000B1CD3"/>
    <w:rsid w:val="000B1F13"/>
    <w:rsid w:val="000B22B6"/>
    <w:rsid w:val="000B24CD"/>
    <w:rsid w:val="000B2557"/>
    <w:rsid w:val="000B256B"/>
    <w:rsid w:val="000B2619"/>
    <w:rsid w:val="000B2BFA"/>
    <w:rsid w:val="000B32D4"/>
    <w:rsid w:val="000B38DA"/>
    <w:rsid w:val="000B3F37"/>
    <w:rsid w:val="000B4080"/>
    <w:rsid w:val="000B4083"/>
    <w:rsid w:val="000B463C"/>
    <w:rsid w:val="000B49D7"/>
    <w:rsid w:val="000B4EA5"/>
    <w:rsid w:val="000B53AF"/>
    <w:rsid w:val="000B546F"/>
    <w:rsid w:val="000B5642"/>
    <w:rsid w:val="000B5CFE"/>
    <w:rsid w:val="000B60B9"/>
    <w:rsid w:val="000B6199"/>
    <w:rsid w:val="000B6338"/>
    <w:rsid w:val="000B63FD"/>
    <w:rsid w:val="000B65BE"/>
    <w:rsid w:val="000B6BDF"/>
    <w:rsid w:val="000B6E2D"/>
    <w:rsid w:val="000B71B6"/>
    <w:rsid w:val="000B7238"/>
    <w:rsid w:val="000B7387"/>
    <w:rsid w:val="000B7669"/>
    <w:rsid w:val="000B76BB"/>
    <w:rsid w:val="000B77E6"/>
    <w:rsid w:val="000B7896"/>
    <w:rsid w:val="000B7D5E"/>
    <w:rsid w:val="000C133A"/>
    <w:rsid w:val="000C15EE"/>
    <w:rsid w:val="000C1DBD"/>
    <w:rsid w:val="000C1F69"/>
    <w:rsid w:val="000C2635"/>
    <w:rsid w:val="000C2CEB"/>
    <w:rsid w:val="000C2DE1"/>
    <w:rsid w:val="000C3209"/>
    <w:rsid w:val="000C37B2"/>
    <w:rsid w:val="000C393F"/>
    <w:rsid w:val="000C395B"/>
    <w:rsid w:val="000C3987"/>
    <w:rsid w:val="000C3F16"/>
    <w:rsid w:val="000C4C76"/>
    <w:rsid w:val="000C54A6"/>
    <w:rsid w:val="000C550B"/>
    <w:rsid w:val="000C5759"/>
    <w:rsid w:val="000C5B91"/>
    <w:rsid w:val="000C5E7D"/>
    <w:rsid w:val="000C5E9E"/>
    <w:rsid w:val="000C6564"/>
    <w:rsid w:val="000C673C"/>
    <w:rsid w:val="000C69F8"/>
    <w:rsid w:val="000C71D9"/>
    <w:rsid w:val="000C7C3E"/>
    <w:rsid w:val="000C7CC6"/>
    <w:rsid w:val="000D037E"/>
    <w:rsid w:val="000D05DF"/>
    <w:rsid w:val="000D0A0F"/>
    <w:rsid w:val="000D0AB8"/>
    <w:rsid w:val="000D0BCC"/>
    <w:rsid w:val="000D0F9A"/>
    <w:rsid w:val="000D148D"/>
    <w:rsid w:val="000D14EB"/>
    <w:rsid w:val="000D15FC"/>
    <w:rsid w:val="000D1610"/>
    <w:rsid w:val="000D1737"/>
    <w:rsid w:val="000D206C"/>
    <w:rsid w:val="000D23C1"/>
    <w:rsid w:val="000D2AE0"/>
    <w:rsid w:val="000D2EA5"/>
    <w:rsid w:val="000D30AC"/>
    <w:rsid w:val="000D35D4"/>
    <w:rsid w:val="000D362A"/>
    <w:rsid w:val="000D37FA"/>
    <w:rsid w:val="000D3A33"/>
    <w:rsid w:val="000D3A6C"/>
    <w:rsid w:val="000D4324"/>
    <w:rsid w:val="000D46EE"/>
    <w:rsid w:val="000D4ABD"/>
    <w:rsid w:val="000D4DE6"/>
    <w:rsid w:val="000D4DFF"/>
    <w:rsid w:val="000D4E09"/>
    <w:rsid w:val="000D4F5A"/>
    <w:rsid w:val="000D55EA"/>
    <w:rsid w:val="000D55EE"/>
    <w:rsid w:val="000D5711"/>
    <w:rsid w:val="000D59D6"/>
    <w:rsid w:val="000D5AB0"/>
    <w:rsid w:val="000D5AD1"/>
    <w:rsid w:val="000D5C0C"/>
    <w:rsid w:val="000D5C91"/>
    <w:rsid w:val="000D5D29"/>
    <w:rsid w:val="000D5E4D"/>
    <w:rsid w:val="000D6262"/>
    <w:rsid w:val="000D6541"/>
    <w:rsid w:val="000D697E"/>
    <w:rsid w:val="000D6E96"/>
    <w:rsid w:val="000D711E"/>
    <w:rsid w:val="000D7268"/>
    <w:rsid w:val="000D7383"/>
    <w:rsid w:val="000D745D"/>
    <w:rsid w:val="000D75CC"/>
    <w:rsid w:val="000D75EE"/>
    <w:rsid w:val="000D7783"/>
    <w:rsid w:val="000D7A10"/>
    <w:rsid w:val="000D7C7C"/>
    <w:rsid w:val="000E011D"/>
    <w:rsid w:val="000E0706"/>
    <w:rsid w:val="000E0C4E"/>
    <w:rsid w:val="000E14B9"/>
    <w:rsid w:val="000E182B"/>
    <w:rsid w:val="000E1E8E"/>
    <w:rsid w:val="000E279B"/>
    <w:rsid w:val="000E2D41"/>
    <w:rsid w:val="000E3075"/>
    <w:rsid w:val="000E3178"/>
    <w:rsid w:val="000E3358"/>
    <w:rsid w:val="000E38ED"/>
    <w:rsid w:val="000E3F84"/>
    <w:rsid w:val="000E4216"/>
    <w:rsid w:val="000E4249"/>
    <w:rsid w:val="000E471D"/>
    <w:rsid w:val="000E47BC"/>
    <w:rsid w:val="000E48CD"/>
    <w:rsid w:val="000E4C9B"/>
    <w:rsid w:val="000E4D01"/>
    <w:rsid w:val="000E4E70"/>
    <w:rsid w:val="000E4EFD"/>
    <w:rsid w:val="000E5830"/>
    <w:rsid w:val="000E5C4E"/>
    <w:rsid w:val="000E65A7"/>
    <w:rsid w:val="000E6635"/>
    <w:rsid w:val="000E6A34"/>
    <w:rsid w:val="000E6B43"/>
    <w:rsid w:val="000E6C6D"/>
    <w:rsid w:val="000E6F62"/>
    <w:rsid w:val="000E728E"/>
    <w:rsid w:val="000E7535"/>
    <w:rsid w:val="000E75C6"/>
    <w:rsid w:val="000E7B65"/>
    <w:rsid w:val="000E7F51"/>
    <w:rsid w:val="000F00D8"/>
    <w:rsid w:val="000F04CE"/>
    <w:rsid w:val="000F0771"/>
    <w:rsid w:val="000F07AB"/>
    <w:rsid w:val="000F095B"/>
    <w:rsid w:val="000F0B56"/>
    <w:rsid w:val="000F11B4"/>
    <w:rsid w:val="000F1261"/>
    <w:rsid w:val="000F13C4"/>
    <w:rsid w:val="000F13D7"/>
    <w:rsid w:val="000F17E4"/>
    <w:rsid w:val="000F187D"/>
    <w:rsid w:val="000F1B0F"/>
    <w:rsid w:val="000F1CF3"/>
    <w:rsid w:val="000F203A"/>
    <w:rsid w:val="000F20CD"/>
    <w:rsid w:val="000F251F"/>
    <w:rsid w:val="000F26CA"/>
    <w:rsid w:val="000F2965"/>
    <w:rsid w:val="000F2A21"/>
    <w:rsid w:val="000F2E12"/>
    <w:rsid w:val="000F31B9"/>
    <w:rsid w:val="000F34C7"/>
    <w:rsid w:val="000F3755"/>
    <w:rsid w:val="000F3B40"/>
    <w:rsid w:val="000F3FFF"/>
    <w:rsid w:val="000F426F"/>
    <w:rsid w:val="000F42EA"/>
    <w:rsid w:val="000F4A11"/>
    <w:rsid w:val="000F4CAF"/>
    <w:rsid w:val="000F4D95"/>
    <w:rsid w:val="000F4F44"/>
    <w:rsid w:val="000F53CB"/>
    <w:rsid w:val="000F5C8E"/>
    <w:rsid w:val="000F5F71"/>
    <w:rsid w:val="000F61C4"/>
    <w:rsid w:val="000F654F"/>
    <w:rsid w:val="000F6646"/>
    <w:rsid w:val="000F67AF"/>
    <w:rsid w:val="000F6881"/>
    <w:rsid w:val="000F6C32"/>
    <w:rsid w:val="000F71FE"/>
    <w:rsid w:val="000F7207"/>
    <w:rsid w:val="000F77C9"/>
    <w:rsid w:val="00100097"/>
    <w:rsid w:val="001000E9"/>
    <w:rsid w:val="00100169"/>
    <w:rsid w:val="001002FF"/>
    <w:rsid w:val="0010047B"/>
    <w:rsid w:val="0010067A"/>
    <w:rsid w:val="001009B1"/>
    <w:rsid w:val="001010D1"/>
    <w:rsid w:val="00101489"/>
    <w:rsid w:val="00101513"/>
    <w:rsid w:val="0010163E"/>
    <w:rsid w:val="0010175D"/>
    <w:rsid w:val="00101A0E"/>
    <w:rsid w:val="00101ACE"/>
    <w:rsid w:val="00102147"/>
    <w:rsid w:val="00102335"/>
    <w:rsid w:val="00102D2E"/>
    <w:rsid w:val="001033D6"/>
    <w:rsid w:val="00103658"/>
    <w:rsid w:val="0010366C"/>
    <w:rsid w:val="00103C08"/>
    <w:rsid w:val="00104058"/>
    <w:rsid w:val="0010405D"/>
    <w:rsid w:val="00104228"/>
    <w:rsid w:val="00104730"/>
    <w:rsid w:val="00104A80"/>
    <w:rsid w:val="001050B7"/>
    <w:rsid w:val="0010521E"/>
    <w:rsid w:val="001052CF"/>
    <w:rsid w:val="0010558F"/>
    <w:rsid w:val="0010568A"/>
    <w:rsid w:val="00105748"/>
    <w:rsid w:val="00105820"/>
    <w:rsid w:val="0010586F"/>
    <w:rsid w:val="0010593E"/>
    <w:rsid w:val="00105CEE"/>
    <w:rsid w:val="00106324"/>
    <w:rsid w:val="00106405"/>
    <w:rsid w:val="0010660E"/>
    <w:rsid w:val="00106A95"/>
    <w:rsid w:val="00106CC3"/>
    <w:rsid w:val="00106E7E"/>
    <w:rsid w:val="001074D1"/>
    <w:rsid w:val="00107762"/>
    <w:rsid w:val="00107FD3"/>
    <w:rsid w:val="00110639"/>
    <w:rsid w:val="001106C0"/>
    <w:rsid w:val="00111114"/>
    <w:rsid w:val="00111486"/>
    <w:rsid w:val="001115C0"/>
    <w:rsid w:val="001115F4"/>
    <w:rsid w:val="001118AA"/>
    <w:rsid w:val="00111AD9"/>
    <w:rsid w:val="00111AFE"/>
    <w:rsid w:val="00111B0A"/>
    <w:rsid w:val="00111C76"/>
    <w:rsid w:val="001122B0"/>
    <w:rsid w:val="001126B0"/>
    <w:rsid w:val="00112A3D"/>
    <w:rsid w:val="00112B8F"/>
    <w:rsid w:val="00112D41"/>
    <w:rsid w:val="001134DA"/>
    <w:rsid w:val="001136ED"/>
    <w:rsid w:val="0011372B"/>
    <w:rsid w:val="001137C8"/>
    <w:rsid w:val="00113A83"/>
    <w:rsid w:val="00113D8B"/>
    <w:rsid w:val="00113D8F"/>
    <w:rsid w:val="001140FA"/>
    <w:rsid w:val="0011414D"/>
    <w:rsid w:val="001141CF"/>
    <w:rsid w:val="00114379"/>
    <w:rsid w:val="00114599"/>
    <w:rsid w:val="0011464F"/>
    <w:rsid w:val="001146A3"/>
    <w:rsid w:val="001146C6"/>
    <w:rsid w:val="001147B8"/>
    <w:rsid w:val="00114949"/>
    <w:rsid w:val="00114A39"/>
    <w:rsid w:val="00114E61"/>
    <w:rsid w:val="00114EA7"/>
    <w:rsid w:val="00114FF5"/>
    <w:rsid w:val="0011536C"/>
    <w:rsid w:val="00115480"/>
    <w:rsid w:val="00115685"/>
    <w:rsid w:val="00115716"/>
    <w:rsid w:val="0011584C"/>
    <w:rsid w:val="001158AF"/>
    <w:rsid w:val="00115968"/>
    <w:rsid w:val="00115D19"/>
    <w:rsid w:val="00115FD3"/>
    <w:rsid w:val="00116624"/>
    <w:rsid w:val="00117139"/>
    <w:rsid w:val="00117957"/>
    <w:rsid w:val="00117B4F"/>
    <w:rsid w:val="00117B90"/>
    <w:rsid w:val="001202E9"/>
    <w:rsid w:val="001203DB"/>
    <w:rsid w:val="0012079F"/>
    <w:rsid w:val="001207F3"/>
    <w:rsid w:val="001208F3"/>
    <w:rsid w:val="00120D01"/>
    <w:rsid w:val="00121316"/>
    <w:rsid w:val="0012142A"/>
    <w:rsid w:val="001215DB"/>
    <w:rsid w:val="00121897"/>
    <w:rsid w:val="001218BF"/>
    <w:rsid w:val="00121AA1"/>
    <w:rsid w:val="00122153"/>
    <w:rsid w:val="00122581"/>
    <w:rsid w:val="001225B8"/>
    <w:rsid w:val="00122842"/>
    <w:rsid w:val="00122BFB"/>
    <w:rsid w:val="00122EB3"/>
    <w:rsid w:val="00123090"/>
    <w:rsid w:val="0012345C"/>
    <w:rsid w:val="001235C4"/>
    <w:rsid w:val="00123975"/>
    <w:rsid w:val="00123AED"/>
    <w:rsid w:val="00123DED"/>
    <w:rsid w:val="0012467D"/>
    <w:rsid w:val="001246EC"/>
    <w:rsid w:val="001249D7"/>
    <w:rsid w:val="00124E10"/>
    <w:rsid w:val="00125078"/>
    <w:rsid w:val="001252FE"/>
    <w:rsid w:val="00125450"/>
    <w:rsid w:val="001257E6"/>
    <w:rsid w:val="001260BA"/>
    <w:rsid w:val="0012641F"/>
    <w:rsid w:val="00126B1D"/>
    <w:rsid w:val="00126D98"/>
    <w:rsid w:val="00126DAB"/>
    <w:rsid w:val="001273CA"/>
    <w:rsid w:val="001273EF"/>
    <w:rsid w:val="001274AC"/>
    <w:rsid w:val="001275E6"/>
    <w:rsid w:val="001277CF"/>
    <w:rsid w:val="0012798E"/>
    <w:rsid w:val="00127DE2"/>
    <w:rsid w:val="00127F28"/>
    <w:rsid w:val="00127F4C"/>
    <w:rsid w:val="0013018E"/>
    <w:rsid w:val="001301E5"/>
    <w:rsid w:val="001305AA"/>
    <w:rsid w:val="00130714"/>
    <w:rsid w:val="00130953"/>
    <w:rsid w:val="00130A25"/>
    <w:rsid w:val="00130B2D"/>
    <w:rsid w:val="00131105"/>
    <w:rsid w:val="00131683"/>
    <w:rsid w:val="0013173E"/>
    <w:rsid w:val="00131AC6"/>
    <w:rsid w:val="00131DD0"/>
    <w:rsid w:val="001321CE"/>
    <w:rsid w:val="001322B0"/>
    <w:rsid w:val="00132383"/>
    <w:rsid w:val="00132546"/>
    <w:rsid w:val="00132767"/>
    <w:rsid w:val="00132917"/>
    <w:rsid w:val="00132D74"/>
    <w:rsid w:val="00132E7E"/>
    <w:rsid w:val="00133013"/>
    <w:rsid w:val="0013334C"/>
    <w:rsid w:val="0013344F"/>
    <w:rsid w:val="001334EF"/>
    <w:rsid w:val="0013359C"/>
    <w:rsid w:val="00133E31"/>
    <w:rsid w:val="00133E73"/>
    <w:rsid w:val="00133EBD"/>
    <w:rsid w:val="00134312"/>
    <w:rsid w:val="001343CE"/>
    <w:rsid w:val="001345D5"/>
    <w:rsid w:val="00134992"/>
    <w:rsid w:val="00134B58"/>
    <w:rsid w:val="00134F3B"/>
    <w:rsid w:val="00135015"/>
    <w:rsid w:val="00135095"/>
    <w:rsid w:val="001352A6"/>
    <w:rsid w:val="00135829"/>
    <w:rsid w:val="001358A7"/>
    <w:rsid w:val="001358F4"/>
    <w:rsid w:val="00135913"/>
    <w:rsid w:val="0013612A"/>
    <w:rsid w:val="00136640"/>
    <w:rsid w:val="00136998"/>
    <w:rsid w:val="001369A7"/>
    <w:rsid w:val="001369B4"/>
    <w:rsid w:val="00136AAD"/>
    <w:rsid w:val="00136BA1"/>
    <w:rsid w:val="00136DF8"/>
    <w:rsid w:val="00137280"/>
    <w:rsid w:val="00137288"/>
    <w:rsid w:val="00137480"/>
    <w:rsid w:val="001376F7"/>
    <w:rsid w:val="001378B9"/>
    <w:rsid w:val="00137A97"/>
    <w:rsid w:val="00137D34"/>
    <w:rsid w:val="00140365"/>
    <w:rsid w:val="00140608"/>
    <w:rsid w:val="001406DB"/>
    <w:rsid w:val="0014073C"/>
    <w:rsid w:val="00140762"/>
    <w:rsid w:val="00140CF6"/>
    <w:rsid w:val="00140E5E"/>
    <w:rsid w:val="001410F1"/>
    <w:rsid w:val="001411F6"/>
    <w:rsid w:val="0014126F"/>
    <w:rsid w:val="0014155A"/>
    <w:rsid w:val="001418FE"/>
    <w:rsid w:val="00141BF7"/>
    <w:rsid w:val="00141E46"/>
    <w:rsid w:val="0014206B"/>
    <w:rsid w:val="00142093"/>
    <w:rsid w:val="001425AC"/>
    <w:rsid w:val="00142E42"/>
    <w:rsid w:val="00142FBB"/>
    <w:rsid w:val="001433C9"/>
    <w:rsid w:val="0014371C"/>
    <w:rsid w:val="00143B3F"/>
    <w:rsid w:val="00143E78"/>
    <w:rsid w:val="00143FFE"/>
    <w:rsid w:val="001444A7"/>
    <w:rsid w:val="0014471E"/>
    <w:rsid w:val="0014491B"/>
    <w:rsid w:val="00144B3F"/>
    <w:rsid w:val="00144E04"/>
    <w:rsid w:val="00144FF7"/>
    <w:rsid w:val="001454C4"/>
    <w:rsid w:val="00146129"/>
    <w:rsid w:val="0014624C"/>
    <w:rsid w:val="00146491"/>
    <w:rsid w:val="0014652F"/>
    <w:rsid w:val="00146BC8"/>
    <w:rsid w:val="00146FDA"/>
    <w:rsid w:val="001473A6"/>
    <w:rsid w:val="00147D65"/>
    <w:rsid w:val="00147D91"/>
    <w:rsid w:val="001508E1"/>
    <w:rsid w:val="00150BAF"/>
    <w:rsid w:val="00150CD5"/>
    <w:rsid w:val="00151096"/>
    <w:rsid w:val="001510B6"/>
    <w:rsid w:val="001510BE"/>
    <w:rsid w:val="001510ED"/>
    <w:rsid w:val="001513E5"/>
    <w:rsid w:val="00151699"/>
    <w:rsid w:val="00151805"/>
    <w:rsid w:val="001518AA"/>
    <w:rsid w:val="001518C8"/>
    <w:rsid w:val="00152053"/>
    <w:rsid w:val="00152066"/>
    <w:rsid w:val="00152476"/>
    <w:rsid w:val="0015289B"/>
    <w:rsid w:val="001528BF"/>
    <w:rsid w:val="00152A3B"/>
    <w:rsid w:val="00153021"/>
    <w:rsid w:val="001531FD"/>
    <w:rsid w:val="0015347E"/>
    <w:rsid w:val="00153578"/>
    <w:rsid w:val="00153A48"/>
    <w:rsid w:val="00153A6B"/>
    <w:rsid w:val="00153D16"/>
    <w:rsid w:val="00153EEF"/>
    <w:rsid w:val="00153F29"/>
    <w:rsid w:val="001544AB"/>
    <w:rsid w:val="00154B50"/>
    <w:rsid w:val="00154CA8"/>
    <w:rsid w:val="00154DA3"/>
    <w:rsid w:val="00155839"/>
    <w:rsid w:val="00155F52"/>
    <w:rsid w:val="00155F7A"/>
    <w:rsid w:val="00155FB2"/>
    <w:rsid w:val="00156260"/>
    <w:rsid w:val="0015674F"/>
    <w:rsid w:val="00156B29"/>
    <w:rsid w:val="0015722A"/>
    <w:rsid w:val="0016019C"/>
    <w:rsid w:val="00160674"/>
    <w:rsid w:val="0016073A"/>
    <w:rsid w:val="00160786"/>
    <w:rsid w:val="00160D2A"/>
    <w:rsid w:val="00160D4D"/>
    <w:rsid w:val="0016117C"/>
    <w:rsid w:val="001613AD"/>
    <w:rsid w:val="001616AF"/>
    <w:rsid w:val="001618A3"/>
    <w:rsid w:val="00162222"/>
    <w:rsid w:val="0016223A"/>
    <w:rsid w:val="00162262"/>
    <w:rsid w:val="00162280"/>
    <w:rsid w:val="00162898"/>
    <w:rsid w:val="00162B65"/>
    <w:rsid w:val="00162BD5"/>
    <w:rsid w:val="00162CF1"/>
    <w:rsid w:val="00162F82"/>
    <w:rsid w:val="001630E4"/>
    <w:rsid w:val="00163271"/>
    <w:rsid w:val="001632F6"/>
    <w:rsid w:val="001639BC"/>
    <w:rsid w:val="00163AFC"/>
    <w:rsid w:val="0016432F"/>
    <w:rsid w:val="001644CC"/>
    <w:rsid w:val="00164646"/>
    <w:rsid w:val="001647FA"/>
    <w:rsid w:val="001649D4"/>
    <w:rsid w:val="00164B80"/>
    <w:rsid w:val="00164CF5"/>
    <w:rsid w:val="00165137"/>
    <w:rsid w:val="001651AA"/>
    <w:rsid w:val="00165337"/>
    <w:rsid w:val="0016634F"/>
    <w:rsid w:val="0016645E"/>
    <w:rsid w:val="00166994"/>
    <w:rsid w:val="001669F9"/>
    <w:rsid w:val="00166A2E"/>
    <w:rsid w:val="0016700E"/>
    <w:rsid w:val="0016711A"/>
    <w:rsid w:val="0016764C"/>
    <w:rsid w:val="00167709"/>
    <w:rsid w:val="001678EC"/>
    <w:rsid w:val="001678ED"/>
    <w:rsid w:val="00170248"/>
    <w:rsid w:val="00170397"/>
    <w:rsid w:val="001703EB"/>
    <w:rsid w:val="0017048A"/>
    <w:rsid w:val="001706E4"/>
    <w:rsid w:val="001708D0"/>
    <w:rsid w:val="00170F0F"/>
    <w:rsid w:val="00171261"/>
    <w:rsid w:val="00171944"/>
    <w:rsid w:val="00171D7E"/>
    <w:rsid w:val="00171E0B"/>
    <w:rsid w:val="00171F14"/>
    <w:rsid w:val="0017226B"/>
    <w:rsid w:val="00172403"/>
    <w:rsid w:val="00172574"/>
    <w:rsid w:val="00172903"/>
    <w:rsid w:val="001729E1"/>
    <w:rsid w:val="00172A6E"/>
    <w:rsid w:val="00172B61"/>
    <w:rsid w:val="00172C20"/>
    <w:rsid w:val="00172D21"/>
    <w:rsid w:val="00172FA8"/>
    <w:rsid w:val="00173048"/>
    <w:rsid w:val="00173869"/>
    <w:rsid w:val="00173893"/>
    <w:rsid w:val="001738A5"/>
    <w:rsid w:val="00173A00"/>
    <w:rsid w:val="0017402B"/>
    <w:rsid w:val="00174841"/>
    <w:rsid w:val="00174DDB"/>
    <w:rsid w:val="00174F2F"/>
    <w:rsid w:val="001752EC"/>
    <w:rsid w:val="001752ED"/>
    <w:rsid w:val="0017535F"/>
    <w:rsid w:val="00175B5A"/>
    <w:rsid w:val="00175E60"/>
    <w:rsid w:val="00176414"/>
    <w:rsid w:val="00176577"/>
    <w:rsid w:val="0017676C"/>
    <w:rsid w:val="00176E7D"/>
    <w:rsid w:val="00177036"/>
    <w:rsid w:val="0017714C"/>
    <w:rsid w:val="0017722E"/>
    <w:rsid w:val="00177583"/>
    <w:rsid w:val="00177711"/>
    <w:rsid w:val="00177A0D"/>
    <w:rsid w:val="00177AF1"/>
    <w:rsid w:val="00177DFF"/>
    <w:rsid w:val="00177EBD"/>
    <w:rsid w:val="0018009B"/>
    <w:rsid w:val="001800DB"/>
    <w:rsid w:val="00180149"/>
    <w:rsid w:val="0018016C"/>
    <w:rsid w:val="001806B6"/>
    <w:rsid w:val="00180DC7"/>
    <w:rsid w:val="00180E60"/>
    <w:rsid w:val="00181722"/>
    <w:rsid w:val="001817BA"/>
    <w:rsid w:val="00181B3A"/>
    <w:rsid w:val="00182050"/>
    <w:rsid w:val="0018208C"/>
    <w:rsid w:val="001820B2"/>
    <w:rsid w:val="001821E9"/>
    <w:rsid w:val="00182608"/>
    <w:rsid w:val="00182E75"/>
    <w:rsid w:val="001836DF"/>
    <w:rsid w:val="00183CC6"/>
    <w:rsid w:val="00183D8A"/>
    <w:rsid w:val="00183E8B"/>
    <w:rsid w:val="00183F11"/>
    <w:rsid w:val="001840F5"/>
    <w:rsid w:val="00184DAB"/>
    <w:rsid w:val="00184F51"/>
    <w:rsid w:val="00185257"/>
    <w:rsid w:val="00185E59"/>
    <w:rsid w:val="00185F10"/>
    <w:rsid w:val="00186060"/>
    <w:rsid w:val="00186395"/>
    <w:rsid w:val="00186649"/>
    <w:rsid w:val="00186B4D"/>
    <w:rsid w:val="0018767B"/>
    <w:rsid w:val="001879E9"/>
    <w:rsid w:val="00187C3E"/>
    <w:rsid w:val="0019022C"/>
    <w:rsid w:val="00190307"/>
    <w:rsid w:val="00190927"/>
    <w:rsid w:val="00190BD5"/>
    <w:rsid w:val="00191132"/>
    <w:rsid w:val="0019128F"/>
    <w:rsid w:val="00191727"/>
    <w:rsid w:val="00191A0A"/>
    <w:rsid w:val="00191A2B"/>
    <w:rsid w:val="00191EBF"/>
    <w:rsid w:val="001923B2"/>
    <w:rsid w:val="001925E5"/>
    <w:rsid w:val="00192A10"/>
    <w:rsid w:val="00192D98"/>
    <w:rsid w:val="00193747"/>
    <w:rsid w:val="00193845"/>
    <w:rsid w:val="00193987"/>
    <w:rsid w:val="00194ACD"/>
    <w:rsid w:val="00195082"/>
    <w:rsid w:val="0019573B"/>
    <w:rsid w:val="0019592C"/>
    <w:rsid w:val="00196066"/>
    <w:rsid w:val="00196085"/>
    <w:rsid w:val="00196300"/>
    <w:rsid w:val="00196411"/>
    <w:rsid w:val="00196A48"/>
    <w:rsid w:val="00196B90"/>
    <w:rsid w:val="00196F6C"/>
    <w:rsid w:val="00196FF4"/>
    <w:rsid w:val="001970B9"/>
    <w:rsid w:val="0019734F"/>
    <w:rsid w:val="00197458"/>
    <w:rsid w:val="001976E2"/>
    <w:rsid w:val="001A0303"/>
    <w:rsid w:val="001A032E"/>
    <w:rsid w:val="001A0421"/>
    <w:rsid w:val="001A067A"/>
    <w:rsid w:val="001A09C6"/>
    <w:rsid w:val="001A0A1E"/>
    <w:rsid w:val="001A12DF"/>
    <w:rsid w:val="001A1532"/>
    <w:rsid w:val="001A18A4"/>
    <w:rsid w:val="001A258A"/>
    <w:rsid w:val="001A2939"/>
    <w:rsid w:val="001A2FD5"/>
    <w:rsid w:val="001A3037"/>
    <w:rsid w:val="001A30B0"/>
    <w:rsid w:val="001A30FB"/>
    <w:rsid w:val="001A31A7"/>
    <w:rsid w:val="001A35B2"/>
    <w:rsid w:val="001A36CF"/>
    <w:rsid w:val="001A3974"/>
    <w:rsid w:val="001A3F0F"/>
    <w:rsid w:val="001A3FA5"/>
    <w:rsid w:val="001A4156"/>
    <w:rsid w:val="001A4263"/>
    <w:rsid w:val="001A43B8"/>
    <w:rsid w:val="001A4EDF"/>
    <w:rsid w:val="001A5174"/>
    <w:rsid w:val="001A5C4B"/>
    <w:rsid w:val="001A61A0"/>
    <w:rsid w:val="001A6278"/>
    <w:rsid w:val="001A628F"/>
    <w:rsid w:val="001A65B2"/>
    <w:rsid w:val="001A6AFE"/>
    <w:rsid w:val="001A6EF1"/>
    <w:rsid w:val="001A6F38"/>
    <w:rsid w:val="001A706D"/>
    <w:rsid w:val="001A71EB"/>
    <w:rsid w:val="001A72EE"/>
    <w:rsid w:val="001A7912"/>
    <w:rsid w:val="001A7920"/>
    <w:rsid w:val="001A7924"/>
    <w:rsid w:val="001A7BF4"/>
    <w:rsid w:val="001A7C23"/>
    <w:rsid w:val="001A7CBD"/>
    <w:rsid w:val="001B00B2"/>
    <w:rsid w:val="001B0149"/>
    <w:rsid w:val="001B0163"/>
    <w:rsid w:val="001B0251"/>
    <w:rsid w:val="001B05A2"/>
    <w:rsid w:val="001B0F1F"/>
    <w:rsid w:val="001B10FA"/>
    <w:rsid w:val="001B1565"/>
    <w:rsid w:val="001B1F17"/>
    <w:rsid w:val="001B1F29"/>
    <w:rsid w:val="001B2085"/>
    <w:rsid w:val="001B2405"/>
    <w:rsid w:val="001B26EE"/>
    <w:rsid w:val="001B2993"/>
    <w:rsid w:val="001B2DF5"/>
    <w:rsid w:val="001B315A"/>
    <w:rsid w:val="001B3754"/>
    <w:rsid w:val="001B4398"/>
    <w:rsid w:val="001B4AAD"/>
    <w:rsid w:val="001B4B34"/>
    <w:rsid w:val="001B5176"/>
    <w:rsid w:val="001B519B"/>
    <w:rsid w:val="001B5332"/>
    <w:rsid w:val="001B53B3"/>
    <w:rsid w:val="001B54E9"/>
    <w:rsid w:val="001B5F67"/>
    <w:rsid w:val="001B5FD0"/>
    <w:rsid w:val="001B6306"/>
    <w:rsid w:val="001B6488"/>
    <w:rsid w:val="001B66E8"/>
    <w:rsid w:val="001B6C77"/>
    <w:rsid w:val="001B6EC0"/>
    <w:rsid w:val="001B70CF"/>
    <w:rsid w:val="001B716B"/>
    <w:rsid w:val="001B748B"/>
    <w:rsid w:val="001B74E3"/>
    <w:rsid w:val="001B7CD0"/>
    <w:rsid w:val="001C002C"/>
    <w:rsid w:val="001C0085"/>
    <w:rsid w:val="001C04E1"/>
    <w:rsid w:val="001C063F"/>
    <w:rsid w:val="001C0883"/>
    <w:rsid w:val="001C0CD4"/>
    <w:rsid w:val="001C1163"/>
    <w:rsid w:val="001C16A9"/>
    <w:rsid w:val="001C1E53"/>
    <w:rsid w:val="001C211D"/>
    <w:rsid w:val="001C2506"/>
    <w:rsid w:val="001C2582"/>
    <w:rsid w:val="001C2E60"/>
    <w:rsid w:val="001C3474"/>
    <w:rsid w:val="001C3B46"/>
    <w:rsid w:val="001C3BA2"/>
    <w:rsid w:val="001C3DC6"/>
    <w:rsid w:val="001C3EAE"/>
    <w:rsid w:val="001C457D"/>
    <w:rsid w:val="001C4F5F"/>
    <w:rsid w:val="001C518A"/>
    <w:rsid w:val="001C5566"/>
    <w:rsid w:val="001C5796"/>
    <w:rsid w:val="001C589B"/>
    <w:rsid w:val="001C58A6"/>
    <w:rsid w:val="001C5E31"/>
    <w:rsid w:val="001C5F88"/>
    <w:rsid w:val="001C6023"/>
    <w:rsid w:val="001C619C"/>
    <w:rsid w:val="001C67D5"/>
    <w:rsid w:val="001C6CDC"/>
    <w:rsid w:val="001C7185"/>
    <w:rsid w:val="001C76FC"/>
    <w:rsid w:val="001C7A2E"/>
    <w:rsid w:val="001C7AB6"/>
    <w:rsid w:val="001C7F47"/>
    <w:rsid w:val="001D006C"/>
    <w:rsid w:val="001D017C"/>
    <w:rsid w:val="001D0447"/>
    <w:rsid w:val="001D0578"/>
    <w:rsid w:val="001D0593"/>
    <w:rsid w:val="001D0B27"/>
    <w:rsid w:val="001D0C3F"/>
    <w:rsid w:val="001D1258"/>
    <w:rsid w:val="001D139F"/>
    <w:rsid w:val="001D13B0"/>
    <w:rsid w:val="001D19F8"/>
    <w:rsid w:val="001D1CFF"/>
    <w:rsid w:val="001D239A"/>
    <w:rsid w:val="001D2B3C"/>
    <w:rsid w:val="001D2BB2"/>
    <w:rsid w:val="001D2C75"/>
    <w:rsid w:val="001D2E6C"/>
    <w:rsid w:val="001D2EB4"/>
    <w:rsid w:val="001D2ECD"/>
    <w:rsid w:val="001D329E"/>
    <w:rsid w:val="001D3A17"/>
    <w:rsid w:val="001D3A25"/>
    <w:rsid w:val="001D3C68"/>
    <w:rsid w:val="001D4138"/>
    <w:rsid w:val="001D4315"/>
    <w:rsid w:val="001D43C0"/>
    <w:rsid w:val="001D46D6"/>
    <w:rsid w:val="001D46EB"/>
    <w:rsid w:val="001D4969"/>
    <w:rsid w:val="001D4AF0"/>
    <w:rsid w:val="001D4F24"/>
    <w:rsid w:val="001D506F"/>
    <w:rsid w:val="001D53DC"/>
    <w:rsid w:val="001D5766"/>
    <w:rsid w:val="001D57BC"/>
    <w:rsid w:val="001D6581"/>
    <w:rsid w:val="001D6659"/>
    <w:rsid w:val="001D6E61"/>
    <w:rsid w:val="001D6F30"/>
    <w:rsid w:val="001D6F9A"/>
    <w:rsid w:val="001D7260"/>
    <w:rsid w:val="001D7502"/>
    <w:rsid w:val="001D7816"/>
    <w:rsid w:val="001D7B96"/>
    <w:rsid w:val="001D7F8C"/>
    <w:rsid w:val="001D7FE2"/>
    <w:rsid w:val="001E0089"/>
    <w:rsid w:val="001E022E"/>
    <w:rsid w:val="001E0420"/>
    <w:rsid w:val="001E09F4"/>
    <w:rsid w:val="001E0A73"/>
    <w:rsid w:val="001E105C"/>
    <w:rsid w:val="001E111F"/>
    <w:rsid w:val="001E1284"/>
    <w:rsid w:val="001E13E0"/>
    <w:rsid w:val="001E14CC"/>
    <w:rsid w:val="001E1524"/>
    <w:rsid w:val="001E1C5D"/>
    <w:rsid w:val="001E1D3C"/>
    <w:rsid w:val="001E1EB8"/>
    <w:rsid w:val="001E220A"/>
    <w:rsid w:val="001E251E"/>
    <w:rsid w:val="001E266E"/>
    <w:rsid w:val="001E2EEF"/>
    <w:rsid w:val="001E3099"/>
    <w:rsid w:val="001E3188"/>
    <w:rsid w:val="001E31D1"/>
    <w:rsid w:val="001E32BE"/>
    <w:rsid w:val="001E3350"/>
    <w:rsid w:val="001E33D7"/>
    <w:rsid w:val="001E3A45"/>
    <w:rsid w:val="001E420B"/>
    <w:rsid w:val="001E4583"/>
    <w:rsid w:val="001E4640"/>
    <w:rsid w:val="001E4704"/>
    <w:rsid w:val="001E474A"/>
    <w:rsid w:val="001E4ADF"/>
    <w:rsid w:val="001E4CE2"/>
    <w:rsid w:val="001E4D9A"/>
    <w:rsid w:val="001E50CB"/>
    <w:rsid w:val="001E542C"/>
    <w:rsid w:val="001E5A8E"/>
    <w:rsid w:val="001E5BB2"/>
    <w:rsid w:val="001E5D1F"/>
    <w:rsid w:val="001E636D"/>
    <w:rsid w:val="001E6446"/>
    <w:rsid w:val="001E684F"/>
    <w:rsid w:val="001E689D"/>
    <w:rsid w:val="001E6C17"/>
    <w:rsid w:val="001E6C1B"/>
    <w:rsid w:val="001E6D5E"/>
    <w:rsid w:val="001E6DE6"/>
    <w:rsid w:val="001E6ED5"/>
    <w:rsid w:val="001E6F14"/>
    <w:rsid w:val="001E719A"/>
    <w:rsid w:val="001E750C"/>
    <w:rsid w:val="001E7888"/>
    <w:rsid w:val="001E7B5F"/>
    <w:rsid w:val="001F04C3"/>
    <w:rsid w:val="001F0546"/>
    <w:rsid w:val="001F056D"/>
    <w:rsid w:val="001F09F9"/>
    <w:rsid w:val="001F0BCC"/>
    <w:rsid w:val="001F0DDF"/>
    <w:rsid w:val="001F125F"/>
    <w:rsid w:val="001F1575"/>
    <w:rsid w:val="001F15CC"/>
    <w:rsid w:val="001F16BF"/>
    <w:rsid w:val="001F16FD"/>
    <w:rsid w:val="001F1B1E"/>
    <w:rsid w:val="001F1DFA"/>
    <w:rsid w:val="001F1F07"/>
    <w:rsid w:val="001F22A9"/>
    <w:rsid w:val="001F22FE"/>
    <w:rsid w:val="001F2536"/>
    <w:rsid w:val="001F26E9"/>
    <w:rsid w:val="001F287C"/>
    <w:rsid w:val="001F2B48"/>
    <w:rsid w:val="001F2DF6"/>
    <w:rsid w:val="001F2E08"/>
    <w:rsid w:val="001F32F2"/>
    <w:rsid w:val="001F37ED"/>
    <w:rsid w:val="001F38B3"/>
    <w:rsid w:val="001F39AB"/>
    <w:rsid w:val="001F3FC0"/>
    <w:rsid w:val="001F417F"/>
    <w:rsid w:val="001F45E8"/>
    <w:rsid w:val="001F4A88"/>
    <w:rsid w:val="001F4AE1"/>
    <w:rsid w:val="001F4B34"/>
    <w:rsid w:val="001F4E57"/>
    <w:rsid w:val="001F53A2"/>
    <w:rsid w:val="001F54C5"/>
    <w:rsid w:val="001F54E2"/>
    <w:rsid w:val="001F55C8"/>
    <w:rsid w:val="001F5AF6"/>
    <w:rsid w:val="001F5C95"/>
    <w:rsid w:val="001F5C9E"/>
    <w:rsid w:val="001F5D53"/>
    <w:rsid w:val="001F5E73"/>
    <w:rsid w:val="001F5ED8"/>
    <w:rsid w:val="001F5F10"/>
    <w:rsid w:val="001F6192"/>
    <w:rsid w:val="001F6408"/>
    <w:rsid w:val="001F644E"/>
    <w:rsid w:val="001F6E45"/>
    <w:rsid w:val="001F71EA"/>
    <w:rsid w:val="001F7317"/>
    <w:rsid w:val="001F7456"/>
    <w:rsid w:val="001F74FD"/>
    <w:rsid w:val="001F75E9"/>
    <w:rsid w:val="001F798D"/>
    <w:rsid w:val="001F7DC7"/>
    <w:rsid w:val="001F7DD6"/>
    <w:rsid w:val="002000F2"/>
    <w:rsid w:val="002000FC"/>
    <w:rsid w:val="0020043F"/>
    <w:rsid w:val="00200A13"/>
    <w:rsid w:val="00200A92"/>
    <w:rsid w:val="00200BF9"/>
    <w:rsid w:val="00200E3B"/>
    <w:rsid w:val="002011A5"/>
    <w:rsid w:val="00201B7E"/>
    <w:rsid w:val="00201C7E"/>
    <w:rsid w:val="00201D85"/>
    <w:rsid w:val="00202201"/>
    <w:rsid w:val="00202A98"/>
    <w:rsid w:val="00202CCB"/>
    <w:rsid w:val="00202D2E"/>
    <w:rsid w:val="00202D4F"/>
    <w:rsid w:val="00203159"/>
    <w:rsid w:val="002032C0"/>
    <w:rsid w:val="00203A6E"/>
    <w:rsid w:val="00203D9B"/>
    <w:rsid w:val="00203F00"/>
    <w:rsid w:val="00203F5C"/>
    <w:rsid w:val="00204096"/>
    <w:rsid w:val="002047DE"/>
    <w:rsid w:val="00204A5A"/>
    <w:rsid w:val="00204B5B"/>
    <w:rsid w:val="00204C12"/>
    <w:rsid w:val="00204C34"/>
    <w:rsid w:val="00204D22"/>
    <w:rsid w:val="00205635"/>
    <w:rsid w:val="002056B8"/>
    <w:rsid w:val="002058DC"/>
    <w:rsid w:val="00205AB2"/>
    <w:rsid w:val="00205CB2"/>
    <w:rsid w:val="00205E95"/>
    <w:rsid w:val="00206023"/>
    <w:rsid w:val="0020610B"/>
    <w:rsid w:val="00206133"/>
    <w:rsid w:val="002063A7"/>
    <w:rsid w:val="0020674D"/>
    <w:rsid w:val="00206799"/>
    <w:rsid w:val="00206E5A"/>
    <w:rsid w:val="0020749B"/>
    <w:rsid w:val="00207613"/>
    <w:rsid w:val="00207847"/>
    <w:rsid w:val="00207AF9"/>
    <w:rsid w:val="00207BB9"/>
    <w:rsid w:val="00207EB6"/>
    <w:rsid w:val="00210018"/>
    <w:rsid w:val="00210174"/>
    <w:rsid w:val="00210662"/>
    <w:rsid w:val="0021070B"/>
    <w:rsid w:val="002109D5"/>
    <w:rsid w:val="00210A2E"/>
    <w:rsid w:val="00210BDA"/>
    <w:rsid w:val="00210C84"/>
    <w:rsid w:val="00210C91"/>
    <w:rsid w:val="00210CF7"/>
    <w:rsid w:val="00210F42"/>
    <w:rsid w:val="00211042"/>
    <w:rsid w:val="00211345"/>
    <w:rsid w:val="00211390"/>
    <w:rsid w:val="0021146A"/>
    <w:rsid w:val="0021148E"/>
    <w:rsid w:val="002114FA"/>
    <w:rsid w:val="00211D31"/>
    <w:rsid w:val="00211DD9"/>
    <w:rsid w:val="002125B4"/>
    <w:rsid w:val="002126FB"/>
    <w:rsid w:val="00212816"/>
    <w:rsid w:val="0021293C"/>
    <w:rsid w:val="00212D30"/>
    <w:rsid w:val="002130BD"/>
    <w:rsid w:val="00213706"/>
    <w:rsid w:val="002137A5"/>
    <w:rsid w:val="00213851"/>
    <w:rsid w:val="00213C2E"/>
    <w:rsid w:val="00213FF2"/>
    <w:rsid w:val="00214416"/>
    <w:rsid w:val="00214D45"/>
    <w:rsid w:val="00214E0D"/>
    <w:rsid w:val="0021521A"/>
    <w:rsid w:val="002152A2"/>
    <w:rsid w:val="00215314"/>
    <w:rsid w:val="0021586D"/>
    <w:rsid w:val="00215C99"/>
    <w:rsid w:val="002161EE"/>
    <w:rsid w:val="002162EA"/>
    <w:rsid w:val="00216362"/>
    <w:rsid w:val="002165F9"/>
    <w:rsid w:val="00216685"/>
    <w:rsid w:val="00216B17"/>
    <w:rsid w:val="00216BBF"/>
    <w:rsid w:val="00216CC6"/>
    <w:rsid w:val="00216E47"/>
    <w:rsid w:val="00217135"/>
    <w:rsid w:val="0021737B"/>
    <w:rsid w:val="00217CE8"/>
    <w:rsid w:val="0022000C"/>
    <w:rsid w:val="002202EC"/>
    <w:rsid w:val="002204ED"/>
    <w:rsid w:val="00220967"/>
    <w:rsid w:val="00220977"/>
    <w:rsid w:val="00220B7D"/>
    <w:rsid w:val="00220E92"/>
    <w:rsid w:val="002211DD"/>
    <w:rsid w:val="0022135D"/>
    <w:rsid w:val="00221B93"/>
    <w:rsid w:val="002222A4"/>
    <w:rsid w:val="00222366"/>
    <w:rsid w:val="002224A5"/>
    <w:rsid w:val="0022254C"/>
    <w:rsid w:val="00223111"/>
    <w:rsid w:val="00223322"/>
    <w:rsid w:val="0022337A"/>
    <w:rsid w:val="002237AE"/>
    <w:rsid w:val="00223833"/>
    <w:rsid w:val="00223ACD"/>
    <w:rsid w:val="00223ADC"/>
    <w:rsid w:val="00223F34"/>
    <w:rsid w:val="0022418D"/>
    <w:rsid w:val="002241C9"/>
    <w:rsid w:val="002245DB"/>
    <w:rsid w:val="00224A00"/>
    <w:rsid w:val="00224A01"/>
    <w:rsid w:val="00224A9B"/>
    <w:rsid w:val="00224C25"/>
    <w:rsid w:val="00225161"/>
    <w:rsid w:val="0022564D"/>
    <w:rsid w:val="0022591C"/>
    <w:rsid w:val="002259A1"/>
    <w:rsid w:val="00225BC3"/>
    <w:rsid w:val="00225BEB"/>
    <w:rsid w:val="00225E74"/>
    <w:rsid w:val="0022657F"/>
    <w:rsid w:val="002269A7"/>
    <w:rsid w:val="00226BD3"/>
    <w:rsid w:val="00226F21"/>
    <w:rsid w:val="0022735A"/>
    <w:rsid w:val="00227503"/>
    <w:rsid w:val="002275A8"/>
    <w:rsid w:val="00227873"/>
    <w:rsid w:val="00227910"/>
    <w:rsid w:val="002279D2"/>
    <w:rsid w:val="00227C3A"/>
    <w:rsid w:val="00227F9E"/>
    <w:rsid w:val="00230040"/>
    <w:rsid w:val="002300E1"/>
    <w:rsid w:val="002305EF"/>
    <w:rsid w:val="00230810"/>
    <w:rsid w:val="00230944"/>
    <w:rsid w:val="00230AD3"/>
    <w:rsid w:val="00230BB1"/>
    <w:rsid w:val="0023101D"/>
    <w:rsid w:val="002313B5"/>
    <w:rsid w:val="002314EE"/>
    <w:rsid w:val="00231740"/>
    <w:rsid w:val="00231929"/>
    <w:rsid w:val="00231D67"/>
    <w:rsid w:val="00231F00"/>
    <w:rsid w:val="00232191"/>
    <w:rsid w:val="002326A1"/>
    <w:rsid w:val="00232E9D"/>
    <w:rsid w:val="0023302F"/>
    <w:rsid w:val="0023311D"/>
    <w:rsid w:val="0023399C"/>
    <w:rsid w:val="00233B04"/>
    <w:rsid w:val="00233F47"/>
    <w:rsid w:val="002341FC"/>
    <w:rsid w:val="002344C8"/>
    <w:rsid w:val="00234692"/>
    <w:rsid w:val="002346B0"/>
    <w:rsid w:val="00234723"/>
    <w:rsid w:val="002349C5"/>
    <w:rsid w:val="00234E0D"/>
    <w:rsid w:val="00234E3A"/>
    <w:rsid w:val="00235109"/>
    <w:rsid w:val="00235143"/>
    <w:rsid w:val="00235581"/>
    <w:rsid w:val="00235698"/>
    <w:rsid w:val="00235724"/>
    <w:rsid w:val="00235A15"/>
    <w:rsid w:val="00235D72"/>
    <w:rsid w:val="00236400"/>
    <w:rsid w:val="002367D8"/>
    <w:rsid w:val="0023691F"/>
    <w:rsid w:val="00236ABB"/>
    <w:rsid w:val="00236AF0"/>
    <w:rsid w:val="00236D6C"/>
    <w:rsid w:val="00236E1F"/>
    <w:rsid w:val="00236F55"/>
    <w:rsid w:val="00236F71"/>
    <w:rsid w:val="002373FC"/>
    <w:rsid w:val="0023776F"/>
    <w:rsid w:val="00237C6F"/>
    <w:rsid w:val="00237D22"/>
    <w:rsid w:val="00240434"/>
    <w:rsid w:val="002406B1"/>
    <w:rsid w:val="002409A7"/>
    <w:rsid w:val="00240A69"/>
    <w:rsid w:val="00240B7D"/>
    <w:rsid w:val="00240BC6"/>
    <w:rsid w:val="00240F76"/>
    <w:rsid w:val="0024103F"/>
    <w:rsid w:val="00241C7B"/>
    <w:rsid w:val="002421F2"/>
    <w:rsid w:val="0024231F"/>
    <w:rsid w:val="0024297B"/>
    <w:rsid w:val="00242B2A"/>
    <w:rsid w:val="00242CAE"/>
    <w:rsid w:val="00242E87"/>
    <w:rsid w:val="00243ACD"/>
    <w:rsid w:val="00243DCC"/>
    <w:rsid w:val="002443C2"/>
    <w:rsid w:val="00244606"/>
    <w:rsid w:val="00244924"/>
    <w:rsid w:val="00244AC1"/>
    <w:rsid w:val="002452BE"/>
    <w:rsid w:val="00245492"/>
    <w:rsid w:val="002457BE"/>
    <w:rsid w:val="002457CA"/>
    <w:rsid w:val="00245A41"/>
    <w:rsid w:val="00245B70"/>
    <w:rsid w:val="00245D7D"/>
    <w:rsid w:val="00245E39"/>
    <w:rsid w:val="00245FBA"/>
    <w:rsid w:val="00246C52"/>
    <w:rsid w:val="00246C98"/>
    <w:rsid w:val="00246EB6"/>
    <w:rsid w:val="002471AB"/>
    <w:rsid w:val="0024785A"/>
    <w:rsid w:val="00247C82"/>
    <w:rsid w:val="00247D8E"/>
    <w:rsid w:val="00247DD1"/>
    <w:rsid w:val="00247F4B"/>
    <w:rsid w:val="00250CD0"/>
    <w:rsid w:val="00250D9C"/>
    <w:rsid w:val="00250E53"/>
    <w:rsid w:val="00251117"/>
    <w:rsid w:val="002512A9"/>
    <w:rsid w:val="0025169E"/>
    <w:rsid w:val="00251929"/>
    <w:rsid w:val="00251AFE"/>
    <w:rsid w:val="00251F5E"/>
    <w:rsid w:val="002521CC"/>
    <w:rsid w:val="002522FF"/>
    <w:rsid w:val="002523EA"/>
    <w:rsid w:val="00252713"/>
    <w:rsid w:val="00252A61"/>
    <w:rsid w:val="0025304C"/>
    <w:rsid w:val="002530CC"/>
    <w:rsid w:val="002530D6"/>
    <w:rsid w:val="002530D9"/>
    <w:rsid w:val="0025325D"/>
    <w:rsid w:val="002533FF"/>
    <w:rsid w:val="00253400"/>
    <w:rsid w:val="00253447"/>
    <w:rsid w:val="002534B8"/>
    <w:rsid w:val="002537F5"/>
    <w:rsid w:val="00253A50"/>
    <w:rsid w:val="00253A89"/>
    <w:rsid w:val="00253D64"/>
    <w:rsid w:val="00253D80"/>
    <w:rsid w:val="0025464E"/>
    <w:rsid w:val="00254D49"/>
    <w:rsid w:val="00254D76"/>
    <w:rsid w:val="00255C71"/>
    <w:rsid w:val="00255C73"/>
    <w:rsid w:val="00255D42"/>
    <w:rsid w:val="002569D5"/>
    <w:rsid w:val="00256D11"/>
    <w:rsid w:val="00256F02"/>
    <w:rsid w:val="002571C8"/>
    <w:rsid w:val="002571FE"/>
    <w:rsid w:val="002572F1"/>
    <w:rsid w:val="002574D9"/>
    <w:rsid w:val="002574F6"/>
    <w:rsid w:val="0025757A"/>
    <w:rsid w:val="0025790F"/>
    <w:rsid w:val="00257A62"/>
    <w:rsid w:val="00257BD3"/>
    <w:rsid w:val="00257CB5"/>
    <w:rsid w:val="00260156"/>
    <w:rsid w:val="0026037C"/>
    <w:rsid w:val="0026075E"/>
    <w:rsid w:val="002609F8"/>
    <w:rsid w:val="00260FAD"/>
    <w:rsid w:val="00261051"/>
    <w:rsid w:val="002612A1"/>
    <w:rsid w:val="00261559"/>
    <w:rsid w:val="00261A63"/>
    <w:rsid w:val="00261D05"/>
    <w:rsid w:val="00261F0E"/>
    <w:rsid w:val="002622E3"/>
    <w:rsid w:val="002623AC"/>
    <w:rsid w:val="002623DA"/>
    <w:rsid w:val="002626E0"/>
    <w:rsid w:val="0026289A"/>
    <w:rsid w:val="00262979"/>
    <w:rsid w:val="00262A27"/>
    <w:rsid w:val="00262BAD"/>
    <w:rsid w:val="00262CEB"/>
    <w:rsid w:val="00262E69"/>
    <w:rsid w:val="00263038"/>
    <w:rsid w:val="00263A20"/>
    <w:rsid w:val="00263B02"/>
    <w:rsid w:val="00263D8E"/>
    <w:rsid w:val="00263DD9"/>
    <w:rsid w:val="002643C7"/>
    <w:rsid w:val="002644F7"/>
    <w:rsid w:val="0026455A"/>
    <w:rsid w:val="0026468A"/>
    <w:rsid w:val="00264957"/>
    <w:rsid w:val="00264C28"/>
    <w:rsid w:val="00264CD3"/>
    <w:rsid w:val="0026509A"/>
    <w:rsid w:val="00265161"/>
    <w:rsid w:val="002651FC"/>
    <w:rsid w:val="00265701"/>
    <w:rsid w:val="00265E9A"/>
    <w:rsid w:val="00266210"/>
    <w:rsid w:val="00266427"/>
    <w:rsid w:val="00266F48"/>
    <w:rsid w:val="00267026"/>
    <w:rsid w:val="0026716C"/>
    <w:rsid w:val="00267959"/>
    <w:rsid w:val="00267D2F"/>
    <w:rsid w:val="00270C63"/>
    <w:rsid w:val="00270C70"/>
    <w:rsid w:val="00270C98"/>
    <w:rsid w:val="00270E57"/>
    <w:rsid w:val="00271738"/>
    <w:rsid w:val="00271885"/>
    <w:rsid w:val="0027193C"/>
    <w:rsid w:val="0027197B"/>
    <w:rsid w:val="00271B1E"/>
    <w:rsid w:val="00271EEF"/>
    <w:rsid w:val="0027242C"/>
    <w:rsid w:val="00272474"/>
    <w:rsid w:val="0027294C"/>
    <w:rsid w:val="00272D06"/>
    <w:rsid w:val="00272FEB"/>
    <w:rsid w:val="0027309D"/>
    <w:rsid w:val="00273759"/>
    <w:rsid w:val="002738C9"/>
    <w:rsid w:val="00273B2D"/>
    <w:rsid w:val="00273C14"/>
    <w:rsid w:val="00273CFB"/>
    <w:rsid w:val="0027406E"/>
    <w:rsid w:val="00274391"/>
    <w:rsid w:val="002745DA"/>
    <w:rsid w:val="002749C8"/>
    <w:rsid w:val="00274D08"/>
    <w:rsid w:val="00275266"/>
    <w:rsid w:val="00275435"/>
    <w:rsid w:val="00275464"/>
    <w:rsid w:val="0027568B"/>
    <w:rsid w:val="002756D5"/>
    <w:rsid w:val="002758B1"/>
    <w:rsid w:val="00275B8C"/>
    <w:rsid w:val="00276001"/>
    <w:rsid w:val="002764FB"/>
    <w:rsid w:val="00276BEE"/>
    <w:rsid w:val="00276DA8"/>
    <w:rsid w:val="00276EFA"/>
    <w:rsid w:val="00277076"/>
    <w:rsid w:val="002772FC"/>
    <w:rsid w:val="002774A1"/>
    <w:rsid w:val="00277E66"/>
    <w:rsid w:val="002801E2"/>
    <w:rsid w:val="002801FE"/>
    <w:rsid w:val="0028024B"/>
    <w:rsid w:val="0028052D"/>
    <w:rsid w:val="00280684"/>
    <w:rsid w:val="00280706"/>
    <w:rsid w:val="0028073A"/>
    <w:rsid w:val="00280851"/>
    <w:rsid w:val="00280960"/>
    <w:rsid w:val="00280C84"/>
    <w:rsid w:val="00280D6E"/>
    <w:rsid w:val="00281166"/>
    <w:rsid w:val="00281959"/>
    <w:rsid w:val="00281F0D"/>
    <w:rsid w:val="002821D2"/>
    <w:rsid w:val="002825CE"/>
    <w:rsid w:val="002826D0"/>
    <w:rsid w:val="00282872"/>
    <w:rsid w:val="0028298E"/>
    <w:rsid w:val="002829E8"/>
    <w:rsid w:val="00282FCA"/>
    <w:rsid w:val="00282FCB"/>
    <w:rsid w:val="0028316F"/>
    <w:rsid w:val="00283181"/>
    <w:rsid w:val="002832C5"/>
    <w:rsid w:val="002835A5"/>
    <w:rsid w:val="002836DC"/>
    <w:rsid w:val="00283D5A"/>
    <w:rsid w:val="00283D6B"/>
    <w:rsid w:val="002848AC"/>
    <w:rsid w:val="00284E7F"/>
    <w:rsid w:val="00284F04"/>
    <w:rsid w:val="002851CC"/>
    <w:rsid w:val="00285520"/>
    <w:rsid w:val="002855B4"/>
    <w:rsid w:val="00285894"/>
    <w:rsid w:val="00285E28"/>
    <w:rsid w:val="00286487"/>
    <w:rsid w:val="00286631"/>
    <w:rsid w:val="002867A1"/>
    <w:rsid w:val="00286B14"/>
    <w:rsid w:val="00286DD8"/>
    <w:rsid w:val="00286F76"/>
    <w:rsid w:val="00287376"/>
    <w:rsid w:val="002877DE"/>
    <w:rsid w:val="00287C28"/>
    <w:rsid w:val="00287EA3"/>
    <w:rsid w:val="00290006"/>
    <w:rsid w:val="0029006E"/>
    <w:rsid w:val="00290254"/>
    <w:rsid w:val="002904D2"/>
    <w:rsid w:val="0029111B"/>
    <w:rsid w:val="0029178D"/>
    <w:rsid w:val="0029178F"/>
    <w:rsid w:val="00291B01"/>
    <w:rsid w:val="0029209F"/>
    <w:rsid w:val="0029230A"/>
    <w:rsid w:val="0029267A"/>
    <w:rsid w:val="002928BD"/>
    <w:rsid w:val="00292F31"/>
    <w:rsid w:val="002933FB"/>
    <w:rsid w:val="00293504"/>
    <w:rsid w:val="002935D3"/>
    <w:rsid w:val="00293619"/>
    <w:rsid w:val="00293C4A"/>
    <w:rsid w:val="00293D2D"/>
    <w:rsid w:val="00293E70"/>
    <w:rsid w:val="002944CA"/>
    <w:rsid w:val="00294722"/>
    <w:rsid w:val="00294AB1"/>
    <w:rsid w:val="00295018"/>
    <w:rsid w:val="00295226"/>
    <w:rsid w:val="0029548C"/>
    <w:rsid w:val="00295539"/>
    <w:rsid w:val="00295C61"/>
    <w:rsid w:val="00295CB0"/>
    <w:rsid w:val="00295F1C"/>
    <w:rsid w:val="0029636B"/>
    <w:rsid w:val="002963EC"/>
    <w:rsid w:val="002965C5"/>
    <w:rsid w:val="00296E40"/>
    <w:rsid w:val="00296FD8"/>
    <w:rsid w:val="0029743A"/>
    <w:rsid w:val="00297499"/>
    <w:rsid w:val="002974AA"/>
    <w:rsid w:val="00297F46"/>
    <w:rsid w:val="002A0028"/>
    <w:rsid w:val="002A0581"/>
    <w:rsid w:val="002A05EF"/>
    <w:rsid w:val="002A0724"/>
    <w:rsid w:val="002A1737"/>
    <w:rsid w:val="002A1A57"/>
    <w:rsid w:val="002A1DA1"/>
    <w:rsid w:val="002A205B"/>
    <w:rsid w:val="002A207F"/>
    <w:rsid w:val="002A22F3"/>
    <w:rsid w:val="002A24F5"/>
    <w:rsid w:val="002A2546"/>
    <w:rsid w:val="002A2FE5"/>
    <w:rsid w:val="002A31FF"/>
    <w:rsid w:val="002A3389"/>
    <w:rsid w:val="002A33EB"/>
    <w:rsid w:val="002A3668"/>
    <w:rsid w:val="002A3771"/>
    <w:rsid w:val="002A3B12"/>
    <w:rsid w:val="002A3B6D"/>
    <w:rsid w:val="002A3CF2"/>
    <w:rsid w:val="002A4102"/>
    <w:rsid w:val="002A44FE"/>
    <w:rsid w:val="002A45E8"/>
    <w:rsid w:val="002A4603"/>
    <w:rsid w:val="002A4625"/>
    <w:rsid w:val="002A4918"/>
    <w:rsid w:val="002A4CD1"/>
    <w:rsid w:val="002A4E20"/>
    <w:rsid w:val="002A4EF2"/>
    <w:rsid w:val="002A4F4D"/>
    <w:rsid w:val="002A523D"/>
    <w:rsid w:val="002A5488"/>
    <w:rsid w:val="002A5D92"/>
    <w:rsid w:val="002A5FC1"/>
    <w:rsid w:val="002A60B6"/>
    <w:rsid w:val="002A6143"/>
    <w:rsid w:val="002A624D"/>
    <w:rsid w:val="002A66B1"/>
    <w:rsid w:val="002A6751"/>
    <w:rsid w:val="002A6BE7"/>
    <w:rsid w:val="002A6FDC"/>
    <w:rsid w:val="002A7234"/>
    <w:rsid w:val="002A732C"/>
    <w:rsid w:val="002A7364"/>
    <w:rsid w:val="002A7A6A"/>
    <w:rsid w:val="002A7AB4"/>
    <w:rsid w:val="002A7B72"/>
    <w:rsid w:val="002A7C3D"/>
    <w:rsid w:val="002A7CAF"/>
    <w:rsid w:val="002B0232"/>
    <w:rsid w:val="002B0322"/>
    <w:rsid w:val="002B0343"/>
    <w:rsid w:val="002B03D8"/>
    <w:rsid w:val="002B049E"/>
    <w:rsid w:val="002B07BF"/>
    <w:rsid w:val="002B0805"/>
    <w:rsid w:val="002B0C99"/>
    <w:rsid w:val="002B0EDA"/>
    <w:rsid w:val="002B10F9"/>
    <w:rsid w:val="002B183B"/>
    <w:rsid w:val="002B21D6"/>
    <w:rsid w:val="002B23AE"/>
    <w:rsid w:val="002B2AD4"/>
    <w:rsid w:val="002B2C92"/>
    <w:rsid w:val="002B2E5C"/>
    <w:rsid w:val="002B2F85"/>
    <w:rsid w:val="002B3081"/>
    <w:rsid w:val="002B318B"/>
    <w:rsid w:val="002B32BC"/>
    <w:rsid w:val="002B340B"/>
    <w:rsid w:val="002B347A"/>
    <w:rsid w:val="002B34AE"/>
    <w:rsid w:val="002B3BA5"/>
    <w:rsid w:val="002B3D90"/>
    <w:rsid w:val="002B4166"/>
    <w:rsid w:val="002B4208"/>
    <w:rsid w:val="002B4C39"/>
    <w:rsid w:val="002B5976"/>
    <w:rsid w:val="002B5A52"/>
    <w:rsid w:val="002B5FAF"/>
    <w:rsid w:val="002B6397"/>
    <w:rsid w:val="002B64FE"/>
    <w:rsid w:val="002B651D"/>
    <w:rsid w:val="002B6890"/>
    <w:rsid w:val="002B694E"/>
    <w:rsid w:val="002B6C2C"/>
    <w:rsid w:val="002B7095"/>
    <w:rsid w:val="002B786E"/>
    <w:rsid w:val="002C00D6"/>
    <w:rsid w:val="002C0107"/>
    <w:rsid w:val="002C0400"/>
    <w:rsid w:val="002C04C2"/>
    <w:rsid w:val="002C0818"/>
    <w:rsid w:val="002C0AC9"/>
    <w:rsid w:val="002C0BCD"/>
    <w:rsid w:val="002C0DD0"/>
    <w:rsid w:val="002C0E0A"/>
    <w:rsid w:val="002C1003"/>
    <w:rsid w:val="002C1366"/>
    <w:rsid w:val="002C1368"/>
    <w:rsid w:val="002C1DF1"/>
    <w:rsid w:val="002C203A"/>
    <w:rsid w:val="002C2502"/>
    <w:rsid w:val="002C2DCB"/>
    <w:rsid w:val="002C2E8A"/>
    <w:rsid w:val="002C2FCD"/>
    <w:rsid w:val="002C33D3"/>
    <w:rsid w:val="002C36D3"/>
    <w:rsid w:val="002C3AE4"/>
    <w:rsid w:val="002C3C99"/>
    <w:rsid w:val="002C3E89"/>
    <w:rsid w:val="002C43C3"/>
    <w:rsid w:val="002C4602"/>
    <w:rsid w:val="002C4798"/>
    <w:rsid w:val="002C4DFD"/>
    <w:rsid w:val="002C4E7D"/>
    <w:rsid w:val="002C539A"/>
    <w:rsid w:val="002C5533"/>
    <w:rsid w:val="002C55C7"/>
    <w:rsid w:val="002C5620"/>
    <w:rsid w:val="002C5A6B"/>
    <w:rsid w:val="002C5D7C"/>
    <w:rsid w:val="002C61E0"/>
    <w:rsid w:val="002C6F88"/>
    <w:rsid w:val="002C7014"/>
    <w:rsid w:val="002C782F"/>
    <w:rsid w:val="002C79E4"/>
    <w:rsid w:val="002C7B03"/>
    <w:rsid w:val="002C7B0D"/>
    <w:rsid w:val="002C7D31"/>
    <w:rsid w:val="002C7D95"/>
    <w:rsid w:val="002C7EC6"/>
    <w:rsid w:val="002D001E"/>
    <w:rsid w:val="002D0298"/>
    <w:rsid w:val="002D04DC"/>
    <w:rsid w:val="002D0657"/>
    <w:rsid w:val="002D09B3"/>
    <w:rsid w:val="002D0DAA"/>
    <w:rsid w:val="002D0E91"/>
    <w:rsid w:val="002D0F42"/>
    <w:rsid w:val="002D1371"/>
    <w:rsid w:val="002D13B7"/>
    <w:rsid w:val="002D15C0"/>
    <w:rsid w:val="002D2057"/>
    <w:rsid w:val="002D2615"/>
    <w:rsid w:val="002D2B4E"/>
    <w:rsid w:val="002D2E02"/>
    <w:rsid w:val="002D2EE7"/>
    <w:rsid w:val="002D3905"/>
    <w:rsid w:val="002D3968"/>
    <w:rsid w:val="002D3A66"/>
    <w:rsid w:val="002D425A"/>
    <w:rsid w:val="002D42E6"/>
    <w:rsid w:val="002D4322"/>
    <w:rsid w:val="002D4A54"/>
    <w:rsid w:val="002D4A85"/>
    <w:rsid w:val="002D4E37"/>
    <w:rsid w:val="002D52E0"/>
    <w:rsid w:val="002D59F6"/>
    <w:rsid w:val="002D5DEA"/>
    <w:rsid w:val="002D6127"/>
    <w:rsid w:val="002D62B2"/>
    <w:rsid w:val="002D68B2"/>
    <w:rsid w:val="002D68C3"/>
    <w:rsid w:val="002D6B9D"/>
    <w:rsid w:val="002D6C69"/>
    <w:rsid w:val="002D6F2B"/>
    <w:rsid w:val="002D6F89"/>
    <w:rsid w:val="002D7058"/>
    <w:rsid w:val="002D772F"/>
    <w:rsid w:val="002D7833"/>
    <w:rsid w:val="002D7E4D"/>
    <w:rsid w:val="002E018E"/>
    <w:rsid w:val="002E03E6"/>
    <w:rsid w:val="002E04F0"/>
    <w:rsid w:val="002E0661"/>
    <w:rsid w:val="002E086B"/>
    <w:rsid w:val="002E0A82"/>
    <w:rsid w:val="002E0D41"/>
    <w:rsid w:val="002E0E94"/>
    <w:rsid w:val="002E1154"/>
    <w:rsid w:val="002E16BC"/>
    <w:rsid w:val="002E1941"/>
    <w:rsid w:val="002E19BD"/>
    <w:rsid w:val="002E1A53"/>
    <w:rsid w:val="002E1ED8"/>
    <w:rsid w:val="002E21D5"/>
    <w:rsid w:val="002E251B"/>
    <w:rsid w:val="002E2846"/>
    <w:rsid w:val="002E2923"/>
    <w:rsid w:val="002E2A76"/>
    <w:rsid w:val="002E306D"/>
    <w:rsid w:val="002E314D"/>
    <w:rsid w:val="002E3257"/>
    <w:rsid w:val="002E339F"/>
    <w:rsid w:val="002E3624"/>
    <w:rsid w:val="002E3653"/>
    <w:rsid w:val="002E36AE"/>
    <w:rsid w:val="002E38B7"/>
    <w:rsid w:val="002E3A8B"/>
    <w:rsid w:val="002E3AA6"/>
    <w:rsid w:val="002E492F"/>
    <w:rsid w:val="002E4B7B"/>
    <w:rsid w:val="002E4C0E"/>
    <w:rsid w:val="002E501A"/>
    <w:rsid w:val="002E550C"/>
    <w:rsid w:val="002E58E1"/>
    <w:rsid w:val="002E5B55"/>
    <w:rsid w:val="002E5BDD"/>
    <w:rsid w:val="002E5C56"/>
    <w:rsid w:val="002E5CBA"/>
    <w:rsid w:val="002E679D"/>
    <w:rsid w:val="002E6AA0"/>
    <w:rsid w:val="002E7321"/>
    <w:rsid w:val="002E7894"/>
    <w:rsid w:val="002E7B2D"/>
    <w:rsid w:val="002E7C45"/>
    <w:rsid w:val="002F0045"/>
    <w:rsid w:val="002F00F0"/>
    <w:rsid w:val="002F025B"/>
    <w:rsid w:val="002F0675"/>
    <w:rsid w:val="002F0684"/>
    <w:rsid w:val="002F0A2A"/>
    <w:rsid w:val="002F0ADB"/>
    <w:rsid w:val="002F127C"/>
    <w:rsid w:val="002F13AA"/>
    <w:rsid w:val="002F153A"/>
    <w:rsid w:val="002F15C7"/>
    <w:rsid w:val="002F1BBA"/>
    <w:rsid w:val="002F23FC"/>
    <w:rsid w:val="002F29F5"/>
    <w:rsid w:val="002F2AE0"/>
    <w:rsid w:val="002F3074"/>
    <w:rsid w:val="002F3546"/>
    <w:rsid w:val="002F361A"/>
    <w:rsid w:val="002F3AAA"/>
    <w:rsid w:val="002F3F16"/>
    <w:rsid w:val="002F413F"/>
    <w:rsid w:val="002F4180"/>
    <w:rsid w:val="002F41C1"/>
    <w:rsid w:val="002F44AD"/>
    <w:rsid w:val="002F45D3"/>
    <w:rsid w:val="002F4934"/>
    <w:rsid w:val="002F4997"/>
    <w:rsid w:val="002F4A52"/>
    <w:rsid w:val="002F4CF5"/>
    <w:rsid w:val="002F4FC5"/>
    <w:rsid w:val="002F5015"/>
    <w:rsid w:val="002F511A"/>
    <w:rsid w:val="002F5422"/>
    <w:rsid w:val="002F5634"/>
    <w:rsid w:val="002F5C10"/>
    <w:rsid w:val="002F5F14"/>
    <w:rsid w:val="002F5FDA"/>
    <w:rsid w:val="002F619C"/>
    <w:rsid w:val="002F6319"/>
    <w:rsid w:val="002F6527"/>
    <w:rsid w:val="002F67E2"/>
    <w:rsid w:val="002F6BDA"/>
    <w:rsid w:val="002F6C02"/>
    <w:rsid w:val="002F6EA2"/>
    <w:rsid w:val="002F7055"/>
    <w:rsid w:val="002F7B6D"/>
    <w:rsid w:val="002F7B7D"/>
    <w:rsid w:val="002F7D48"/>
    <w:rsid w:val="002F7DA8"/>
    <w:rsid w:val="002F7E27"/>
    <w:rsid w:val="002F7EC5"/>
    <w:rsid w:val="003000CB"/>
    <w:rsid w:val="003003AD"/>
    <w:rsid w:val="003003C3"/>
    <w:rsid w:val="003004CC"/>
    <w:rsid w:val="003004ED"/>
    <w:rsid w:val="00300FC7"/>
    <w:rsid w:val="003011C0"/>
    <w:rsid w:val="003013FC"/>
    <w:rsid w:val="0030159E"/>
    <w:rsid w:val="00301927"/>
    <w:rsid w:val="00301A70"/>
    <w:rsid w:val="00301D96"/>
    <w:rsid w:val="00301EE4"/>
    <w:rsid w:val="003024AF"/>
    <w:rsid w:val="003024DE"/>
    <w:rsid w:val="003025A7"/>
    <w:rsid w:val="00302701"/>
    <w:rsid w:val="00302739"/>
    <w:rsid w:val="00302B0F"/>
    <w:rsid w:val="00302BD2"/>
    <w:rsid w:val="0030361B"/>
    <w:rsid w:val="003037DA"/>
    <w:rsid w:val="00303853"/>
    <w:rsid w:val="00303FB7"/>
    <w:rsid w:val="00304549"/>
    <w:rsid w:val="003048E8"/>
    <w:rsid w:val="00304AC5"/>
    <w:rsid w:val="00304D0C"/>
    <w:rsid w:val="00304FCA"/>
    <w:rsid w:val="00304FCC"/>
    <w:rsid w:val="00305372"/>
    <w:rsid w:val="003054BD"/>
    <w:rsid w:val="0030621C"/>
    <w:rsid w:val="00306306"/>
    <w:rsid w:val="003065FB"/>
    <w:rsid w:val="00306C47"/>
    <w:rsid w:val="00306F04"/>
    <w:rsid w:val="003075AA"/>
    <w:rsid w:val="0030775B"/>
    <w:rsid w:val="003079A2"/>
    <w:rsid w:val="00307B27"/>
    <w:rsid w:val="00307CA6"/>
    <w:rsid w:val="00307F28"/>
    <w:rsid w:val="0031006B"/>
    <w:rsid w:val="0031018C"/>
    <w:rsid w:val="003101DC"/>
    <w:rsid w:val="0031035A"/>
    <w:rsid w:val="003105FA"/>
    <w:rsid w:val="00310CC6"/>
    <w:rsid w:val="00311421"/>
    <w:rsid w:val="0031153C"/>
    <w:rsid w:val="00311642"/>
    <w:rsid w:val="00311761"/>
    <w:rsid w:val="00311941"/>
    <w:rsid w:val="00312064"/>
    <w:rsid w:val="003121B8"/>
    <w:rsid w:val="00312D94"/>
    <w:rsid w:val="003131CB"/>
    <w:rsid w:val="003137A0"/>
    <w:rsid w:val="003137ED"/>
    <w:rsid w:val="00313A44"/>
    <w:rsid w:val="00313A5E"/>
    <w:rsid w:val="00313B5E"/>
    <w:rsid w:val="00313C4F"/>
    <w:rsid w:val="00313FBA"/>
    <w:rsid w:val="00314176"/>
    <w:rsid w:val="003141C2"/>
    <w:rsid w:val="00314629"/>
    <w:rsid w:val="00314B7B"/>
    <w:rsid w:val="003150EA"/>
    <w:rsid w:val="00315744"/>
    <w:rsid w:val="0031599D"/>
    <w:rsid w:val="00315F72"/>
    <w:rsid w:val="00316035"/>
    <w:rsid w:val="00316072"/>
    <w:rsid w:val="003160FB"/>
    <w:rsid w:val="00316265"/>
    <w:rsid w:val="00316C58"/>
    <w:rsid w:val="00316CAB"/>
    <w:rsid w:val="00316E46"/>
    <w:rsid w:val="00317050"/>
    <w:rsid w:val="00317474"/>
    <w:rsid w:val="00317712"/>
    <w:rsid w:val="00317884"/>
    <w:rsid w:val="00317C8F"/>
    <w:rsid w:val="003200D5"/>
    <w:rsid w:val="00320312"/>
    <w:rsid w:val="00320B1B"/>
    <w:rsid w:val="00320F24"/>
    <w:rsid w:val="0032172E"/>
    <w:rsid w:val="00321822"/>
    <w:rsid w:val="00321974"/>
    <w:rsid w:val="00321B02"/>
    <w:rsid w:val="00321B2E"/>
    <w:rsid w:val="00322021"/>
    <w:rsid w:val="003222E4"/>
    <w:rsid w:val="00322483"/>
    <w:rsid w:val="00322722"/>
    <w:rsid w:val="00322929"/>
    <w:rsid w:val="00322A6A"/>
    <w:rsid w:val="00322BC3"/>
    <w:rsid w:val="00322DB8"/>
    <w:rsid w:val="00322E3B"/>
    <w:rsid w:val="0032350D"/>
    <w:rsid w:val="00323D12"/>
    <w:rsid w:val="00323FAD"/>
    <w:rsid w:val="00324010"/>
    <w:rsid w:val="003242C1"/>
    <w:rsid w:val="00324731"/>
    <w:rsid w:val="003249F8"/>
    <w:rsid w:val="00324DDB"/>
    <w:rsid w:val="00324F6C"/>
    <w:rsid w:val="00325C1C"/>
    <w:rsid w:val="00325C6E"/>
    <w:rsid w:val="00325CE9"/>
    <w:rsid w:val="0032649F"/>
    <w:rsid w:val="0032695B"/>
    <w:rsid w:val="00326BBA"/>
    <w:rsid w:val="003271E3"/>
    <w:rsid w:val="003272D0"/>
    <w:rsid w:val="003273DE"/>
    <w:rsid w:val="00327470"/>
    <w:rsid w:val="003278C7"/>
    <w:rsid w:val="0032793B"/>
    <w:rsid w:val="00327AEA"/>
    <w:rsid w:val="00327F11"/>
    <w:rsid w:val="003308C4"/>
    <w:rsid w:val="0033090C"/>
    <w:rsid w:val="00330C30"/>
    <w:rsid w:val="00330DE8"/>
    <w:rsid w:val="00330FA2"/>
    <w:rsid w:val="00331572"/>
    <w:rsid w:val="003317E8"/>
    <w:rsid w:val="00331B93"/>
    <w:rsid w:val="00331BCC"/>
    <w:rsid w:val="003321C3"/>
    <w:rsid w:val="00332962"/>
    <w:rsid w:val="00333229"/>
    <w:rsid w:val="003335DC"/>
    <w:rsid w:val="003336B7"/>
    <w:rsid w:val="00333FB4"/>
    <w:rsid w:val="00334678"/>
    <w:rsid w:val="00334799"/>
    <w:rsid w:val="00334B78"/>
    <w:rsid w:val="00334DF1"/>
    <w:rsid w:val="00335250"/>
    <w:rsid w:val="0033588B"/>
    <w:rsid w:val="0033592C"/>
    <w:rsid w:val="00335E2A"/>
    <w:rsid w:val="00336225"/>
    <w:rsid w:val="00336780"/>
    <w:rsid w:val="003367C5"/>
    <w:rsid w:val="003370D3"/>
    <w:rsid w:val="003377A3"/>
    <w:rsid w:val="003378A3"/>
    <w:rsid w:val="00337A57"/>
    <w:rsid w:val="00337C71"/>
    <w:rsid w:val="00340083"/>
    <w:rsid w:val="0034009A"/>
    <w:rsid w:val="00340369"/>
    <w:rsid w:val="00340E16"/>
    <w:rsid w:val="00340E58"/>
    <w:rsid w:val="00340F47"/>
    <w:rsid w:val="00341087"/>
    <w:rsid w:val="003413A1"/>
    <w:rsid w:val="0034142D"/>
    <w:rsid w:val="00341840"/>
    <w:rsid w:val="00341C23"/>
    <w:rsid w:val="00341CDF"/>
    <w:rsid w:val="00341D40"/>
    <w:rsid w:val="0034243C"/>
    <w:rsid w:val="0034246D"/>
    <w:rsid w:val="003426DE"/>
    <w:rsid w:val="00342BBF"/>
    <w:rsid w:val="00342BD6"/>
    <w:rsid w:val="00342E0A"/>
    <w:rsid w:val="0034305B"/>
    <w:rsid w:val="003430E0"/>
    <w:rsid w:val="00343187"/>
    <w:rsid w:val="00343752"/>
    <w:rsid w:val="00343963"/>
    <w:rsid w:val="00343C24"/>
    <w:rsid w:val="00343DA5"/>
    <w:rsid w:val="003444AD"/>
    <w:rsid w:val="00344725"/>
    <w:rsid w:val="0034511B"/>
    <w:rsid w:val="00345127"/>
    <w:rsid w:val="00345243"/>
    <w:rsid w:val="003454A2"/>
    <w:rsid w:val="003460F4"/>
    <w:rsid w:val="003460F6"/>
    <w:rsid w:val="0034666E"/>
    <w:rsid w:val="00346A3C"/>
    <w:rsid w:val="003471DC"/>
    <w:rsid w:val="0034745C"/>
    <w:rsid w:val="00347599"/>
    <w:rsid w:val="00347F2E"/>
    <w:rsid w:val="00350110"/>
    <w:rsid w:val="00350186"/>
    <w:rsid w:val="0035025F"/>
    <w:rsid w:val="003503F4"/>
    <w:rsid w:val="0035041A"/>
    <w:rsid w:val="003505AD"/>
    <w:rsid w:val="00350631"/>
    <w:rsid w:val="0035140A"/>
    <w:rsid w:val="0035180B"/>
    <w:rsid w:val="00351C98"/>
    <w:rsid w:val="00351DE5"/>
    <w:rsid w:val="00351EAA"/>
    <w:rsid w:val="00351FDB"/>
    <w:rsid w:val="0035216E"/>
    <w:rsid w:val="003522C9"/>
    <w:rsid w:val="0035265C"/>
    <w:rsid w:val="00352759"/>
    <w:rsid w:val="00352828"/>
    <w:rsid w:val="00352952"/>
    <w:rsid w:val="00352A91"/>
    <w:rsid w:val="00352CC9"/>
    <w:rsid w:val="00352DAE"/>
    <w:rsid w:val="00352FD6"/>
    <w:rsid w:val="003530A0"/>
    <w:rsid w:val="003531B0"/>
    <w:rsid w:val="0035325F"/>
    <w:rsid w:val="003532D2"/>
    <w:rsid w:val="00353318"/>
    <w:rsid w:val="00353591"/>
    <w:rsid w:val="003536BA"/>
    <w:rsid w:val="003536C6"/>
    <w:rsid w:val="003539B2"/>
    <w:rsid w:val="00353CC0"/>
    <w:rsid w:val="00353EE1"/>
    <w:rsid w:val="00353F9F"/>
    <w:rsid w:val="0035414B"/>
    <w:rsid w:val="0035414E"/>
    <w:rsid w:val="00354460"/>
    <w:rsid w:val="0035496D"/>
    <w:rsid w:val="00354DBF"/>
    <w:rsid w:val="003552C6"/>
    <w:rsid w:val="0035568A"/>
    <w:rsid w:val="00355A83"/>
    <w:rsid w:val="00355DD6"/>
    <w:rsid w:val="003560B8"/>
    <w:rsid w:val="003562D7"/>
    <w:rsid w:val="00356353"/>
    <w:rsid w:val="00356552"/>
    <w:rsid w:val="003567C9"/>
    <w:rsid w:val="003568A5"/>
    <w:rsid w:val="00356AB0"/>
    <w:rsid w:val="00356B3C"/>
    <w:rsid w:val="00356CEC"/>
    <w:rsid w:val="003572DE"/>
    <w:rsid w:val="003573EA"/>
    <w:rsid w:val="00357659"/>
    <w:rsid w:val="00357712"/>
    <w:rsid w:val="003579A1"/>
    <w:rsid w:val="00357D8A"/>
    <w:rsid w:val="003600B8"/>
    <w:rsid w:val="0036012E"/>
    <w:rsid w:val="003604BF"/>
    <w:rsid w:val="003604DB"/>
    <w:rsid w:val="0036056F"/>
    <w:rsid w:val="00360624"/>
    <w:rsid w:val="00360ABB"/>
    <w:rsid w:val="00361711"/>
    <w:rsid w:val="003617B5"/>
    <w:rsid w:val="0036185C"/>
    <w:rsid w:val="003621A7"/>
    <w:rsid w:val="00362514"/>
    <w:rsid w:val="0036262C"/>
    <w:rsid w:val="00362A2B"/>
    <w:rsid w:val="00362C5A"/>
    <w:rsid w:val="003630B8"/>
    <w:rsid w:val="00363984"/>
    <w:rsid w:val="00363EE9"/>
    <w:rsid w:val="00364A63"/>
    <w:rsid w:val="003654DA"/>
    <w:rsid w:val="003659CC"/>
    <w:rsid w:val="00366165"/>
    <w:rsid w:val="00367D2F"/>
    <w:rsid w:val="003700A7"/>
    <w:rsid w:val="00370285"/>
    <w:rsid w:val="003704EE"/>
    <w:rsid w:val="00370880"/>
    <w:rsid w:val="00370915"/>
    <w:rsid w:val="00370AB5"/>
    <w:rsid w:val="00370EFD"/>
    <w:rsid w:val="00371137"/>
    <w:rsid w:val="0037125D"/>
    <w:rsid w:val="00371730"/>
    <w:rsid w:val="00371766"/>
    <w:rsid w:val="0037180A"/>
    <w:rsid w:val="00371831"/>
    <w:rsid w:val="003719F5"/>
    <w:rsid w:val="00371CF9"/>
    <w:rsid w:val="00372029"/>
    <w:rsid w:val="003723D0"/>
    <w:rsid w:val="003724A1"/>
    <w:rsid w:val="00372A6B"/>
    <w:rsid w:val="00372B3E"/>
    <w:rsid w:val="00372FD7"/>
    <w:rsid w:val="003730EA"/>
    <w:rsid w:val="00373BD4"/>
    <w:rsid w:val="00373E10"/>
    <w:rsid w:val="00373F2C"/>
    <w:rsid w:val="0037406C"/>
    <w:rsid w:val="003741D2"/>
    <w:rsid w:val="003744CB"/>
    <w:rsid w:val="00374804"/>
    <w:rsid w:val="00374C90"/>
    <w:rsid w:val="00374F06"/>
    <w:rsid w:val="00374F99"/>
    <w:rsid w:val="00375FFC"/>
    <w:rsid w:val="0037637C"/>
    <w:rsid w:val="003764FA"/>
    <w:rsid w:val="0037664D"/>
    <w:rsid w:val="00376778"/>
    <w:rsid w:val="003769B8"/>
    <w:rsid w:val="00376CD6"/>
    <w:rsid w:val="00376E52"/>
    <w:rsid w:val="0037709A"/>
    <w:rsid w:val="00377146"/>
    <w:rsid w:val="00377397"/>
    <w:rsid w:val="0037743F"/>
    <w:rsid w:val="003774FD"/>
    <w:rsid w:val="003775BD"/>
    <w:rsid w:val="003778EB"/>
    <w:rsid w:val="0038072E"/>
    <w:rsid w:val="0038084F"/>
    <w:rsid w:val="00380892"/>
    <w:rsid w:val="003809DC"/>
    <w:rsid w:val="00381079"/>
    <w:rsid w:val="00381685"/>
    <w:rsid w:val="00381918"/>
    <w:rsid w:val="003821E7"/>
    <w:rsid w:val="0038227A"/>
    <w:rsid w:val="003823F9"/>
    <w:rsid w:val="00382425"/>
    <w:rsid w:val="0038245B"/>
    <w:rsid w:val="003827B3"/>
    <w:rsid w:val="00382903"/>
    <w:rsid w:val="003830C3"/>
    <w:rsid w:val="00383483"/>
    <w:rsid w:val="00383D4B"/>
    <w:rsid w:val="00383DDB"/>
    <w:rsid w:val="003842A8"/>
    <w:rsid w:val="0038437A"/>
    <w:rsid w:val="00384506"/>
    <w:rsid w:val="003848D9"/>
    <w:rsid w:val="00385192"/>
    <w:rsid w:val="003852CC"/>
    <w:rsid w:val="00385367"/>
    <w:rsid w:val="0038556E"/>
    <w:rsid w:val="003856A4"/>
    <w:rsid w:val="003856BE"/>
    <w:rsid w:val="00385823"/>
    <w:rsid w:val="00385BD7"/>
    <w:rsid w:val="00386216"/>
    <w:rsid w:val="0038628D"/>
    <w:rsid w:val="003862D5"/>
    <w:rsid w:val="00386457"/>
    <w:rsid w:val="00386A15"/>
    <w:rsid w:val="00386B71"/>
    <w:rsid w:val="00386EB4"/>
    <w:rsid w:val="00386FB4"/>
    <w:rsid w:val="00386FEA"/>
    <w:rsid w:val="0038702D"/>
    <w:rsid w:val="003870BC"/>
    <w:rsid w:val="0038732E"/>
    <w:rsid w:val="00387675"/>
    <w:rsid w:val="00387771"/>
    <w:rsid w:val="00387B2B"/>
    <w:rsid w:val="0039043E"/>
    <w:rsid w:val="003904B1"/>
    <w:rsid w:val="003907D2"/>
    <w:rsid w:val="00390837"/>
    <w:rsid w:val="00390B41"/>
    <w:rsid w:val="00390B8F"/>
    <w:rsid w:val="00390C56"/>
    <w:rsid w:val="00390E89"/>
    <w:rsid w:val="0039122C"/>
    <w:rsid w:val="0039124D"/>
    <w:rsid w:val="003914C2"/>
    <w:rsid w:val="00391688"/>
    <w:rsid w:val="00391A92"/>
    <w:rsid w:val="003926BE"/>
    <w:rsid w:val="00392C9B"/>
    <w:rsid w:val="00392DB8"/>
    <w:rsid w:val="00392E8F"/>
    <w:rsid w:val="00392FA4"/>
    <w:rsid w:val="0039383E"/>
    <w:rsid w:val="00393B78"/>
    <w:rsid w:val="00393CEC"/>
    <w:rsid w:val="00393E7D"/>
    <w:rsid w:val="00393FA8"/>
    <w:rsid w:val="003941AC"/>
    <w:rsid w:val="00394775"/>
    <w:rsid w:val="00394927"/>
    <w:rsid w:val="00394928"/>
    <w:rsid w:val="00394B44"/>
    <w:rsid w:val="00394B72"/>
    <w:rsid w:val="0039502C"/>
    <w:rsid w:val="00395094"/>
    <w:rsid w:val="00395140"/>
    <w:rsid w:val="003956CC"/>
    <w:rsid w:val="003956DF"/>
    <w:rsid w:val="003956FE"/>
    <w:rsid w:val="0039598F"/>
    <w:rsid w:val="003960D5"/>
    <w:rsid w:val="0039610F"/>
    <w:rsid w:val="00396639"/>
    <w:rsid w:val="0039665F"/>
    <w:rsid w:val="003967AB"/>
    <w:rsid w:val="00396E4A"/>
    <w:rsid w:val="00397464"/>
    <w:rsid w:val="00397514"/>
    <w:rsid w:val="0039780E"/>
    <w:rsid w:val="003978B8"/>
    <w:rsid w:val="00397B96"/>
    <w:rsid w:val="00397BCB"/>
    <w:rsid w:val="00397C89"/>
    <w:rsid w:val="00397DD1"/>
    <w:rsid w:val="003A0152"/>
    <w:rsid w:val="003A02E0"/>
    <w:rsid w:val="003A0311"/>
    <w:rsid w:val="003A0736"/>
    <w:rsid w:val="003A07F5"/>
    <w:rsid w:val="003A0BFC"/>
    <w:rsid w:val="003A0EB1"/>
    <w:rsid w:val="003A1135"/>
    <w:rsid w:val="003A1341"/>
    <w:rsid w:val="003A162C"/>
    <w:rsid w:val="003A19E0"/>
    <w:rsid w:val="003A1DD5"/>
    <w:rsid w:val="003A1FF3"/>
    <w:rsid w:val="003A2019"/>
    <w:rsid w:val="003A2811"/>
    <w:rsid w:val="003A2D39"/>
    <w:rsid w:val="003A2E54"/>
    <w:rsid w:val="003A2EBA"/>
    <w:rsid w:val="003A2FE7"/>
    <w:rsid w:val="003A392F"/>
    <w:rsid w:val="003A3A27"/>
    <w:rsid w:val="003A42BB"/>
    <w:rsid w:val="003A44E3"/>
    <w:rsid w:val="003A45FB"/>
    <w:rsid w:val="003A48FC"/>
    <w:rsid w:val="003A4E82"/>
    <w:rsid w:val="003A5167"/>
    <w:rsid w:val="003A590E"/>
    <w:rsid w:val="003A5C66"/>
    <w:rsid w:val="003A6330"/>
    <w:rsid w:val="003A67EA"/>
    <w:rsid w:val="003A6A9D"/>
    <w:rsid w:val="003A6BC9"/>
    <w:rsid w:val="003A6F54"/>
    <w:rsid w:val="003A76A9"/>
    <w:rsid w:val="003A7747"/>
    <w:rsid w:val="003B00CC"/>
    <w:rsid w:val="003B0299"/>
    <w:rsid w:val="003B034A"/>
    <w:rsid w:val="003B03CC"/>
    <w:rsid w:val="003B0434"/>
    <w:rsid w:val="003B0901"/>
    <w:rsid w:val="003B0B4D"/>
    <w:rsid w:val="003B0F9B"/>
    <w:rsid w:val="003B1046"/>
    <w:rsid w:val="003B1087"/>
    <w:rsid w:val="003B1422"/>
    <w:rsid w:val="003B14B8"/>
    <w:rsid w:val="003B1575"/>
    <w:rsid w:val="003B1600"/>
    <w:rsid w:val="003B188F"/>
    <w:rsid w:val="003B1CC2"/>
    <w:rsid w:val="003B21B1"/>
    <w:rsid w:val="003B2B79"/>
    <w:rsid w:val="003B2D13"/>
    <w:rsid w:val="003B2E54"/>
    <w:rsid w:val="003B31F9"/>
    <w:rsid w:val="003B4482"/>
    <w:rsid w:val="003B49B6"/>
    <w:rsid w:val="003B4D20"/>
    <w:rsid w:val="003B4E9A"/>
    <w:rsid w:val="003B4FC5"/>
    <w:rsid w:val="003B5043"/>
    <w:rsid w:val="003B521B"/>
    <w:rsid w:val="003B55AA"/>
    <w:rsid w:val="003B570F"/>
    <w:rsid w:val="003B5B57"/>
    <w:rsid w:val="003B5B7E"/>
    <w:rsid w:val="003B5E30"/>
    <w:rsid w:val="003B5EB9"/>
    <w:rsid w:val="003B60B0"/>
    <w:rsid w:val="003B6194"/>
    <w:rsid w:val="003B674F"/>
    <w:rsid w:val="003B67A0"/>
    <w:rsid w:val="003B6F75"/>
    <w:rsid w:val="003B6FCB"/>
    <w:rsid w:val="003B7020"/>
    <w:rsid w:val="003B7271"/>
    <w:rsid w:val="003B7294"/>
    <w:rsid w:val="003B76FE"/>
    <w:rsid w:val="003C009A"/>
    <w:rsid w:val="003C02B2"/>
    <w:rsid w:val="003C07D7"/>
    <w:rsid w:val="003C0985"/>
    <w:rsid w:val="003C0D37"/>
    <w:rsid w:val="003C0E0C"/>
    <w:rsid w:val="003C16F5"/>
    <w:rsid w:val="003C1836"/>
    <w:rsid w:val="003C1A16"/>
    <w:rsid w:val="003C1EC9"/>
    <w:rsid w:val="003C2B4A"/>
    <w:rsid w:val="003C2C9D"/>
    <w:rsid w:val="003C3204"/>
    <w:rsid w:val="003C368F"/>
    <w:rsid w:val="003C3B73"/>
    <w:rsid w:val="003C3D8B"/>
    <w:rsid w:val="003C3EB2"/>
    <w:rsid w:val="003C4250"/>
    <w:rsid w:val="003C450C"/>
    <w:rsid w:val="003C4952"/>
    <w:rsid w:val="003C4D16"/>
    <w:rsid w:val="003C4D8C"/>
    <w:rsid w:val="003C4F25"/>
    <w:rsid w:val="003C57B5"/>
    <w:rsid w:val="003C5DDF"/>
    <w:rsid w:val="003C6580"/>
    <w:rsid w:val="003C6674"/>
    <w:rsid w:val="003C72F6"/>
    <w:rsid w:val="003C7459"/>
    <w:rsid w:val="003C78C0"/>
    <w:rsid w:val="003C79A4"/>
    <w:rsid w:val="003C7D16"/>
    <w:rsid w:val="003C7E0D"/>
    <w:rsid w:val="003D070C"/>
    <w:rsid w:val="003D075A"/>
    <w:rsid w:val="003D09DA"/>
    <w:rsid w:val="003D0A97"/>
    <w:rsid w:val="003D0D75"/>
    <w:rsid w:val="003D0E68"/>
    <w:rsid w:val="003D0ED9"/>
    <w:rsid w:val="003D124C"/>
    <w:rsid w:val="003D15C3"/>
    <w:rsid w:val="003D2050"/>
    <w:rsid w:val="003D2339"/>
    <w:rsid w:val="003D26AA"/>
    <w:rsid w:val="003D270E"/>
    <w:rsid w:val="003D2802"/>
    <w:rsid w:val="003D29DE"/>
    <w:rsid w:val="003D2A2B"/>
    <w:rsid w:val="003D2AFE"/>
    <w:rsid w:val="003D30C7"/>
    <w:rsid w:val="003D39A6"/>
    <w:rsid w:val="003D3E0E"/>
    <w:rsid w:val="003D3E74"/>
    <w:rsid w:val="003D41AC"/>
    <w:rsid w:val="003D4330"/>
    <w:rsid w:val="003D4350"/>
    <w:rsid w:val="003D4409"/>
    <w:rsid w:val="003D47C1"/>
    <w:rsid w:val="003D4CA8"/>
    <w:rsid w:val="003D50AE"/>
    <w:rsid w:val="003D5176"/>
    <w:rsid w:val="003D52A8"/>
    <w:rsid w:val="003D5329"/>
    <w:rsid w:val="003D5717"/>
    <w:rsid w:val="003D5726"/>
    <w:rsid w:val="003D5878"/>
    <w:rsid w:val="003D59FE"/>
    <w:rsid w:val="003D5E8F"/>
    <w:rsid w:val="003D60D5"/>
    <w:rsid w:val="003D6348"/>
    <w:rsid w:val="003D63BA"/>
    <w:rsid w:val="003D680E"/>
    <w:rsid w:val="003D6B49"/>
    <w:rsid w:val="003D6D0C"/>
    <w:rsid w:val="003D6F9B"/>
    <w:rsid w:val="003D7078"/>
    <w:rsid w:val="003D75D3"/>
    <w:rsid w:val="003D78D5"/>
    <w:rsid w:val="003D79E8"/>
    <w:rsid w:val="003E0133"/>
    <w:rsid w:val="003E0862"/>
    <w:rsid w:val="003E089F"/>
    <w:rsid w:val="003E0A9F"/>
    <w:rsid w:val="003E0ADB"/>
    <w:rsid w:val="003E0CE4"/>
    <w:rsid w:val="003E125F"/>
    <w:rsid w:val="003E1274"/>
    <w:rsid w:val="003E1304"/>
    <w:rsid w:val="003E1748"/>
    <w:rsid w:val="003E18B7"/>
    <w:rsid w:val="003E1CF4"/>
    <w:rsid w:val="003E240A"/>
    <w:rsid w:val="003E2719"/>
    <w:rsid w:val="003E2896"/>
    <w:rsid w:val="003E2B8B"/>
    <w:rsid w:val="003E2BF4"/>
    <w:rsid w:val="003E2E52"/>
    <w:rsid w:val="003E31BF"/>
    <w:rsid w:val="003E3245"/>
    <w:rsid w:val="003E33B8"/>
    <w:rsid w:val="003E34E1"/>
    <w:rsid w:val="003E3524"/>
    <w:rsid w:val="003E3C5B"/>
    <w:rsid w:val="003E3D11"/>
    <w:rsid w:val="003E40B3"/>
    <w:rsid w:val="003E40C9"/>
    <w:rsid w:val="003E4CDB"/>
    <w:rsid w:val="003E4E35"/>
    <w:rsid w:val="003E5195"/>
    <w:rsid w:val="003E52EB"/>
    <w:rsid w:val="003E5CA0"/>
    <w:rsid w:val="003E60F2"/>
    <w:rsid w:val="003E6279"/>
    <w:rsid w:val="003E6592"/>
    <w:rsid w:val="003E7014"/>
    <w:rsid w:val="003E703E"/>
    <w:rsid w:val="003E73BC"/>
    <w:rsid w:val="003E740A"/>
    <w:rsid w:val="003E7A02"/>
    <w:rsid w:val="003E7A07"/>
    <w:rsid w:val="003F0656"/>
    <w:rsid w:val="003F08C9"/>
    <w:rsid w:val="003F0905"/>
    <w:rsid w:val="003F0C05"/>
    <w:rsid w:val="003F0FD9"/>
    <w:rsid w:val="003F16E1"/>
    <w:rsid w:val="003F184C"/>
    <w:rsid w:val="003F1B6D"/>
    <w:rsid w:val="003F1D73"/>
    <w:rsid w:val="003F20E2"/>
    <w:rsid w:val="003F2159"/>
    <w:rsid w:val="003F2244"/>
    <w:rsid w:val="003F23A7"/>
    <w:rsid w:val="003F2544"/>
    <w:rsid w:val="003F2564"/>
    <w:rsid w:val="003F2624"/>
    <w:rsid w:val="003F2711"/>
    <w:rsid w:val="003F2876"/>
    <w:rsid w:val="003F298B"/>
    <w:rsid w:val="003F2A56"/>
    <w:rsid w:val="003F30AD"/>
    <w:rsid w:val="003F3197"/>
    <w:rsid w:val="003F3865"/>
    <w:rsid w:val="003F4933"/>
    <w:rsid w:val="003F4977"/>
    <w:rsid w:val="003F4E1C"/>
    <w:rsid w:val="003F4E39"/>
    <w:rsid w:val="003F5088"/>
    <w:rsid w:val="003F536B"/>
    <w:rsid w:val="003F5651"/>
    <w:rsid w:val="003F580C"/>
    <w:rsid w:val="003F586D"/>
    <w:rsid w:val="003F5DE6"/>
    <w:rsid w:val="003F60EF"/>
    <w:rsid w:val="003F62B4"/>
    <w:rsid w:val="003F63ED"/>
    <w:rsid w:val="003F6853"/>
    <w:rsid w:val="003F6930"/>
    <w:rsid w:val="003F6AF9"/>
    <w:rsid w:val="003F6F1A"/>
    <w:rsid w:val="003F6F25"/>
    <w:rsid w:val="003F73A0"/>
    <w:rsid w:val="003F75DD"/>
    <w:rsid w:val="003F7DFF"/>
    <w:rsid w:val="00400147"/>
    <w:rsid w:val="0040015E"/>
    <w:rsid w:val="00400427"/>
    <w:rsid w:val="004004C1"/>
    <w:rsid w:val="0040067F"/>
    <w:rsid w:val="0040079A"/>
    <w:rsid w:val="00400906"/>
    <w:rsid w:val="00400F4B"/>
    <w:rsid w:val="00401081"/>
    <w:rsid w:val="004010CF"/>
    <w:rsid w:val="004012FA"/>
    <w:rsid w:val="00401360"/>
    <w:rsid w:val="0040145F"/>
    <w:rsid w:val="00401612"/>
    <w:rsid w:val="004017C6"/>
    <w:rsid w:val="004024AB"/>
    <w:rsid w:val="00402F2C"/>
    <w:rsid w:val="0040303D"/>
    <w:rsid w:val="0040326F"/>
    <w:rsid w:val="004032D2"/>
    <w:rsid w:val="0040379F"/>
    <w:rsid w:val="00403805"/>
    <w:rsid w:val="00403824"/>
    <w:rsid w:val="00403AFF"/>
    <w:rsid w:val="00403F25"/>
    <w:rsid w:val="004044F8"/>
    <w:rsid w:val="0040495B"/>
    <w:rsid w:val="00404AE9"/>
    <w:rsid w:val="00405076"/>
    <w:rsid w:val="0040513F"/>
    <w:rsid w:val="00405194"/>
    <w:rsid w:val="00405476"/>
    <w:rsid w:val="00405859"/>
    <w:rsid w:val="00405898"/>
    <w:rsid w:val="00405BAA"/>
    <w:rsid w:val="00405D95"/>
    <w:rsid w:val="00405F90"/>
    <w:rsid w:val="00406108"/>
    <w:rsid w:val="00406116"/>
    <w:rsid w:val="00406412"/>
    <w:rsid w:val="0040651D"/>
    <w:rsid w:val="00406F4B"/>
    <w:rsid w:val="00406FBD"/>
    <w:rsid w:val="00407186"/>
    <w:rsid w:val="004073B0"/>
    <w:rsid w:val="00407455"/>
    <w:rsid w:val="0040752A"/>
    <w:rsid w:val="00407612"/>
    <w:rsid w:val="00407A66"/>
    <w:rsid w:val="00407C9E"/>
    <w:rsid w:val="0041029D"/>
    <w:rsid w:val="00410C05"/>
    <w:rsid w:val="00410C87"/>
    <w:rsid w:val="00411230"/>
    <w:rsid w:val="00411304"/>
    <w:rsid w:val="004118C9"/>
    <w:rsid w:val="0041195D"/>
    <w:rsid w:val="00411B43"/>
    <w:rsid w:val="00412045"/>
    <w:rsid w:val="0041209A"/>
    <w:rsid w:val="00412697"/>
    <w:rsid w:val="00412E2A"/>
    <w:rsid w:val="00412E96"/>
    <w:rsid w:val="00412F8D"/>
    <w:rsid w:val="00413369"/>
    <w:rsid w:val="00413681"/>
    <w:rsid w:val="00413E02"/>
    <w:rsid w:val="00414129"/>
    <w:rsid w:val="004145AE"/>
    <w:rsid w:val="0041560E"/>
    <w:rsid w:val="0041577E"/>
    <w:rsid w:val="004157F6"/>
    <w:rsid w:val="004158F3"/>
    <w:rsid w:val="004159D3"/>
    <w:rsid w:val="00415A14"/>
    <w:rsid w:val="0041616C"/>
    <w:rsid w:val="0041620F"/>
    <w:rsid w:val="00416845"/>
    <w:rsid w:val="00416A66"/>
    <w:rsid w:val="00416DCB"/>
    <w:rsid w:val="00417678"/>
    <w:rsid w:val="0041769B"/>
    <w:rsid w:val="0041789F"/>
    <w:rsid w:val="004179D3"/>
    <w:rsid w:val="00417A7A"/>
    <w:rsid w:val="004200C1"/>
    <w:rsid w:val="00420126"/>
    <w:rsid w:val="00420294"/>
    <w:rsid w:val="004203CF"/>
    <w:rsid w:val="0042041C"/>
    <w:rsid w:val="004205B8"/>
    <w:rsid w:val="00420755"/>
    <w:rsid w:val="00420CB7"/>
    <w:rsid w:val="00420F26"/>
    <w:rsid w:val="00421078"/>
    <w:rsid w:val="0042110F"/>
    <w:rsid w:val="004213E8"/>
    <w:rsid w:val="0042149F"/>
    <w:rsid w:val="0042156E"/>
    <w:rsid w:val="00421640"/>
    <w:rsid w:val="004216A1"/>
    <w:rsid w:val="00421EC5"/>
    <w:rsid w:val="004222BF"/>
    <w:rsid w:val="00422399"/>
    <w:rsid w:val="004225E8"/>
    <w:rsid w:val="004228B8"/>
    <w:rsid w:val="00422904"/>
    <w:rsid w:val="00422A01"/>
    <w:rsid w:val="00422C78"/>
    <w:rsid w:val="00422DB5"/>
    <w:rsid w:val="0042307B"/>
    <w:rsid w:val="00423164"/>
    <w:rsid w:val="00423326"/>
    <w:rsid w:val="00423E24"/>
    <w:rsid w:val="00423FC4"/>
    <w:rsid w:val="004249D0"/>
    <w:rsid w:val="00424A6A"/>
    <w:rsid w:val="00424C34"/>
    <w:rsid w:val="00425476"/>
    <w:rsid w:val="00425771"/>
    <w:rsid w:val="00425B4E"/>
    <w:rsid w:val="00425C97"/>
    <w:rsid w:val="00425FFD"/>
    <w:rsid w:val="00426032"/>
    <w:rsid w:val="004262F8"/>
    <w:rsid w:val="00426442"/>
    <w:rsid w:val="0042654A"/>
    <w:rsid w:val="00426A93"/>
    <w:rsid w:val="00426DFA"/>
    <w:rsid w:val="00427300"/>
    <w:rsid w:val="004276E3"/>
    <w:rsid w:val="004279ED"/>
    <w:rsid w:val="00427E67"/>
    <w:rsid w:val="00430178"/>
    <w:rsid w:val="00430431"/>
    <w:rsid w:val="00430495"/>
    <w:rsid w:val="00430680"/>
    <w:rsid w:val="00430773"/>
    <w:rsid w:val="004307F8"/>
    <w:rsid w:val="00430A72"/>
    <w:rsid w:val="00430FB9"/>
    <w:rsid w:val="004314E7"/>
    <w:rsid w:val="0043189C"/>
    <w:rsid w:val="00431A83"/>
    <w:rsid w:val="00431CB1"/>
    <w:rsid w:val="00431DB5"/>
    <w:rsid w:val="0043209C"/>
    <w:rsid w:val="004326CF"/>
    <w:rsid w:val="0043270B"/>
    <w:rsid w:val="00432780"/>
    <w:rsid w:val="00432C13"/>
    <w:rsid w:val="00432DB9"/>
    <w:rsid w:val="00432DF0"/>
    <w:rsid w:val="00432E64"/>
    <w:rsid w:val="00432F8F"/>
    <w:rsid w:val="00432F9E"/>
    <w:rsid w:val="00433106"/>
    <w:rsid w:val="004331E0"/>
    <w:rsid w:val="004338F7"/>
    <w:rsid w:val="00433C6F"/>
    <w:rsid w:val="00433D17"/>
    <w:rsid w:val="00433D56"/>
    <w:rsid w:val="00433F82"/>
    <w:rsid w:val="0043417D"/>
    <w:rsid w:val="0043441F"/>
    <w:rsid w:val="00434583"/>
    <w:rsid w:val="00434754"/>
    <w:rsid w:val="0043480E"/>
    <w:rsid w:val="004348B9"/>
    <w:rsid w:val="00434A45"/>
    <w:rsid w:val="00434D46"/>
    <w:rsid w:val="00435248"/>
    <w:rsid w:val="004353C1"/>
    <w:rsid w:val="0043542F"/>
    <w:rsid w:val="004355EB"/>
    <w:rsid w:val="00435602"/>
    <w:rsid w:val="004356FA"/>
    <w:rsid w:val="00435CCF"/>
    <w:rsid w:val="00436A3B"/>
    <w:rsid w:val="00436CA7"/>
    <w:rsid w:val="00436F2C"/>
    <w:rsid w:val="00437027"/>
    <w:rsid w:val="004370A3"/>
    <w:rsid w:val="004370C7"/>
    <w:rsid w:val="004371AB"/>
    <w:rsid w:val="00437B3D"/>
    <w:rsid w:val="004402A7"/>
    <w:rsid w:val="0044035D"/>
    <w:rsid w:val="004403B3"/>
    <w:rsid w:val="00440EA5"/>
    <w:rsid w:val="00440EBC"/>
    <w:rsid w:val="0044131C"/>
    <w:rsid w:val="0044142F"/>
    <w:rsid w:val="00441729"/>
    <w:rsid w:val="00441D86"/>
    <w:rsid w:val="004423B8"/>
    <w:rsid w:val="004425C2"/>
    <w:rsid w:val="00442824"/>
    <w:rsid w:val="00442942"/>
    <w:rsid w:val="00442DCF"/>
    <w:rsid w:val="00442FFB"/>
    <w:rsid w:val="004430FD"/>
    <w:rsid w:val="0044335B"/>
    <w:rsid w:val="004442A7"/>
    <w:rsid w:val="004448DE"/>
    <w:rsid w:val="00444901"/>
    <w:rsid w:val="00444934"/>
    <w:rsid w:val="00444F5E"/>
    <w:rsid w:val="00444FF7"/>
    <w:rsid w:val="0044540F"/>
    <w:rsid w:val="00445494"/>
    <w:rsid w:val="00445513"/>
    <w:rsid w:val="00445907"/>
    <w:rsid w:val="00445CFF"/>
    <w:rsid w:val="00445E2C"/>
    <w:rsid w:val="00446087"/>
    <w:rsid w:val="004462AF"/>
    <w:rsid w:val="004464DB"/>
    <w:rsid w:val="00446505"/>
    <w:rsid w:val="0044662A"/>
    <w:rsid w:val="0044666E"/>
    <w:rsid w:val="00446B69"/>
    <w:rsid w:val="00447134"/>
    <w:rsid w:val="00447486"/>
    <w:rsid w:val="0044782A"/>
    <w:rsid w:val="004501F5"/>
    <w:rsid w:val="00450778"/>
    <w:rsid w:val="00450D3B"/>
    <w:rsid w:val="004517CD"/>
    <w:rsid w:val="004518D5"/>
    <w:rsid w:val="004519BF"/>
    <w:rsid w:val="00451A88"/>
    <w:rsid w:val="00451B06"/>
    <w:rsid w:val="00451B73"/>
    <w:rsid w:val="00451BEB"/>
    <w:rsid w:val="004525E6"/>
    <w:rsid w:val="004527C0"/>
    <w:rsid w:val="00453058"/>
    <w:rsid w:val="00453871"/>
    <w:rsid w:val="00453DEF"/>
    <w:rsid w:val="00453E84"/>
    <w:rsid w:val="00453F94"/>
    <w:rsid w:val="004543E4"/>
    <w:rsid w:val="004546B1"/>
    <w:rsid w:val="004548E5"/>
    <w:rsid w:val="00454F08"/>
    <w:rsid w:val="0045501A"/>
    <w:rsid w:val="00455105"/>
    <w:rsid w:val="00455440"/>
    <w:rsid w:val="0045567E"/>
    <w:rsid w:val="00455838"/>
    <w:rsid w:val="00455C09"/>
    <w:rsid w:val="004560D9"/>
    <w:rsid w:val="00456114"/>
    <w:rsid w:val="0045675A"/>
    <w:rsid w:val="00456971"/>
    <w:rsid w:val="00456B9B"/>
    <w:rsid w:val="00456C51"/>
    <w:rsid w:val="0045742D"/>
    <w:rsid w:val="00457983"/>
    <w:rsid w:val="00457C5E"/>
    <w:rsid w:val="00457CAA"/>
    <w:rsid w:val="00457E0E"/>
    <w:rsid w:val="00457FB9"/>
    <w:rsid w:val="0046026D"/>
    <w:rsid w:val="0046027A"/>
    <w:rsid w:val="004603F1"/>
    <w:rsid w:val="004605CC"/>
    <w:rsid w:val="0046072D"/>
    <w:rsid w:val="004607B0"/>
    <w:rsid w:val="00460894"/>
    <w:rsid w:val="00460921"/>
    <w:rsid w:val="00460958"/>
    <w:rsid w:val="004609F3"/>
    <w:rsid w:val="00460A81"/>
    <w:rsid w:val="0046110A"/>
    <w:rsid w:val="004612C8"/>
    <w:rsid w:val="004614A1"/>
    <w:rsid w:val="004614BB"/>
    <w:rsid w:val="0046164D"/>
    <w:rsid w:val="004616E5"/>
    <w:rsid w:val="004616FF"/>
    <w:rsid w:val="004617A0"/>
    <w:rsid w:val="0046194F"/>
    <w:rsid w:val="00461C00"/>
    <w:rsid w:val="00461C5D"/>
    <w:rsid w:val="00461DF8"/>
    <w:rsid w:val="00461F05"/>
    <w:rsid w:val="004622A1"/>
    <w:rsid w:val="004622D0"/>
    <w:rsid w:val="00462420"/>
    <w:rsid w:val="0046267C"/>
    <w:rsid w:val="00462A9C"/>
    <w:rsid w:val="00462B09"/>
    <w:rsid w:val="00462B29"/>
    <w:rsid w:val="00462EF1"/>
    <w:rsid w:val="00462FC4"/>
    <w:rsid w:val="00463303"/>
    <w:rsid w:val="00463448"/>
    <w:rsid w:val="00463940"/>
    <w:rsid w:val="00463AC1"/>
    <w:rsid w:val="00464130"/>
    <w:rsid w:val="0046434B"/>
    <w:rsid w:val="004644C0"/>
    <w:rsid w:val="00464513"/>
    <w:rsid w:val="0046487F"/>
    <w:rsid w:val="00464919"/>
    <w:rsid w:val="00464A0E"/>
    <w:rsid w:val="00464DB0"/>
    <w:rsid w:val="00464EE0"/>
    <w:rsid w:val="00465461"/>
    <w:rsid w:val="00465467"/>
    <w:rsid w:val="00465573"/>
    <w:rsid w:val="0046567F"/>
    <w:rsid w:val="00465709"/>
    <w:rsid w:val="004658C3"/>
    <w:rsid w:val="00465EB3"/>
    <w:rsid w:val="0046645E"/>
    <w:rsid w:val="00466508"/>
    <w:rsid w:val="004666E0"/>
    <w:rsid w:val="0046698E"/>
    <w:rsid w:val="00466F60"/>
    <w:rsid w:val="004671AF"/>
    <w:rsid w:val="00467838"/>
    <w:rsid w:val="00467B6A"/>
    <w:rsid w:val="00467E77"/>
    <w:rsid w:val="0047041E"/>
    <w:rsid w:val="00470750"/>
    <w:rsid w:val="00470893"/>
    <w:rsid w:val="00470E35"/>
    <w:rsid w:val="0047166D"/>
    <w:rsid w:val="00471856"/>
    <w:rsid w:val="004719A1"/>
    <w:rsid w:val="00471CEC"/>
    <w:rsid w:val="00471DB0"/>
    <w:rsid w:val="00471F3B"/>
    <w:rsid w:val="00471FAB"/>
    <w:rsid w:val="00472ACB"/>
    <w:rsid w:val="00472D06"/>
    <w:rsid w:val="004734A1"/>
    <w:rsid w:val="004734C7"/>
    <w:rsid w:val="00473975"/>
    <w:rsid w:val="00473F4A"/>
    <w:rsid w:val="00473F5F"/>
    <w:rsid w:val="00473F72"/>
    <w:rsid w:val="0047410D"/>
    <w:rsid w:val="00474D84"/>
    <w:rsid w:val="00474FB4"/>
    <w:rsid w:val="00475131"/>
    <w:rsid w:val="00475260"/>
    <w:rsid w:val="004755D5"/>
    <w:rsid w:val="0047574D"/>
    <w:rsid w:val="004757B3"/>
    <w:rsid w:val="004758FA"/>
    <w:rsid w:val="00475A1B"/>
    <w:rsid w:val="00475D3E"/>
    <w:rsid w:val="00475E50"/>
    <w:rsid w:val="00475F90"/>
    <w:rsid w:val="00476734"/>
    <w:rsid w:val="00476747"/>
    <w:rsid w:val="00476D8B"/>
    <w:rsid w:val="00476EAE"/>
    <w:rsid w:val="004770A2"/>
    <w:rsid w:val="004774C5"/>
    <w:rsid w:val="004775ED"/>
    <w:rsid w:val="004777C7"/>
    <w:rsid w:val="00480073"/>
    <w:rsid w:val="004800FE"/>
    <w:rsid w:val="004803A9"/>
    <w:rsid w:val="00480459"/>
    <w:rsid w:val="004804A2"/>
    <w:rsid w:val="004807D5"/>
    <w:rsid w:val="00480B03"/>
    <w:rsid w:val="00480B9E"/>
    <w:rsid w:val="00480C91"/>
    <w:rsid w:val="00480D77"/>
    <w:rsid w:val="00480E5E"/>
    <w:rsid w:val="004810EC"/>
    <w:rsid w:val="004814F6"/>
    <w:rsid w:val="00481607"/>
    <w:rsid w:val="004821B4"/>
    <w:rsid w:val="00482389"/>
    <w:rsid w:val="004824F5"/>
    <w:rsid w:val="00482642"/>
    <w:rsid w:val="00482943"/>
    <w:rsid w:val="00482ADC"/>
    <w:rsid w:val="00482B0E"/>
    <w:rsid w:val="00482B1F"/>
    <w:rsid w:val="00482BAD"/>
    <w:rsid w:val="00483058"/>
    <w:rsid w:val="00483620"/>
    <w:rsid w:val="00483D11"/>
    <w:rsid w:val="00483D20"/>
    <w:rsid w:val="00483D55"/>
    <w:rsid w:val="00483FA7"/>
    <w:rsid w:val="0048406D"/>
    <w:rsid w:val="0048410E"/>
    <w:rsid w:val="004847D3"/>
    <w:rsid w:val="00484C46"/>
    <w:rsid w:val="00485969"/>
    <w:rsid w:val="0048597D"/>
    <w:rsid w:val="0048598C"/>
    <w:rsid w:val="00485C9E"/>
    <w:rsid w:val="00485E8A"/>
    <w:rsid w:val="00485FEB"/>
    <w:rsid w:val="0048620B"/>
    <w:rsid w:val="004862DE"/>
    <w:rsid w:val="0048647C"/>
    <w:rsid w:val="0048658B"/>
    <w:rsid w:val="00486CF2"/>
    <w:rsid w:val="00486EC5"/>
    <w:rsid w:val="00487442"/>
    <w:rsid w:val="004876BE"/>
    <w:rsid w:val="00487924"/>
    <w:rsid w:val="00487967"/>
    <w:rsid w:val="00487A13"/>
    <w:rsid w:val="00487BB8"/>
    <w:rsid w:val="00487F28"/>
    <w:rsid w:val="0049005F"/>
    <w:rsid w:val="00490649"/>
    <w:rsid w:val="0049093B"/>
    <w:rsid w:val="00490E94"/>
    <w:rsid w:val="00490EE3"/>
    <w:rsid w:val="00491043"/>
    <w:rsid w:val="0049143D"/>
    <w:rsid w:val="004916E8"/>
    <w:rsid w:val="004918A0"/>
    <w:rsid w:val="0049230F"/>
    <w:rsid w:val="004924E5"/>
    <w:rsid w:val="00492619"/>
    <w:rsid w:val="0049277B"/>
    <w:rsid w:val="00492B8A"/>
    <w:rsid w:val="00493138"/>
    <w:rsid w:val="0049349F"/>
    <w:rsid w:val="004935A4"/>
    <w:rsid w:val="00493916"/>
    <w:rsid w:val="00493D08"/>
    <w:rsid w:val="004941D3"/>
    <w:rsid w:val="00494AF5"/>
    <w:rsid w:val="00494C34"/>
    <w:rsid w:val="00494CCB"/>
    <w:rsid w:val="00494E75"/>
    <w:rsid w:val="00495071"/>
    <w:rsid w:val="00495227"/>
    <w:rsid w:val="00495ABF"/>
    <w:rsid w:val="004961DB"/>
    <w:rsid w:val="004963E2"/>
    <w:rsid w:val="0049653E"/>
    <w:rsid w:val="00496BEF"/>
    <w:rsid w:val="00497053"/>
    <w:rsid w:val="004970A1"/>
    <w:rsid w:val="004971B2"/>
    <w:rsid w:val="00497251"/>
    <w:rsid w:val="00497838"/>
    <w:rsid w:val="00497867"/>
    <w:rsid w:val="0049792C"/>
    <w:rsid w:val="00497A42"/>
    <w:rsid w:val="00497BD3"/>
    <w:rsid w:val="00497F24"/>
    <w:rsid w:val="00497F2F"/>
    <w:rsid w:val="004A01E1"/>
    <w:rsid w:val="004A06BD"/>
    <w:rsid w:val="004A09A7"/>
    <w:rsid w:val="004A0E00"/>
    <w:rsid w:val="004A15F7"/>
    <w:rsid w:val="004A1600"/>
    <w:rsid w:val="004A1956"/>
    <w:rsid w:val="004A1B20"/>
    <w:rsid w:val="004A201F"/>
    <w:rsid w:val="004A2130"/>
    <w:rsid w:val="004A23B8"/>
    <w:rsid w:val="004A23C0"/>
    <w:rsid w:val="004A24C9"/>
    <w:rsid w:val="004A2677"/>
    <w:rsid w:val="004A28D4"/>
    <w:rsid w:val="004A2908"/>
    <w:rsid w:val="004A2AC5"/>
    <w:rsid w:val="004A2B3D"/>
    <w:rsid w:val="004A2BE1"/>
    <w:rsid w:val="004A2E44"/>
    <w:rsid w:val="004A30B7"/>
    <w:rsid w:val="004A30F7"/>
    <w:rsid w:val="004A31F1"/>
    <w:rsid w:val="004A343B"/>
    <w:rsid w:val="004A366E"/>
    <w:rsid w:val="004A36C0"/>
    <w:rsid w:val="004A36FB"/>
    <w:rsid w:val="004A37B1"/>
    <w:rsid w:val="004A3A2A"/>
    <w:rsid w:val="004A3AA3"/>
    <w:rsid w:val="004A3AB1"/>
    <w:rsid w:val="004A4247"/>
    <w:rsid w:val="004A4635"/>
    <w:rsid w:val="004A4900"/>
    <w:rsid w:val="004A4A0F"/>
    <w:rsid w:val="004A4BE8"/>
    <w:rsid w:val="004A4D38"/>
    <w:rsid w:val="004A4E7E"/>
    <w:rsid w:val="004A4E95"/>
    <w:rsid w:val="004A4FEE"/>
    <w:rsid w:val="004A5270"/>
    <w:rsid w:val="004A555D"/>
    <w:rsid w:val="004A55D4"/>
    <w:rsid w:val="004A5667"/>
    <w:rsid w:val="004A57FC"/>
    <w:rsid w:val="004A5F92"/>
    <w:rsid w:val="004A65EE"/>
    <w:rsid w:val="004A6663"/>
    <w:rsid w:val="004A66D4"/>
    <w:rsid w:val="004A681B"/>
    <w:rsid w:val="004A6953"/>
    <w:rsid w:val="004A705C"/>
    <w:rsid w:val="004A717D"/>
    <w:rsid w:val="004A7276"/>
    <w:rsid w:val="004A7A81"/>
    <w:rsid w:val="004A7EE7"/>
    <w:rsid w:val="004A7FB0"/>
    <w:rsid w:val="004B03E2"/>
    <w:rsid w:val="004B06A0"/>
    <w:rsid w:val="004B06EF"/>
    <w:rsid w:val="004B0706"/>
    <w:rsid w:val="004B0787"/>
    <w:rsid w:val="004B0A36"/>
    <w:rsid w:val="004B1313"/>
    <w:rsid w:val="004B169E"/>
    <w:rsid w:val="004B1B53"/>
    <w:rsid w:val="004B1C42"/>
    <w:rsid w:val="004B1D77"/>
    <w:rsid w:val="004B2700"/>
    <w:rsid w:val="004B27EF"/>
    <w:rsid w:val="004B2B31"/>
    <w:rsid w:val="004B2C33"/>
    <w:rsid w:val="004B2CDB"/>
    <w:rsid w:val="004B3099"/>
    <w:rsid w:val="004B3447"/>
    <w:rsid w:val="004B36BE"/>
    <w:rsid w:val="004B385B"/>
    <w:rsid w:val="004B3C3F"/>
    <w:rsid w:val="004B45A2"/>
    <w:rsid w:val="004B4A0F"/>
    <w:rsid w:val="004B4AA2"/>
    <w:rsid w:val="004B4C44"/>
    <w:rsid w:val="004B4C67"/>
    <w:rsid w:val="004B4F05"/>
    <w:rsid w:val="004B50E0"/>
    <w:rsid w:val="004B515E"/>
    <w:rsid w:val="004B55EC"/>
    <w:rsid w:val="004B5C73"/>
    <w:rsid w:val="004B5E6F"/>
    <w:rsid w:val="004B5FFC"/>
    <w:rsid w:val="004B6301"/>
    <w:rsid w:val="004B6707"/>
    <w:rsid w:val="004B6944"/>
    <w:rsid w:val="004B6E56"/>
    <w:rsid w:val="004B6FFB"/>
    <w:rsid w:val="004B70B6"/>
    <w:rsid w:val="004B7181"/>
    <w:rsid w:val="004B795F"/>
    <w:rsid w:val="004B7BA5"/>
    <w:rsid w:val="004B7FC2"/>
    <w:rsid w:val="004C0346"/>
    <w:rsid w:val="004C03CC"/>
    <w:rsid w:val="004C0A25"/>
    <w:rsid w:val="004C0AE9"/>
    <w:rsid w:val="004C0B5B"/>
    <w:rsid w:val="004C0EE4"/>
    <w:rsid w:val="004C0F99"/>
    <w:rsid w:val="004C130D"/>
    <w:rsid w:val="004C132F"/>
    <w:rsid w:val="004C1624"/>
    <w:rsid w:val="004C171F"/>
    <w:rsid w:val="004C19E0"/>
    <w:rsid w:val="004C20BB"/>
    <w:rsid w:val="004C2371"/>
    <w:rsid w:val="004C2C4E"/>
    <w:rsid w:val="004C2F01"/>
    <w:rsid w:val="004C2F96"/>
    <w:rsid w:val="004C3472"/>
    <w:rsid w:val="004C34E8"/>
    <w:rsid w:val="004C3C51"/>
    <w:rsid w:val="004C3E9B"/>
    <w:rsid w:val="004C4384"/>
    <w:rsid w:val="004C4595"/>
    <w:rsid w:val="004C47FE"/>
    <w:rsid w:val="004C4957"/>
    <w:rsid w:val="004C4BCE"/>
    <w:rsid w:val="004C4BF3"/>
    <w:rsid w:val="004C4F33"/>
    <w:rsid w:val="004C5203"/>
    <w:rsid w:val="004C521E"/>
    <w:rsid w:val="004C5225"/>
    <w:rsid w:val="004C53F2"/>
    <w:rsid w:val="004C5489"/>
    <w:rsid w:val="004C5C61"/>
    <w:rsid w:val="004C5EF0"/>
    <w:rsid w:val="004C63D6"/>
    <w:rsid w:val="004C660B"/>
    <w:rsid w:val="004C6627"/>
    <w:rsid w:val="004C6782"/>
    <w:rsid w:val="004C6915"/>
    <w:rsid w:val="004C695D"/>
    <w:rsid w:val="004C6B69"/>
    <w:rsid w:val="004C6D25"/>
    <w:rsid w:val="004C730E"/>
    <w:rsid w:val="004C75AB"/>
    <w:rsid w:val="004C7739"/>
    <w:rsid w:val="004C7A83"/>
    <w:rsid w:val="004C7BDF"/>
    <w:rsid w:val="004C7EFE"/>
    <w:rsid w:val="004D0200"/>
    <w:rsid w:val="004D0E42"/>
    <w:rsid w:val="004D171F"/>
    <w:rsid w:val="004D1A33"/>
    <w:rsid w:val="004D1D64"/>
    <w:rsid w:val="004D1DED"/>
    <w:rsid w:val="004D2204"/>
    <w:rsid w:val="004D2474"/>
    <w:rsid w:val="004D24F2"/>
    <w:rsid w:val="004D27C4"/>
    <w:rsid w:val="004D2B5A"/>
    <w:rsid w:val="004D2E1A"/>
    <w:rsid w:val="004D2E57"/>
    <w:rsid w:val="004D2EEB"/>
    <w:rsid w:val="004D31C8"/>
    <w:rsid w:val="004D320E"/>
    <w:rsid w:val="004D3251"/>
    <w:rsid w:val="004D3E3B"/>
    <w:rsid w:val="004D409C"/>
    <w:rsid w:val="004D4968"/>
    <w:rsid w:val="004D4977"/>
    <w:rsid w:val="004D49E4"/>
    <w:rsid w:val="004D4A8A"/>
    <w:rsid w:val="004D4BB0"/>
    <w:rsid w:val="004D4BEA"/>
    <w:rsid w:val="004D4C05"/>
    <w:rsid w:val="004D50CC"/>
    <w:rsid w:val="004D5309"/>
    <w:rsid w:val="004D58D1"/>
    <w:rsid w:val="004D5F02"/>
    <w:rsid w:val="004D68C0"/>
    <w:rsid w:val="004D69C6"/>
    <w:rsid w:val="004D69EF"/>
    <w:rsid w:val="004D710C"/>
    <w:rsid w:val="004D7448"/>
    <w:rsid w:val="004D767B"/>
    <w:rsid w:val="004E0033"/>
    <w:rsid w:val="004E00E5"/>
    <w:rsid w:val="004E03BE"/>
    <w:rsid w:val="004E0619"/>
    <w:rsid w:val="004E0CD0"/>
    <w:rsid w:val="004E1234"/>
    <w:rsid w:val="004E1260"/>
    <w:rsid w:val="004E17FE"/>
    <w:rsid w:val="004E1A6D"/>
    <w:rsid w:val="004E1CBB"/>
    <w:rsid w:val="004E1D07"/>
    <w:rsid w:val="004E1FC0"/>
    <w:rsid w:val="004E209D"/>
    <w:rsid w:val="004E21D3"/>
    <w:rsid w:val="004E2AFF"/>
    <w:rsid w:val="004E2C41"/>
    <w:rsid w:val="004E2E33"/>
    <w:rsid w:val="004E2F51"/>
    <w:rsid w:val="004E2F60"/>
    <w:rsid w:val="004E3579"/>
    <w:rsid w:val="004E3892"/>
    <w:rsid w:val="004E3FD8"/>
    <w:rsid w:val="004E471C"/>
    <w:rsid w:val="004E4754"/>
    <w:rsid w:val="004E47BD"/>
    <w:rsid w:val="004E48A1"/>
    <w:rsid w:val="004E4B2F"/>
    <w:rsid w:val="004E5181"/>
    <w:rsid w:val="004E53AE"/>
    <w:rsid w:val="004E5449"/>
    <w:rsid w:val="004E5C25"/>
    <w:rsid w:val="004E5C61"/>
    <w:rsid w:val="004E5FA5"/>
    <w:rsid w:val="004E6154"/>
    <w:rsid w:val="004E6158"/>
    <w:rsid w:val="004E6184"/>
    <w:rsid w:val="004E6267"/>
    <w:rsid w:val="004E63C9"/>
    <w:rsid w:val="004E675B"/>
    <w:rsid w:val="004E684F"/>
    <w:rsid w:val="004E68C1"/>
    <w:rsid w:val="004E6CEA"/>
    <w:rsid w:val="004E6E83"/>
    <w:rsid w:val="004E7280"/>
    <w:rsid w:val="004E7691"/>
    <w:rsid w:val="004E76A5"/>
    <w:rsid w:val="004E7A4D"/>
    <w:rsid w:val="004E7B7F"/>
    <w:rsid w:val="004E7E45"/>
    <w:rsid w:val="004F0025"/>
    <w:rsid w:val="004F010F"/>
    <w:rsid w:val="004F01B4"/>
    <w:rsid w:val="004F020A"/>
    <w:rsid w:val="004F0527"/>
    <w:rsid w:val="004F080C"/>
    <w:rsid w:val="004F09EF"/>
    <w:rsid w:val="004F0C82"/>
    <w:rsid w:val="004F114A"/>
    <w:rsid w:val="004F133C"/>
    <w:rsid w:val="004F13D2"/>
    <w:rsid w:val="004F1891"/>
    <w:rsid w:val="004F1A00"/>
    <w:rsid w:val="004F1D32"/>
    <w:rsid w:val="004F2168"/>
    <w:rsid w:val="004F257F"/>
    <w:rsid w:val="004F2826"/>
    <w:rsid w:val="004F2AA6"/>
    <w:rsid w:val="004F2B9C"/>
    <w:rsid w:val="004F2CCE"/>
    <w:rsid w:val="004F2D47"/>
    <w:rsid w:val="004F33A9"/>
    <w:rsid w:val="004F359A"/>
    <w:rsid w:val="004F3DD1"/>
    <w:rsid w:val="004F3F8F"/>
    <w:rsid w:val="004F40F1"/>
    <w:rsid w:val="004F4477"/>
    <w:rsid w:val="004F460A"/>
    <w:rsid w:val="004F4760"/>
    <w:rsid w:val="004F497D"/>
    <w:rsid w:val="004F4E53"/>
    <w:rsid w:val="004F4F06"/>
    <w:rsid w:val="004F5363"/>
    <w:rsid w:val="004F5507"/>
    <w:rsid w:val="004F58AB"/>
    <w:rsid w:val="004F627A"/>
    <w:rsid w:val="004F6438"/>
    <w:rsid w:val="004F66FA"/>
    <w:rsid w:val="004F67A9"/>
    <w:rsid w:val="004F6AFE"/>
    <w:rsid w:val="004F6F20"/>
    <w:rsid w:val="004F72EA"/>
    <w:rsid w:val="004F7373"/>
    <w:rsid w:val="004F73A5"/>
    <w:rsid w:val="004F74B2"/>
    <w:rsid w:val="004F75B4"/>
    <w:rsid w:val="004F75D0"/>
    <w:rsid w:val="004F76A6"/>
    <w:rsid w:val="004F7799"/>
    <w:rsid w:val="004F78C3"/>
    <w:rsid w:val="004F7B47"/>
    <w:rsid w:val="004F7C51"/>
    <w:rsid w:val="004F7CE6"/>
    <w:rsid w:val="004F7F1A"/>
    <w:rsid w:val="005002BF"/>
    <w:rsid w:val="0050031C"/>
    <w:rsid w:val="005004F7"/>
    <w:rsid w:val="00500798"/>
    <w:rsid w:val="005007E7"/>
    <w:rsid w:val="00500A59"/>
    <w:rsid w:val="00500BA0"/>
    <w:rsid w:val="00501131"/>
    <w:rsid w:val="005011C4"/>
    <w:rsid w:val="005012BB"/>
    <w:rsid w:val="0050132F"/>
    <w:rsid w:val="00501577"/>
    <w:rsid w:val="00501723"/>
    <w:rsid w:val="00501A8C"/>
    <w:rsid w:val="00501F0D"/>
    <w:rsid w:val="00502425"/>
    <w:rsid w:val="005029A2"/>
    <w:rsid w:val="005029FC"/>
    <w:rsid w:val="00502FCA"/>
    <w:rsid w:val="005035E7"/>
    <w:rsid w:val="005038A7"/>
    <w:rsid w:val="00503C88"/>
    <w:rsid w:val="00503FAD"/>
    <w:rsid w:val="00504639"/>
    <w:rsid w:val="0050472A"/>
    <w:rsid w:val="00504C3F"/>
    <w:rsid w:val="00505078"/>
    <w:rsid w:val="005050F8"/>
    <w:rsid w:val="00505A2A"/>
    <w:rsid w:val="00505ABD"/>
    <w:rsid w:val="00505E39"/>
    <w:rsid w:val="0050614B"/>
    <w:rsid w:val="00506571"/>
    <w:rsid w:val="00506A8D"/>
    <w:rsid w:val="00506C2E"/>
    <w:rsid w:val="00506E46"/>
    <w:rsid w:val="00506F24"/>
    <w:rsid w:val="005071C3"/>
    <w:rsid w:val="005074C9"/>
    <w:rsid w:val="00507718"/>
    <w:rsid w:val="00507754"/>
    <w:rsid w:val="00507CAF"/>
    <w:rsid w:val="00507DB4"/>
    <w:rsid w:val="00510185"/>
    <w:rsid w:val="00510374"/>
    <w:rsid w:val="00510444"/>
    <w:rsid w:val="00510B25"/>
    <w:rsid w:val="00510B64"/>
    <w:rsid w:val="00510FF3"/>
    <w:rsid w:val="0051179B"/>
    <w:rsid w:val="00511E67"/>
    <w:rsid w:val="005126B2"/>
    <w:rsid w:val="00512747"/>
    <w:rsid w:val="00512E1C"/>
    <w:rsid w:val="00512E6A"/>
    <w:rsid w:val="0051349D"/>
    <w:rsid w:val="005136B4"/>
    <w:rsid w:val="00513F8F"/>
    <w:rsid w:val="00514455"/>
    <w:rsid w:val="005147E7"/>
    <w:rsid w:val="00514882"/>
    <w:rsid w:val="005149A2"/>
    <w:rsid w:val="00514CEE"/>
    <w:rsid w:val="005150A0"/>
    <w:rsid w:val="005150E4"/>
    <w:rsid w:val="005156B4"/>
    <w:rsid w:val="00515907"/>
    <w:rsid w:val="00515E2B"/>
    <w:rsid w:val="0051685C"/>
    <w:rsid w:val="00516B96"/>
    <w:rsid w:val="00517217"/>
    <w:rsid w:val="0051733F"/>
    <w:rsid w:val="005173A4"/>
    <w:rsid w:val="0051770E"/>
    <w:rsid w:val="00517B28"/>
    <w:rsid w:val="0052001B"/>
    <w:rsid w:val="005205C8"/>
    <w:rsid w:val="00521D65"/>
    <w:rsid w:val="005221A4"/>
    <w:rsid w:val="005227AC"/>
    <w:rsid w:val="005227C2"/>
    <w:rsid w:val="00522CA8"/>
    <w:rsid w:val="00522D7B"/>
    <w:rsid w:val="00522F19"/>
    <w:rsid w:val="00522F69"/>
    <w:rsid w:val="00523366"/>
    <w:rsid w:val="0052351B"/>
    <w:rsid w:val="00523E18"/>
    <w:rsid w:val="00523F32"/>
    <w:rsid w:val="005240E5"/>
    <w:rsid w:val="0052422C"/>
    <w:rsid w:val="005243F4"/>
    <w:rsid w:val="005244D5"/>
    <w:rsid w:val="005245BE"/>
    <w:rsid w:val="0052463E"/>
    <w:rsid w:val="005246B7"/>
    <w:rsid w:val="005248C4"/>
    <w:rsid w:val="00524AD1"/>
    <w:rsid w:val="00524C54"/>
    <w:rsid w:val="00524DEC"/>
    <w:rsid w:val="00524E6A"/>
    <w:rsid w:val="005251DA"/>
    <w:rsid w:val="00525407"/>
    <w:rsid w:val="00525F16"/>
    <w:rsid w:val="00525F4D"/>
    <w:rsid w:val="00525F71"/>
    <w:rsid w:val="00526270"/>
    <w:rsid w:val="005269C2"/>
    <w:rsid w:val="00526AC4"/>
    <w:rsid w:val="00526C7A"/>
    <w:rsid w:val="00526C8A"/>
    <w:rsid w:val="00527337"/>
    <w:rsid w:val="00527489"/>
    <w:rsid w:val="0053012B"/>
    <w:rsid w:val="00530406"/>
    <w:rsid w:val="0053058D"/>
    <w:rsid w:val="00530AFD"/>
    <w:rsid w:val="00530F11"/>
    <w:rsid w:val="005310B2"/>
    <w:rsid w:val="00531639"/>
    <w:rsid w:val="0053173A"/>
    <w:rsid w:val="0053175D"/>
    <w:rsid w:val="00531824"/>
    <w:rsid w:val="00531AF4"/>
    <w:rsid w:val="00531B7F"/>
    <w:rsid w:val="00531F71"/>
    <w:rsid w:val="005323A7"/>
    <w:rsid w:val="00532462"/>
    <w:rsid w:val="00532486"/>
    <w:rsid w:val="00532B16"/>
    <w:rsid w:val="00532C7E"/>
    <w:rsid w:val="00532C9D"/>
    <w:rsid w:val="00532DBB"/>
    <w:rsid w:val="00533215"/>
    <w:rsid w:val="005333E0"/>
    <w:rsid w:val="005334E4"/>
    <w:rsid w:val="005338BD"/>
    <w:rsid w:val="0053394F"/>
    <w:rsid w:val="00533B01"/>
    <w:rsid w:val="00533C04"/>
    <w:rsid w:val="00533E63"/>
    <w:rsid w:val="0053432F"/>
    <w:rsid w:val="005347FB"/>
    <w:rsid w:val="005349C5"/>
    <w:rsid w:val="005349EB"/>
    <w:rsid w:val="00534AA6"/>
    <w:rsid w:val="00534C83"/>
    <w:rsid w:val="00534DB1"/>
    <w:rsid w:val="00535A27"/>
    <w:rsid w:val="00535C80"/>
    <w:rsid w:val="0053637E"/>
    <w:rsid w:val="005365F6"/>
    <w:rsid w:val="00536625"/>
    <w:rsid w:val="00536AEE"/>
    <w:rsid w:val="00536D3C"/>
    <w:rsid w:val="00536ECB"/>
    <w:rsid w:val="0053713E"/>
    <w:rsid w:val="00537BE9"/>
    <w:rsid w:val="00537E22"/>
    <w:rsid w:val="00540147"/>
    <w:rsid w:val="00540355"/>
    <w:rsid w:val="00540EB6"/>
    <w:rsid w:val="00540FF7"/>
    <w:rsid w:val="0054101A"/>
    <w:rsid w:val="00541679"/>
    <w:rsid w:val="00541735"/>
    <w:rsid w:val="005417A0"/>
    <w:rsid w:val="00541B6E"/>
    <w:rsid w:val="00541E2B"/>
    <w:rsid w:val="00542477"/>
    <w:rsid w:val="005424F4"/>
    <w:rsid w:val="005436D7"/>
    <w:rsid w:val="00543703"/>
    <w:rsid w:val="00543A66"/>
    <w:rsid w:val="00543A83"/>
    <w:rsid w:val="00544120"/>
    <w:rsid w:val="00544220"/>
    <w:rsid w:val="005444D2"/>
    <w:rsid w:val="005448FC"/>
    <w:rsid w:val="00544C33"/>
    <w:rsid w:val="00544D61"/>
    <w:rsid w:val="00544EDF"/>
    <w:rsid w:val="00544F2A"/>
    <w:rsid w:val="005452CD"/>
    <w:rsid w:val="005453CE"/>
    <w:rsid w:val="0054556F"/>
    <w:rsid w:val="0054576D"/>
    <w:rsid w:val="005457A9"/>
    <w:rsid w:val="005458F0"/>
    <w:rsid w:val="00545C3D"/>
    <w:rsid w:val="00545E32"/>
    <w:rsid w:val="00545E6A"/>
    <w:rsid w:val="00545FD7"/>
    <w:rsid w:val="00546310"/>
    <w:rsid w:val="00546738"/>
    <w:rsid w:val="00546761"/>
    <w:rsid w:val="005467D6"/>
    <w:rsid w:val="00546942"/>
    <w:rsid w:val="00547123"/>
    <w:rsid w:val="00547591"/>
    <w:rsid w:val="005504D9"/>
    <w:rsid w:val="005507D2"/>
    <w:rsid w:val="00550B85"/>
    <w:rsid w:val="00550C80"/>
    <w:rsid w:val="00550D6F"/>
    <w:rsid w:val="00550E94"/>
    <w:rsid w:val="005511B1"/>
    <w:rsid w:val="00551A20"/>
    <w:rsid w:val="00551BFD"/>
    <w:rsid w:val="00551E1E"/>
    <w:rsid w:val="00551E52"/>
    <w:rsid w:val="00552038"/>
    <w:rsid w:val="0055233E"/>
    <w:rsid w:val="00552569"/>
    <w:rsid w:val="005526F2"/>
    <w:rsid w:val="00552FF4"/>
    <w:rsid w:val="00553F00"/>
    <w:rsid w:val="0055410A"/>
    <w:rsid w:val="005547B9"/>
    <w:rsid w:val="005547CB"/>
    <w:rsid w:val="00554DB6"/>
    <w:rsid w:val="00554DF7"/>
    <w:rsid w:val="00555675"/>
    <w:rsid w:val="0055569E"/>
    <w:rsid w:val="00555713"/>
    <w:rsid w:val="00555772"/>
    <w:rsid w:val="00555D6F"/>
    <w:rsid w:val="00555DC4"/>
    <w:rsid w:val="00556680"/>
    <w:rsid w:val="005567AA"/>
    <w:rsid w:val="005567BF"/>
    <w:rsid w:val="005569D2"/>
    <w:rsid w:val="00556CE7"/>
    <w:rsid w:val="005570E7"/>
    <w:rsid w:val="0055718D"/>
    <w:rsid w:val="00557250"/>
    <w:rsid w:val="00557464"/>
    <w:rsid w:val="005575DE"/>
    <w:rsid w:val="0055771C"/>
    <w:rsid w:val="00557CAB"/>
    <w:rsid w:val="005603B1"/>
    <w:rsid w:val="0056043E"/>
    <w:rsid w:val="005607CE"/>
    <w:rsid w:val="00560AC9"/>
    <w:rsid w:val="00560D1F"/>
    <w:rsid w:val="00560DDA"/>
    <w:rsid w:val="00561250"/>
    <w:rsid w:val="0056134D"/>
    <w:rsid w:val="0056166E"/>
    <w:rsid w:val="005617E8"/>
    <w:rsid w:val="00561A95"/>
    <w:rsid w:val="00561B22"/>
    <w:rsid w:val="00561BF6"/>
    <w:rsid w:val="00561E4A"/>
    <w:rsid w:val="0056249A"/>
    <w:rsid w:val="00562524"/>
    <w:rsid w:val="0056254A"/>
    <w:rsid w:val="00562908"/>
    <w:rsid w:val="00562CDC"/>
    <w:rsid w:val="00563855"/>
    <w:rsid w:val="00563AD5"/>
    <w:rsid w:val="00563FD2"/>
    <w:rsid w:val="0056434D"/>
    <w:rsid w:val="0056477B"/>
    <w:rsid w:val="00564E2D"/>
    <w:rsid w:val="00564F02"/>
    <w:rsid w:val="00564FA8"/>
    <w:rsid w:val="00565679"/>
    <w:rsid w:val="005656F2"/>
    <w:rsid w:val="00565C99"/>
    <w:rsid w:val="00565D3B"/>
    <w:rsid w:val="00565D4B"/>
    <w:rsid w:val="00565F48"/>
    <w:rsid w:val="00566AC7"/>
    <w:rsid w:val="00566BA8"/>
    <w:rsid w:val="00566BD5"/>
    <w:rsid w:val="0056719E"/>
    <w:rsid w:val="005677CE"/>
    <w:rsid w:val="005701C5"/>
    <w:rsid w:val="005703E3"/>
    <w:rsid w:val="0057054C"/>
    <w:rsid w:val="005706C1"/>
    <w:rsid w:val="00570825"/>
    <w:rsid w:val="00570886"/>
    <w:rsid w:val="005708C3"/>
    <w:rsid w:val="005708C6"/>
    <w:rsid w:val="0057096A"/>
    <w:rsid w:val="00570C83"/>
    <w:rsid w:val="00570FC7"/>
    <w:rsid w:val="005710A1"/>
    <w:rsid w:val="00571358"/>
    <w:rsid w:val="00571382"/>
    <w:rsid w:val="00571628"/>
    <w:rsid w:val="00571DB3"/>
    <w:rsid w:val="00572583"/>
    <w:rsid w:val="00572643"/>
    <w:rsid w:val="005726C5"/>
    <w:rsid w:val="00572E58"/>
    <w:rsid w:val="00572F26"/>
    <w:rsid w:val="00573056"/>
    <w:rsid w:val="005730FF"/>
    <w:rsid w:val="00573317"/>
    <w:rsid w:val="00573343"/>
    <w:rsid w:val="0057380A"/>
    <w:rsid w:val="005738D0"/>
    <w:rsid w:val="00573948"/>
    <w:rsid w:val="00573990"/>
    <w:rsid w:val="00573BB0"/>
    <w:rsid w:val="00573D2B"/>
    <w:rsid w:val="00573D7F"/>
    <w:rsid w:val="00573E2B"/>
    <w:rsid w:val="00573F01"/>
    <w:rsid w:val="00573F24"/>
    <w:rsid w:val="00574167"/>
    <w:rsid w:val="0057431C"/>
    <w:rsid w:val="0057462A"/>
    <w:rsid w:val="0057462E"/>
    <w:rsid w:val="00574886"/>
    <w:rsid w:val="00574B86"/>
    <w:rsid w:val="005753DB"/>
    <w:rsid w:val="005755A4"/>
    <w:rsid w:val="005757AC"/>
    <w:rsid w:val="005758BA"/>
    <w:rsid w:val="00575E27"/>
    <w:rsid w:val="00575EC1"/>
    <w:rsid w:val="00576694"/>
    <w:rsid w:val="00576A37"/>
    <w:rsid w:val="00576FC7"/>
    <w:rsid w:val="00576FCB"/>
    <w:rsid w:val="00577368"/>
    <w:rsid w:val="005773FD"/>
    <w:rsid w:val="005777AC"/>
    <w:rsid w:val="00577AA7"/>
    <w:rsid w:val="00577BB2"/>
    <w:rsid w:val="00577D01"/>
    <w:rsid w:val="00577EB4"/>
    <w:rsid w:val="00577ECB"/>
    <w:rsid w:val="00577F3D"/>
    <w:rsid w:val="00577FE9"/>
    <w:rsid w:val="005809EB"/>
    <w:rsid w:val="00580B2A"/>
    <w:rsid w:val="00580E45"/>
    <w:rsid w:val="00581013"/>
    <w:rsid w:val="00581089"/>
    <w:rsid w:val="005815D2"/>
    <w:rsid w:val="0058162E"/>
    <w:rsid w:val="005818D4"/>
    <w:rsid w:val="005819D7"/>
    <w:rsid w:val="00581F00"/>
    <w:rsid w:val="00581F40"/>
    <w:rsid w:val="0058282C"/>
    <w:rsid w:val="005829CC"/>
    <w:rsid w:val="00582BCD"/>
    <w:rsid w:val="00582D98"/>
    <w:rsid w:val="00582E3D"/>
    <w:rsid w:val="00582F33"/>
    <w:rsid w:val="005830E9"/>
    <w:rsid w:val="005830F0"/>
    <w:rsid w:val="00583147"/>
    <w:rsid w:val="005834CE"/>
    <w:rsid w:val="005836D0"/>
    <w:rsid w:val="005838AC"/>
    <w:rsid w:val="00583C6C"/>
    <w:rsid w:val="00583E78"/>
    <w:rsid w:val="00583F5E"/>
    <w:rsid w:val="00584496"/>
    <w:rsid w:val="00584D31"/>
    <w:rsid w:val="00584DB8"/>
    <w:rsid w:val="00584E12"/>
    <w:rsid w:val="00584FC6"/>
    <w:rsid w:val="005854EF"/>
    <w:rsid w:val="005856D6"/>
    <w:rsid w:val="00585821"/>
    <w:rsid w:val="00585932"/>
    <w:rsid w:val="00585C3A"/>
    <w:rsid w:val="00585D33"/>
    <w:rsid w:val="0058628A"/>
    <w:rsid w:val="005863AF"/>
    <w:rsid w:val="00586897"/>
    <w:rsid w:val="005869C6"/>
    <w:rsid w:val="00587117"/>
    <w:rsid w:val="0058759B"/>
    <w:rsid w:val="0058764D"/>
    <w:rsid w:val="005876F1"/>
    <w:rsid w:val="00590203"/>
    <w:rsid w:val="00590749"/>
    <w:rsid w:val="00590A0E"/>
    <w:rsid w:val="00590BF6"/>
    <w:rsid w:val="00591048"/>
    <w:rsid w:val="0059150E"/>
    <w:rsid w:val="00591777"/>
    <w:rsid w:val="00591809"/>
    <w:rsid w:val="005918C5"/>
    <w:rsid w:val="00591B9C"/>
    <w:rsid w:val="00592160"/>
    <w:rsid w:val="005923C9"/>
    <w:rsid w:val="005927CA"/>
    <w:rsid w:val="0059284F"/>
    <w:rsid w:val="00593B27"/>
    <w:rsid w:val="00593E31"/>
    <w:rsid w:val="00594131"/>
    <w:rsid w:val="005942B6"/>
    <w:rsid w:val="005943C6"/>
    <w:rsid w:val="0059485A"/>
    <w:rsid w:val="00594882"/>
    <w:rsid w:val="005954F2"/>
    <w:rsid w:val="00595777"/>
    <w:rsid w:val="00595E99"/>
    <w:rsid w:val="00596308"/>
    <w:rsid w:val="005968C4"/>
    <w:rsid w:val="005968F0"/>
    <w:rsid w:val="00596A56"/>
    <w:rsid w:val="00596F5D"/>
    <w:rsid w:val="005970DB"/>
    <w:rsid w:val="0059715B"/>
    <w:rsid w:val="005973C7"/>
    <w:rsid w:val="00597605"/>
    <w:rsid w:val="00597788"/>
    <w:rsid w:val="0059780D"/>
    <w:rsid w:val="00597A36"/>
    <w:rsid w:val="00597E86"/>
    <w:rsid w:val="00597E93"/>
    <w:rsid w:val="005A05C6"/>
    <w:rsid w:val="005A05DF"/>
    <w:rsid w:val="005A0753"/>
    <w:rsid w:val="005A0CB6"/>
    <w:rsid w:val="005A1515"/>
    <w:rsid w:val="005A1D03"/>
    <w:rsid w:val="005A2229"/>
    <w:rsid w:val="005A2A35"/>
    <w:rsid w:val="005A320D"/>
    <w:rsid w:val="005A36E3"/>
    <w:rsid w:val="005A3A31"/>
    <w:rsid w:val="005A3B1E"/>
    <w:rsid w:val="005A3F96"/>
    <w:rsid w:val="005A404E"/>
    <w:rsid w:val="005A40D5"/>
    <w:rsid w:val="005A4674"/>
    <w:rsid w:val="005A4999"/>
    <w:rsid w:val="005A4D29"/>
    <w:rsid w:val="005A4E38"/>
    <w:rsid w:val="005A4E39"/>
    <w:rsid w:val="005A50CE"/>
    <w:rsid w:val="005A588D"/>
    <w:rsid w:val="005A59CF"/>
    <w:rsid w:val="005A5C58"/>
    <w:rsid w:val="005A5F82"/>
    <w:rsid w:val="005A61FB"/>
    <w:rsid w:val="005A6441"/>
    <w:rsid w:val="005A6A3A"/>
    <w:rsid w:val="005A6B41"/>
    <w:rsid w:val="005A6FA1"/>
    <w:rsid w:val="005A73D7"/>
    <w:rsid w:val="005A7A52"/>
    <w:rsid w:val="005A7F72"/>
    <w:rsid w:val="005B00FD"/>
    <w:rsid w:val="005B0209"/>
    <w:rsid w:val="005B0235"/>
    <w:rsid w:val="005B0814"/>
    <w:rsid w:val="005B0AD4"/>
    <w:rsid w:val="005B0E74"/>
    <w:rsid w:val="005B107A"/>
    <w:rsid w:val="005B147D"/>
    <w:rsid w:val="005B1A0D"/>
    <w:rsid w:val="005B1C8E"/>
    <w:rsid w:val="005B1EB5"/>
    <w:rsid w:val="005B2D4D"/>
    <w:rsid w:val="005B2EB8"/>
    <w:rsid w:val="005B34BD"/>
    <w:rsid w:val="005B355C"/>
    <w:rsid w:val="005B3C58"/>
    <w:rsid w:val="005B3C7C"/>
    <w:rsid w:val="005B4911"/>
    <w:rsid w:val="005B4C5C"/>
    <w:rsid w:val="005B4E3D"/>
    <w:rsid w:val="005B4E83"/>
    <w:rsid w:val="005B541A"/>
    <w:rsid w:val="005B5425"/>
    <w:rsid w:val="005B54FE"/>
    <w:rsid w:val="005B5A55"/>
    <w:rsid w:val="005B5C26"/>
    <w:rsid w:val="005B6477"/>
    <w:rsid w:val="005B66A9"/>
    <w:rsid w:val="005B66F3"/>
    <w:rsid w:val="005B671E"/>
    <w:rsid w:val="005B6FAE"/>
    <w:rsid w:val="005B703E"/>
    <w:rsid w:val="005B70E8"/>
    <w:rsid w:val="005B7824"/>
    <w:rsid w:val="005B7BDB"/>
    <w:rsid w:val="005B7E2B"/>
    <w:rsid w:val="005C023B"/>
    <w:rsid w:val="005C0625"/>
    <w:rsid w:val="005C0904"/>
    <w:rsid w:val="005C09BF"/>
    <w:rsid w:val="005C0D61"/>
    <w:rsid w:val="005C0DDE"/>
    <w:rsid w:val="005C11DA"/>
    <w:rsid w:val="005C1225"/>
    <w:rsid w:val="005C132F"/>
    <w:rsid w:val="005C1752"/>
    <w:rsid w:val="005C2144"/>
    <w:rsid w:val="005C2476"/>
    <w:rsid w:val="005C2D85"/>
    <w:rsid w:val="005C2F53"/>
    <w:rsid w:val="005C31BF"/>
    <w:rsid w:val="005C376D"/>
    <w:rsid w:val="005C3A65"/>
    <w:rsid w:val="005C3CDF"/>
    <w:rsid w:val="005C41D6"/>
    <w:rsid w:val="005C44FE"/>
    <w:rsid w:val="005C4677"/>
    <w:rsid w:val="005C4766"/>
    <w:rsid w:val="005C482A"/>
    <w:rsid w:val="005C4B4D"/>
    <w:rsid w:val="005C4DE3"/>
    <w:rsid w:val="005C50E9"/>
    <w:rsid w:val="005C5320"/>
    <w:rsid w:val="005C5379"/>
    <w:rsid w:val="005C53FC"/>
    <w:rsid w:val="005C5459"/>
    <w:rsid w:val="005C5656"/>
    <w:rsid w:val="005C5849"/>
    <w:rsid w:val="005C5985"/>
    <w:rsid w:val="005C61E1"/>
    <w:rsid w:val="005C6D0E"/>
    <w:rsid w:val="005C7340"/>
    <w:rsid w:val="005C7364"/>
    <w:rsid w:val="005C742B"/>
    <w:rsid w:val="005C7A54"/>
    <w:rsid w:val="005C7CAD"/>
    <w:rsid w:val="005C7EF8"/>
    <w:rsid w:val="005D0102"/>
    <w:rsid w:val="005D01D8"/>
    <w:rsid w:val="005D02FA"/>
    <w:rsid w:val="005D047B"/>
    <w:rsid w:val="005D0536"/>
    <w:rsid w:val="005D0790"/>
    <w:rsid w:val="005D0FCE"/>
    <w:rsid w:val="005D1374"/>
    <w:rsid w:val="005D1383"/>
    <w:rsid w:val="005D20FC"/>
    <w:rsid w:val="005D241F"/>
    <w:rsid w:val="005D24A2"/>
    <w:rsid w:val="005D26D7"/>
    <w:rsid w:val="005D2A49"/>
    <w:rsid w:val="005D2B7E"/>
    <w:rsid w:val="005D2EE8"/>
    <w:rsid w:val="005D31D3"/>
    <w:rsid w:val="005D32ED"/>
    <w:rsid w:val="005D351D"/>
    <w:rsid w:val="005D35F5"/>
    <w:rsid w:val="005D37FF"/>
    <w:rsid w:val="005D38F9"/>
    <w:rsid w:val="005D4400"/>
    <w:rsid w:val="005D4764"/>
    <w:rsid w:val="005D4856"/>
    <w:rsid w:val="005D4DA7"/>
    <w:rsid w:val="005D5499"/>
    <w:rsid w:val="005D576B"/>
    <w:rsid w:val="005D594D"/>
    <w:rsid w:val="005D5E46"/>
    <w:rsid w:val="005D609E"/>
    <w:rsid w:val="005D64A5"/>
    <w:rsid w:val="005D6929"/>
    <w:rsid w:val="005D698D"/>
    <w:rsid w:val="005D6B30"/>
    <w:rsid w:val="005D6E1C"/>
    <w:rsid w:val="005D7741"/>
    <w:rsid w:val="005D7E04"/>
    <w:rsid w:val="005D7FED"/>
    <w:rsid w:val="005E0082"/>
    <w:rsid w:val="005E0C79"/>
    <w:rsid w:val="005E0D58"/>
    <w:rsid w:val="005E1385"/>
    <w:rsid w:val="005E1393"/>
    <w:rsid w:val="005E1A58"/>
    <w:rsid w:val="005E1C06"/>
    <w:rsid w:val="005E2BC2"/>
    <w:rsid w:val="005E2E2C"/>
    <w:rsid w:val="005E3318"/>
    <w:rsid w:val="005E35FD"/>
    <w:rsid w:val="005E383F"/>
    <w:rsid w:val="005E3B8D"/>
    <w:rsid w:val="005E3C1D"/>
    <w:rsid w:val="005E4293"/>
    <w:rsid w:val="005E43AE"/>
    <w:rsid w:val="005E43BA"/>
    <w:rsid w:val="005E48F7"/>
    <w:rsid w:val="005E4AA6"/>
    <w:rsid w:val="005E4F68"/>
    <w:rsid w:val="005E4F80"/>
    <w:rsid w:val="005E4FBD"/>
    <w:rsid w:val="005E5009"/>
    <w:rsid w:val="005E5062"/>
    <w:rsid w:val="005E5256"/>
    <w:rsid w:val="005E5563"/>
    <w:rsid w:val="005E580A"/>
    <w:rsid w:val="005E5AB6"/>
    <w:rsid w:val="005E5B43"/>
    <w:rsid w:val="005E66F1"/>
    <w:rsid w:val="005E6888"/>
    <w:rsid w:val="005E6AFB"/>
    <w:rsid w:val="005E7551"/>
    <w:rsid w:val="005E7698"/>
    <w:rsid w:val="005E7E29"/>
    <w:rsid w:val="005E7F1A"/>
    <w:rsid w:val="005F031E"/>
    <w:rsid w:val="005F0324"/>
    <w:rsid w:val="005F0362"/>
    <w:rsid w:val="005F0B4C"/>
    <w:rsid w:val="005F0B53"/>
    <w:rsid w:val="005F0C46"/>
    <w:rsid w:val="005F0D77"/>
    <w:rsid w:val="005F12B2"/>
    <w:rsid w:val="005F13EA"/>
    <w:rsid w:val="005F172A"/>
    <w:rsid w:val="005F1912"/>
    <w:rsid w:val="005F1C6B"/>
    <w:rsid w:val="005F1D64"/>
    <w:rsid w:val="005F1FE4"/>
    <w:rsid w:val="005F20AF"/>
    <w:rsid w:val="005F2309"/>
    <w:rsid w:val="005F2405"/>
    <w:rsid w:val="005F2441"/>
    <w:rsid w:val="005F327D"/>
    <w:rsid w:val="005F3527"/>
    <w:rsid w:val="005F369B"/>
    <w:rsid w:val="005F3702"/>
    <w:rsid w:val="005F3F7F"/>
    <w:rsid w:val="005F40E5"/>
    <w:rsid w:val="005F4660"/>
    <w:rsid w:val="005F46D9"/>
    <w:rsid w:val="005F4950"/>
    <w:rsid w:val="005F4BBE"/>
    <w:rsid w:val="005F509E"/>
    <w:rsid w:val="005F529D"/>
    <w:rsid w:val="005F5526"/>
    <w:rsid w:val="005F5ADB"/>
    <w:rsid w:val="005F5BF5"/>
    <w:rsid w:val="005F632F"/>
    <w:rsid w:val="005F660A"/>
    <w:rsid w:val="005F6680"/>
    <w:rsid w:val="005F668B"/>
    <w:rsid w:val="005F6697"/>
    <w:rsid w:val="005F6F9C"/>
    <w:rsid w:val="005F6FFC"/>
    <w:rsid w:val="005F7A13"/>
    <w:rsid w:val="005F7F11"/>
    <w:rsid w:val="006004DE"/>
    <w:rsid w:val="00600C9C"/>
    <w:rsid w:val="00600E1A"/>
    <w:rsid w:val="0060105C"/>
    <w:rsid w:val="00601072"/>
    <w:rsid w:val="0060144E"/>
    <w:rsid w:val="00601754"/>
    <w:rsid w:val="00601A30"/>
    <w:rsid w:val="00601C4E"/>
    <w:rsid w:val="00601D4D"/>
    <w:rsid w:val="00601FCD"/>
    <w:rsid w:val="00602354"/>
    <w:rsid w:val="0060243B"/>
    <w:rsid w:val="0060254B"/>
    <w:rsid w:val="00602656"/>
    <w:rsid w:val="0060268D"/>
    <w:rsid w:val="00602798"/>
    <w:rsid w:val="00602C8E"/>
    <w:rsid w:val="006039C5"/>
    <w:rsid w:val="00603B1B"/>
    <w:rsid w:val="00603DEF"/>
    <w:rsid w:val="00603F0B"/>
    <w:rsid w:val="00604148"/>
    <w:rsid w:val="006041CC"/>
    <w:rsid w:val="0060423B"/>
    <w:rsid w:val="006043D7"/>
    <w:rsid w:val="00604594"/>
    <w:rsid w:val="0060466F"/>
    <w:rsid w:val="00604708"/>
    <w:rsid w:val="00604AAE"/>
    <w:rsid w:val="00604CFF"/>
    <w:rsid w:val="00604FB9"/>
    <w:rsid w:val="00605207"/>
    <w:rsid w:val="00605399"/>
    <w:rsid w:val="006054EE"/>
    <w:rsid w:val="0060591D"/>
    <w:rsid w:val="006059EC"/>
    <w:rsid w:val="00605B5D"/>
    <w:rsid w:val="00605CD6"/>
    <w:rsid w:val="00605CF3"/>
    <w:rsid w:val="00605EBC"/>
    <w:rsid w:val="00606F6B"/>
    <w:rsid w:val="00607039"/>
    <w:rsid w:val="006074A6"/>
    <w:rsid w:val="006074B1"/>
    <w:rsid w:val="00607858"/>
    <w:rsid w:val="006079D8"/>
    <w:rsid w:val="00607ADE"/>
    <w:rsid w:val="00607CFB"/>
    <w:rsid w:val="00607E68"/>
    <w:rsid w:val="00607EA3"/>
    <w:rsid w:val="0061005A"/>
    <w:rsid w:val="006102C6"/>
    <w:rsid w:val="006103F0"/>
    <w:rsid w:val="00610473"/>
    <w:rsid w:val="006113A9"/>
    <w:rsid w:val="00611A0D"/>
    <w:rsid w:val="00611A24"/>
    <w:rsid w:val="00611E96"/>
    <w:rsid w:val="00612A01"/>
    <w:rsid w:val="00612C73"/>
    <w:rsid w:val="00612DCB"/>
    <w:rsid w:val="00613036"/>
    <w:rsid w:val="0061329B"/>
    <w:rsid w:val="00613422"/>
    <w:rsid w:val="006134CE"/>
    <w:rsid w:val="006138D8"/>
    <w:rsid w:val="00614064"/>
    <w:rsid w:val="006141D8"/>
    <w:rsid w:val="00614CB4"/>
    <w:rsid w:val="00614D1E"/>
    <w:rsid w:val="0061524B"/>
    <w:rsid w:val="0061565F"/>
    <w:rsid w:val="00615850"/>
    <w:rsid w:val="00615BDB"/>
    <w:rsid w:val="00615DA7"/>
    <w:rsid w:val="006163CC"/>
    <w:rsid w:val="00616885"/>
    <w:rsid w:val="00616B98"/>
    <w:rsid w:val="00616E6A"/>
    <w:rsid w:val="0061717F"/>
    <w:rsid w:val="006171DC"/>
    <w:rsid w:val="0061723D"/>
    <w:rsid w:val="006175CF"/>
    <w:rsid w:val="00617AAC"/>
    <w:rsid w:val="006201A2"/>
    <w:rsid w:val="00620254"/>
    <w:rsid w:val="00620686"/>
    <w:rsid w:val="006209E8"/>
    <w:rsid w:val="0062155F"/>
    <w:rsid w:val="00621669"/>
    <w:rsid w:val="00621B6A"/>
    <w:rsid w:val="00621C0B"/>
    <w:rsid w:val="00621C72"/>
    <w:rsid w:val="00621CAD"/>
    <w:rsid w:val="006225EE"/>
    <w:rsid w:val="006226CA"/>
    <w:rsid w:val="0062286B"/>
    <w:rsid w:val="00622DF3"/>
    <w:rsid w:val="00623427"/>
    <w:rsid w:val="00623780"/>
    <w:rsid w:val="00623EF3"/>
    <w:rsid w:val="00623FCD"/>
    <w:rsid w:val="00624304"/>
    <w:rsid w:val="00624721"/>
    <w:rsid w:val="00624AFA"/>
    <w:rsid w:val="00624C16"/>
    <w:rsid w:val="00624C6E"/>
    <w:rsid w:val="00624FB3"/>
    <w:rsid w:val="00625423"/>
    <w:rsid w:val="00625B24"/>
    <w:rsid w:val="0062657C"/>
    <w:rsid w:val="00626850"/>
    <w:rsid w:val="006269CB"/>
    <w:rsid w:val="00626C25"/>
    <w:rsid w:val="00626E64"/>
    <w:rsid w:val="00626EB1"/>
    <w:rsid w:val="0062765A"/>
    <w:rsid w:val="00627BA3"/>
    <w:rsid w:val="00627BF8"/>
    <w:rsid w:val="00627C39"/>
    <w:rsid w:val="00627E44"/>
    <w:rsid w:val="006300D7"/>
    <w:rsid w:val="0063046A"/>
    <w:rsid w:val="006307B0"/>
    <w:rsid w:val="00631007"/>
    <w:rsid w:val="00631826"/>
    <w:rsid w:val="00631E8A"/>
    <w:rsid w:val="00632507"/>
    <w:rsid w:val="006326BC"/>
    <w:rsid w:val="00632927"/>
    <w:rsid w:val="00632A0E"/>
    <w:rsid w:val="00632A4C"/>
    <w:rsid w:val="00632BF5"/>
    <w:rsid w:val="00633296"/>
    <w:rsid w:val="00633780"/>
    <w:rsid w:val="006338F7"/>
    <w:rsid w:val="00633951"/>
    <w:rsid w:val="00633965"/>
    <w:rsid w:val="00633A6D"/>
    <w:rsid w:val="00633B27"/>
    <w:rsid w:val="00633B5E"/>
    <w:rsid w:val="00633C0A"/>
    <w:rsid w:val="00633C58"/>
    <w:rsid w:val="00633D62"/>
    <w:rsid w:val="00633E1D"/>
    <w:rsid w:val="0063405E"/>
    <w:rsid w:val="006340D3"/>
    <w:rsid w:val="006341AD"/>
    <w:rsid w:val="006345BB"/>
    <w:rsid w:val="006347F5"/>
    <w:rsid w:val="00635372"/>
    <w:rsid w:val="00635389"/>
    <w:rsid w:val="00635AEE"/>
    <w:rsid w:val="00635EDC"/>
    <w:rsid w:val="00635F56"/>
    <w:rsid w:val="00636094"/>
    <w:rsid w:val="0063681F"/>
    <w:rsid w:val="00636A76"/>
    <w:rsid w:val="00636D5C"/>
    <w:rsid w:val="00636D86"/>
    <w:rsid w:val="00636FB3"/>
    <w:rsid w:val="00637395"/>
    <w:rsid w:val="006373B0"/>
    <w:rsid w:val="006373C7"/>
    <w:rsid w:val="006374F0"/>
    <w:rsid w:val="00637E00"/>
    <w:rsid w:val="006401C6"/>
    <w:rsid w:val="00640207"/>
    <w:rsid w:val="00640222"/>
    <w:rsid w:val="00640529"/>
    <w:rsid w:val="00640613"/>
    <w:rsid w:val="006409F3"/>
    <w:rsid w:val="00640C8D"/>
    <w:rsid w:val="00640D97"/>
    <w:rsid w:val="00641061"/>
    <w:rsid w:val="006416DD"/>
    <w:rsid w:val="006419B1"/>
    <w:rsid w:val="006419ED"/>
    <w:rsid w:val="00642BA1"/>
    <w:rsid w:val="00642D10"/>
    <w:rsid w:val="006434BA"/>
    <w:rsid w:val="00643769"/>
    <w:rsid w:val="006437A9"/>
    <w:rsid w:val="006438EE"/>
    <w:rsid w:val="00643973"/>
    <w:rsid w:val="00644177"/>
    <w:rsid w:val="00644200"/>
    <w:rsid w:val="0064428B"/>
    <w:rsid w:val="00644511"/>
    <w:rsid w:val="0064486C"/>
    <w:rsid w:val="00644E60"/>
    <w:rsid w:val="00644F00"/>
    <w:rsid w:val="006457B7"/>
    <w:rsid w:val="0064795E"/>
    <w:rsid w:val="00647CB1"/>
    <w:rsid w:val="00647CB3"/>
    <w:rsid w:val="00647D60"/>
    <w:rsid w:val="00650150"/>
    <w:rsid w:val="0065043A"/>
    <w:rsid w:val="00650854"/>
    <w:rsid w:val="00650B51"/>
    <w:rsid w:val="00650CF1"/>
    <w:rsid w:val="00650D1E"/>
    <w:rsid w:val="00650D8D"/>
    <w:rsid w:val="00650DFE"/>
    <w:rsid w:val="00650EB8"/>
    <w:rsid w:val="00650F7C"/>
    <w:rsid w:val="00650FBE"/>
    <w:rsid w:val="00651216"/>
    <w:rsid w:val="006513D5"/>
    <w:rsid w:val="006518B1"/>
    <w:rsid w:val="00651AD3"/>
    <w:rsid w:val="00651CE8"/>
    <w:rsid w:val="00651F1A"/>
    <w:rsid w:val="00651FA0"/>
    <w:rsid w:val="006529A8"/>
    <w:rsid w:val="00652BB4"/>
    <w:rsid w:val="00652F9D"/>
    <w:rsid w:val="00653273"/>
    <w:rsid w:val="00653A03"/>
    <w:rsid w:val="00653BEA"/>
    <w:rsid w:val="006542FE"/>
    <w:rsid w:val="00654346"/>
    <w:rsid w:val="0065443C"/>
    <w:rsid w:val="006544F6"/>
    <w:rsid w:val="00654A45"/>
    <w:rsid w:val="00654B42"/>
    <w:rsid w:val="00654C1F"/>
    <w:rsid w:val="00654C81"/>
    <w:rsid w:val="00654EFE"/>
    <w:rsid w:val="00655070"/>
    <w:rsid w:val="00655223"/>
    <w:rsid w:val="00655595"/>
    <w:rsid w:val="00655780"/>
    <w:rsid w:val="0065594D"/>
    <w:rsid w:val="006561FF"/>
    <w:rsid w:val="0065657D"/>
    <w:rsid w:val="00656D6F"/>
    <w:rsid w:val="00657005"/>
    <w:rsid w:val="006571EB"/>
    <w:rsid w:val="006578D9"/>
    <w:rsid w:val="00657F67"/>
    <w:rsid w:val="006600A5"/>
    <w:rsid w:val="006601A6"/>
    <w:rsid w:val="006601F9"/>
    <w:rsid w:val="006602D1"/>
    <w:rsid w:val="0066055C"/>
    <w:rsid w:val="006605DC"/>
    <w:rsid w:val="00660AF9"/>
    <w:rsid w:val="00661324"/>
    <w:rsid w:val="00661636"/>
    <w:rsid w:val="00661664"/>
    <w:rsid w:val="00661CC2"/>
    <w:rsid w:val="00661D38"/>
    <w:rsid w:val="00661F9A"/>
    <w:rsid w:val="00662166"/>
    <w:rsid w:val="00662BF0"/>
    <w:rsid w:val="00662DE9"/>
    <w:rsid w:val="00662FA2"/>
    <w:rsid w:val="006635DC"/>
    <w:rsid w:val="00663908"/>
    <w:rsid w:val="0066402E"/>
    <w:rsid w:val="00664250"/>
    <w:rsid w:val="0066467E"/>
    <w:rsid w:val="006646F4"/>
    <w:rsid w:val="00664BF5"/>
    <w:rsid w:val="00665229"/>
    <w:rsid w:val="00665316"/>
    <w:rsid w:val="006654E8"/>
    <w:rsid w:val="00665589"/>
    <w:rsid w:val="0066568F"/>
    <w:rsid w:val="00665882"/>
    <w:rsid w:val="00665CCE"/>
    <w:rsid w:val="0066604E"/>
    <w:rsid w:val="006662D2"/>
    <w:rsid w:val="00666948"/>
    <w:rsid w:val="00666C94"/>
    <w:rsid w:val="006672FC"/>
    <w:rsid w:val="0066736D"/>
    <w:rsid w:val="00667490"/>
    <w:rsid w:val="00667A27"/>
    <w:rsid w:val="006704BF"/>
    <w:rsid w:val="00670A74"/>
    <w:rsid w:val="00670AD6"/>
    <w:rsid w:val="00670D20"/>
    <w:rsid w:val="00670ECD"/>
    <w:rsid w:val="006710F4"/>
    <w:rsid w:val="00671773"/>
    <w:rsid w:val="00671C8F"/>
    <w:rsid w:val="006723C8"/>
    <w:rsid w:val="00672966"/>
    <w:rsid w:val="006729A2"/>
    <w:rsid w:val="00672F44"/>
    <w:rsid w:val="00672F59"/>
    <w:rsid w:val="00673201"/>
    <w:rsid w:val="0067330E"/>
    <w:rsid w:val="006735BC"/>
    <w:rsid w:val="006737DD"/>
    <w:rsid w:val="006738D4"/>
    <w:rsid w:val="00673BDE"/>
    <w:rsid w:val="00673EB7"/>
    <w:rsid w:val="00673F0A"/>
    <w:rsid w:val="00673FBF"/>
    <w:rsid w:val="006742D7"/>
    <w:rsid w:val="00674460"/>
    <w:rsid w:val="00674474"/>
    <w:rsid w:val="00674AC9"/>
    <w:rsid w:val="00674C05"/>
    <w:rsid w:val="0067517B"/>
    <w:rsid w:val="00675652"/>
    <w:rsid w:val="006757DC"/>
    <w:rsid w:val="006767B8"/>
    <w:rsid w:val="00676D77"/>
    <w:rsid w:val="00677370"/>
    <w:rsid w:val="00677725"/>
    <w:rsid w:val="006777A2"/>
    <w:rsid w:val="006777EC"/>
    <w:rsid w:val="00677F20"/>
    <w:rsid w:val="00677FC7"/>
    <w:rsid w:val="0068013A"/>
    <w:rsid w:val="00680199"/>
    <w:rsid w:val="0068092D"/>
    <w:rsid w:val="00680A97"/>
    <w:rsid w:val="00680C05"/>
    <w:rsid w:val="00680F30"/>
    <w:rsid w:val="00680F81"/>
    <w:rsid w:val="0068102D"/>
    <w:rsid w:val="0068139A"/>
    <w:rsid w:val="006818AD"/>
    <w:rsid w:val="006819F6"/>
    <w:rsid w:val="00681A9A"/>
    <w:rsid w:val="00681BF2"/>
    <w:rsid w:val="0068226B"/>
    <w:rsid w:val="00682318"/>
    <w:rsid w:val="006827C5"/>
    <w:rsid w:val="00682A4A"/>
    <w:rsid w:val="00682A54"/>
    <w:rsid w:val="00682EBF"/>
    <w:rsid w:val="00682ED3"/>
    <w:rsid w:val="00683136"/>
    <w:rsid w:val="00683BF9"/>
    <w:rsid w:val="00683D7F"/>
    <w:rsid w:val="00683D8A"/>
    <w:rsid w:val="00684035"/>
    <w:rsid w:val="006841F4"/>
    <w:rsid w:val="00684258"/>
    <w:rsid w:val="00684353"/>
    <w:rsid w:val="00684D09"/>
    <w:rsid w:val="00685586"/>
    <w:rsid w:val="00685725"/>
    <w:rsid w:val="00685C19"/>
    <w:rsid w:val="00685C28"/>
    <w:rsid w:val="00685D3B"/>
    <w:rsid w:val="0068623E"/>
    <w:rsid w:val="00686366"/>
    <w:rsid w:val="0068653A"/>
    <w:rsid w:val="0068657C"/>
    <w:rsid w:val="006866A7"/>
    <w:rsid w:val="0068673B"/>
    <w:rsid w:val="00686C33"/>
    <w:rsid w:val="0068721F"/>
    <w:rsid w:val="006874DD"/>
    <w:rsid w:val="00687778"/>
    <w:rsid w:val="006879C9"/>
    <w:rsid w:val="006879D8"/>
    <w:rsid w:val="00690386"/>
    <w:rsid w:val="006904C0"/>
    <w:rsid w:val="00690D12"/>
    <w:rsid w:val="00690F0E"/>
    <w:rsid w:val="006919C5"/>
    <w:rsid w:val="00691D43"/>
    <w:rsid w:val="00692526"/>
    <w:rsid w:val="00692602"/>
    <w:rsid w:val="00692799"/>
    <w:rsid w:val="006927F0"/>
    <w:rsid w:val="00692979"/>
    <w:rsid w:val="00692A0D"/>
    <w:rsid w:val="00693077"/>
    <w:rsid w:val="00693096"/>
    <w:rsid w:val="00693295"/>
    <w:rsid w:val="00693386"/>
    <w:rsid w:val="00693B74"/>
    <w:rsid w:val="00693CA1"/>
    <w:rsid w:val="00693CCC"/>
    <w:rsid w:val="006943ED"/>
    <w:rsid w:val="0069447C"/>
    <w:rsid w:val="0069461D"/>
    <w:rsid w:val="006949AD"/>
    <w:rsid w:val="006949CD"/>
    <w:rsid w:val="00694D1C"/>
    <w:rsid w:val="00694D7A"/>
    <w:rsid w:val="00695A99"/>
    <w:rsid w:val="00695E95"/>
    <w:rsid w:val="00695ED9"/>
    <w:rsid w:val="00696244"/>
    <w:rsid w:val="006969D6"/>
    <w:rsid w:val="0069755C"/>
    <w:rsid w:val="006979DC"/>
    <w:rsid w:val="00697C2C"/>
    <w:rsid w:val="006A05EF"/>
    <w:rsid w:val="006A0942"/>
    <w:rsid w:val="006A0950"/>
    <w:rsid w:val="006A18CF"/>
    <w:rsid w:val="006A18DD"/>
    <w:rsid w:val="006A221C"/>
    <w:rsid w:val="006A2347"/>
    <w:rsid w:val="006A24B3"/>
    <w:rsid w:val="006A267B"/>
    <w:rsid w:val="006A2733"/>
    <w:rsid w:val="006A2CB0"/>
    <w:rsid w:val="006A2D0E"/>
    <w:rsid w:val="006A2E66"/>
    <w:rsid w:val="006A2F39"/>
    <w:rsid w:val="006A3227"/>
    <w:rsid w:val="006A3290"/>
    <w:rsid w:val="006A334D"/>
    <w:rsid w:val="006A3396"/>
    <w:rsid w:val="006A3574"/>
    <w:rsid w:val="006A3976"/>
    <w:rsid w:val="006A3C8E"/>
    <w:rsid w:val="006A3D47"/>
    <w:rsid w:val="006A3F94"/>
    <w:rsid w:val="006A4113"/>
    <w:rsid w:val="006A457C"/>
    <w:rsid w:val="006A4584"/>
    <w:rsid w:val="006A484F"/>
    <w:rsid w:val="006A49B5"/>
    <w:rsid w:val="006A5185"/>
    <w:rsid w:val="006A5A45"/>
    <w:rsid w:val="006A5CA3"/>
    <w:rsid w:val="006A5E26"/>
    <w:rsid w:val="006A606B"/>
    <w:rsid w:val="006A63DA"/>
    <w:rsid w:val="006A64B0"/>
    <w:rsid w:val="006A6725"/>
    <w:rsid w:val="006A67F4"/>
    <w:rsid w:val="006A6B69"/>
    <w:rsid w:val="006A6CCF"/>
    <w:rsid w:val="006A6D8A"/>
    <w:rsid w:val="006A7574"/>
    <w:rsid w:val="006A7984"/>
    <w:rsid w:val="006A7BF2"/>
    <w:rsid w:val="006A7C40"/>
    <w:rsid w:val="006A7FDD"/>
    <w:rsid w:val="006B01C8"/>
    <w:rsid w:val="006B0489"/>
    <w:rsid w:val="006B0A5E"/>
    <w:rsid w:val="006B0B1F"/>
    <w:rsid w:val="006B0C66"/>
    <w:rsid w:val="006B1235"/>
    <w:rsid w:val="006B14F4"/>
    <w:rsid w:val="006B1605"/>
    <w:rsid w:val="006B163E"/>
    <w:rsid w:val="006B166D"/>
    <w:rsid w:val="006B18B8"/>
    <w:rsid w:val="006B19B2"/>
    <w:rsid w:val="006B1A22"/>
    <w:rsid w:val="006B1DA2"/>
    <w:rsid w:val="006B1F5F"/>
    <w:rsid w:val="006B20F8"/>
    <w:rsid w:val="006B21E9"/>
    <w:rsid w:val="006B242D"/>
    <w:rsid w:val="006B2790"/>
    <w:rsid w:val="006B32B5"/>
    <w:rsid w:val="006B393F"/>
    <w:rsid w:val="006B3E55"/>
    <w:rsid w:val="006B4566"/>
    <w:rsid w:val="006B460F"/>
    <w:rsid w:val="006B47AD"/>
    <w:rsid w:val="006B4A50"/>
    <w:rsid w:val="006B4D4E"/>
    <w:rsid w:val="006B4EB4"/>
    <w:rsid w:val="006B50E1"/>
    <w:rsid w:val="006B59E7"/>
    <w:rsid w:val="006B6125"/>
    <w:rsid w:val="006B6A1A"/>
    <w:rsid w:val="006B6A81"/>
    <w:rsid w:val="006B6AD0"/>
    <w:rsid w:val="006B6B4C"/>
    <w:rsid w:val="006B6BA3"/>
    <w:rsid w:val="006B6C95"/>
    <w:rsid w:val="006B725C"/>
    <w:rsid w:val="006B7402"/>
    <w:rsid w:val="006B785D"/>
    <w:rsid w:val="006B7864"/>
    <w:rsid w:val="006B789D"/>
    <w:rsid w:val="006C02E3"/>
    <w:rsid w:val="006C03B2"/>
    <w:rsid w:val="006C0611"/>
    <w:rsid w:val="006C09DD"/>
    <w:rsid w:val="006C0A1A"/>
    <w:rsid w:val="006C10B4"/>
    <w:rsid w:val="006C1134"/>
    <w:rsid w:val="006C1B3F"/>
    <w:rsid w:val="006C200A"/>
    <w:rsid w:val="006C2113"/>
    <w:rsid w:val="006C2116"/>
    <w:rsid w:val="006C27DA"/>
    <w:rsid w:val="006C3009"/>
    <w:rsid w:val="006C375B"/>
    <w:rsid w:val="006C377A"/>
    <w:rsid w:val="006C3F40"/>
    <w:rsid w:val="006C4411"/>
    <w:rsid w:val="006C44D3"/>
    <w:rsid w:val="006C45C1"/>
    <w:rsid w:val="006C4B0F"/>
    <w:rsid w:val="006C4B11"/>
    <w:rsid w:val="006C4C1C"/>
    <w:rsid w:val="006C4D69"/>
    <w:rsid w:val="006C5023"/>
    <w:rsid w:val="006C50C3"/>
    <w:rsid w:val="006C50D3"/>
    <w:rsid w:val="006C5215"/>
    <w:rsid w:val="006C566C"/>
    <w:rsid w:val="006C57EC"/>
    <w:rsid w:val="006C59C5"/>
    <w:rsid w:val="006C5A4C"/>
    <w:rsid w:val="006C5A93"/>
    <w:rsid w:val="006C5B3E"/>
    <w:rsid w:val="006C5C20"/>
    <w:rsid w:val="006C5FF1"/>
    <w:rsid w:val="006C6253"/>
    <w:rsid w:val="006C6287"/>
    <w:rsid w:val="006C6649"/>
    <w:rsid w:val="006C677C"/>
    <w:rsid w:val="006C6A05"/>
    <w:rsid w:val="006C6E76"/>
    <w:rsid w:val="006C6E92"/>
    <w:rsid w:val="006C6FF5"/>
    <w:rsid w:val="006C7428"/>
    <w:rsid w:val="006C75C9"/>
    <w:rsid w:val="006D011A"/>
    <w:rsid w:val="006D0233"/>
    <w:rsid w:val="006D03CD"/>
    <w:rsid w:val="006D0A70"/>
    <w:rsid w:val="006D0AD9"/>
    <w:rsid w:val="006D0DED"/>
    <w:rsid w:val="006D19ED"/>
    <w:rsid w:val="006D1A23"/>
    <w:rsid w:val="006D1F1A"/>
    <w:rsid w:val="006D21FF"/>
    <w:rsid w:val="006D2627"/>
    <w:rsid w:val="006D2B11"/>
    <w:rsid w:val="006D2B29"/>
    <w:rsid w:val="006D3104"/>
    <w:rsid w:val="006D31AF"/>
    <w:rsid w:val="006D31DD"/>
    <w:rsid w:val="006D343D"/>
    <w:rsid w:val="006D38D1"/>
    <w:rsid w:val="006D3D66"/>
    <w:rsid w:val="006D3E35"/>
    <w:rsid w:val="006D409F"/>
    <w:rsid w:val="006D47FF"/>
    <w:rsid w:val="006D492A"/>
    <w:rsid w:val="006D493C"/>
    <w:rsid w:val="006D4E49"/>
    <w:rsid w:val="006D4F72"/>
    <w:rsid w:val="006D5606"/>
    <w:rsid w:val="006D59BF"/>
    <w:rsid w:val="006D5AE7"/>
    <w:rsid w:val="006D5EC2"/>
    <w:rsid w:val="006D5FEF"/>
    <w:rsid w:val="006D615D"/>
    <w:rsid w:val="006D63C2"/>
    <w:rsid w:val="006D7598"/>
    <w:rsid w:val="006D7B93"/>
    <w:rsid w:val="006D7D41"/>
    <w:rsid w:val="006D7DAD"/>
    <w:rsid w:val="006E0166"/>
    <w:rsid w:val="006E0ADC"/>
    <w:rsid w:val="006E0B16"/>
    <w:rsid w:val="006E0E60"/>
    <w:rsid w:val="006E0ED0"/>
    <w:rsid w:val="006E16A3"/>
    <w:rsid w:val="006E176F"/>
    <w:rsid w:val="006E22CC"/>
    <w:rsid w:val="006E2AA6"/>
    <w:rsid w:val="006E3854"/>
    <w:rsid w:val="006E3BA9"/>
    <w:rsid w:val="006E3D3A"/>
    <w:rsid w:val="006E40E5"/>
    <w:rsid w:val="006E459B"/>
    <w:rsid w:val="006E4752"/>
    <w:rsid w:val="006E4917"/>
    <w:rsid w:val="006E4989"/>
    <w:rsid w:val="006E5093"/>
    <w:rsid w:val="006E512D"/>
    <w:rsid w:val="006E5151"/>
    <w:rsid w:val="006E54EC"/>
    <w:rsid w:val="006E554E"/>
    <w:rsid w:val="006E564B"/>
    <w:rsid w:val="006E574E"/>
    <w:rsid w:val="006E5C5E"/>
    <w:rsid w:val="006E5F8F"/>
    <w:rsid w:val="006E5FE9"/>
    <w:rsid w:val="006E6043"/>
    <w:rsid w:val="006E6A05"/>
    <w:rsid w:val="006E6DA9"/>
    <w:rsid w:val="006E6F03"/>
    <w:rsid w:val="006E71A8"/>
    <w:rsid w:val="006E7320"/>
    <w:rsid w:val="006E7496"/>
    <w:rsid w:val="006E792F"/>
    <w:rsid w:val="006E7969"/>
    <w:rsid w:val="006E7E49"/>
    <w:rsid w:val="006E7F71"/>
    <w:rsid w:val="006E7F8D"/>
    <w:rsid w:val="006F0072"/>
    <w:rsid w:val="006F04E2"/>
    <w:rsid w:val="006F05C2"/>
    <w:rsid w:val="006F090B"/>
    <w:rsid w:val="006F0C12"/>
    <w:rsid w:val="006F0E20"/>
    <w:rsid w:val="006F0EB1"/>
    <w:rsid w:val="006F0EE4"/>
    <w:rsid w:val="006F0F6F"/>
    <w:rsid w:val="006F1008"/>
    <w:rsid w:val="006F1295"/>
    <w:rsid w:val="006F18C5"/>
    <w:rsid w:val="006F1D86"/>
    <w:rsid w:val="006F22CB"/>
    <w:rsid w:val="006F291E"/>
    <w:rsid w:val="006F2E21"/>
    <w:rsid w:val="006F3052"/>
    <w:rsid w:val="006F305E"/>
    <w:rsid w:val="006F314D"/>
    <w:rsid w:val="006F3431"/>
    <w:rsid w:val="006F3738"/>
    <w:rsid w:val="006F3B01"/>
    <w:rsid w:val="006F3BDF"/>
    <w:rsid w:val="006F4072"/>
    <w:rsid w:val="006F4189"/>
    <w:rsid w:val="006F4A19"/>
    <w:rsid w:val="006F543B"/>
    <w:rsid w:val="006F557B"/>
    <w:rsid w:val="006F5B41"/>
    <w:rsid w:val="006F6689"/>
    <w:rsid w:val="006F6740"/>
    <w:rsid w:val="006F6967"/>
    <w:rsid w:val="006F7181"/>
    <w:rsid w:val="006F73A7"/>
    <w:rsid w:val="006F746D"/>
    <w:rsid w:val="006F7A92"/>
    <w:rsid w:val="006F7C53"/>
    <w:rsid w:val="006F7E42"/>
    <w:rsid w:val="00700042"/>
    <w:rsid w:val="0070023A"/>
    <w:rsid w:val="00700292"/>
    <w:rsid w:val="007002E7"/>
    <w:rsid w:val="007003F7"/>
    <w:rsid w:val="0070179E"/>
    <w:rsid w:val="007017EA"/>
    <w:rsid w:val="0070181F"/>
    <w:rsid w:val="0070193E"/>
    <w:rsid w:val="00701B27"/>
    <w:rsid w:val="0070212B"/>
    <w:rsid w:val="00702371"/>
    <w:rsid w:val="00702A12"/>
    <w:rsid w:val="00702BFC"/>
    <w:rsid w:val="0070339E"/>
    <w:rsid w:val="007034BC"/>
    <w:rsid w:val="007035F6"/>
    <w:rsid w:val="007036E5"/>
    <w:rsid w:val="00703717"/>
    <w:rsid w:val="00703AE5"/>
    <w:rsid w:val="00703D58"/>
    <w:rsid w:val="00703E70"/>
    <w:rsid w:val="007044C2"/>
    <w:rsid w:val="007047A7"/>
    <w:rsid w:val="00704A33"/>
    <w:rsid w:val="00704DEB"/>
    <w:rsid w:val="00704E92"/>
    <w:rsid w:val="007053AB"/>
    <w:rsid w:val="00705584"/>
    <w:rsid w:val="00705E96"/>
    <w:rsid w:val="007062A3"/>
    <w:rsid w:val="00706E08"/>
    <w:rsid w:val="00706F3F"/>
    <w:rsid w:val="0070711F"/>
    <w:rsid w:val="0070730D"/>
    <w:rsid w:val="0070743B"/>
    <w:rsid w:val="0070796A"/>
    <w:rsid w:val="00707A89"/>
    <w:rsid w:val="00707AF0"/>
    <w:rsid w:val="00710046"/>
    <w:rsid w:val="007101EE"/>
    <w:rsid w:val="00710905"/>
    <w:rsid w:val="00710994"/>
    <w:rsid w:val="007109CD"/>
    <w:rsid w:val="00710A3E"/>
    <w:rsid w:val="00710D33"/>
    <w:rsid w:val="007110FE"/>
    <w:rsid w:val="007112E2"/>
    <w:rsid w:val="00711760"/>
    <w:rsid w:val="0071196B"/>
    <w:rsid w:val="00711A0F"/>
    <w:rsid w:val="00711AE4"/>
    <w:rsid w:val="00711CBA"/>
    <w:rsid w:val="00711D10"/>
    <w:rsid w:val="00711D73"/>
    <w:rsid w:val="00711E0C"/>
    <w:rsid w:val="00711F36"/>
    <w:rsid w:val="00712163"/>
    <w:rsid w:val="007128DA"/>
    <w:rsid w:val="00712A0F"/>
    <w:rsid w:val="00712DBC"/>
    <w:rsid w:val="00712FDB"/>
    <w:rsid w:val="0071374D"/>
    <w:rsid w:val="00713CC0"/>
    <w:rsid w:val="0071405A"/>
    <w:rsid w:val="00714095"/>
    <w:rsid w:val="00714312"/>
    <w:rsid w:val="00714526"/>
    <w:rsid w:val="00714722"/>
    <w:rsid w:val="00714A2D"/>
    <w:rsid w:val="00714D6A"/>
    <w:rsid w:val="00715920"/>
    <w:rsid w:val="00715F49"/>
    <w:rsid w:val="007162F2"/>
    <w:rsid w:val="007163BF"/>
    <w:rsid w:val="0071649C"/>
    <w:rsid w:val="00716528"/>
    <w:rsid w:val="007166BC"/>
    <w:rsid w:val="00716FC0"/>
    <w:rsid w:val="00717267"/>
    <w:rsid w:val="007178EE"/>
    <w:rsid w:val="00717B0A"/>
    <w:rsid w:val="00720557"/>
    <w:rsid w:val="00720759"/>
    <w:rsid w:val="007208FF"/>
    <w:rsid w:val="00720BD4"/>
    <w:rsid w:val="00721011"/>
    <w:rsid w:val="0072116F"/>
    <w:rsid w:val="007215A9"/>
    <w:rsid w:val="007215BF"/>
    <w:rsid w:val="007218A9"/>
    <w:rsid w:val="0072190B"/>
    <w:rsid w:val="00721E1D"/>
    <w:rsid w:val="00721E87"/>
    <w:rsid w:val="00721F9A"/>
    <w:rsid w:val="00722B72"/>
    <w:rsid w:val="00723701"/>
    <w:rsid w:val="00723C3F"/>
    <w:rsid w:val="00723C7E"/>
    <w:rsid w:val="00723E4E"/>
    <w:rsid w:val="00723EC3"/>
    <w:rsid w:val="00724426"/>
    <w:rsid w:val="00724EC7"/>
    <w:rsid w:val="00725068"/>
    <w:rsid w:val="007254B1"/>
    <w:rsid w:val="0072560E"/>
    <w:rsid w:val="00725CB6"/>
    <w:rsid w:val="00725D75"/>
    <w:rsid w:val="0072602E"/>
    <w:rsid w:val="00726281"/>
    <w:rsid w:val="0072665F"/>
    <w:rsid w:val="007268C3"/>
    <w:rsid w:val="00726EAA"/>
    <w:rsid w:val="00727E9F"/>
    <w:rsid w:val="00727F22"/>
    <w:rsid w:val="00730302"/>
    <w:rsid w:val="00730E1C"/>
    <w:rsid w:val="0073128B"/>
    <w:rsid w:val="0073171A"/>
    <w:rsid w:val="00731793"/>
    <w:rsid w:val="007319D1"/>
    <w:rsid w:val="00731A41"/>
    <w:rsid w:val="00731AFA"/>
    <w:rsid w:val="00731C75"/>
    <w:rsid w:val="00731D37"/>
    <w:rsid w:val="00731DAC"/>
    <w:rsid w:val="00731E4B"/>
    <w:rsid w:val="00732321"/>
    <w:rsid w:val="0073323F"/>
    <w:rsid w:val="00733315"/>
    <w:rsid w:val="00733858"/>
    <w:rsid w:val="00733A2B"/>
    <w:rsid w:val="00733A74"/>
    <w:rsid w:val="00733A80"/>
    <w:rsid w:val="00733AA9"/>
    <w:rsid w:val="00733B85"/>
    <w:rsid w:val="00733C23"/>
    <w:rsid w:val="00733D80"/>
    <w:rsid w:val="00733F4E"/>
    <w:rsid w:val="00734133"/>
    <w:rsid w:val="0073448F"/>
    <w:rsid w:val="0073473D"/>
    <w:rsid w:val="0073497A"/>
    <w:rsid w:val="00735519"/>
    <w:rsid w:val="007356D0"/>
    <w:rsid w:val="0073637C"/>
    <w:rsid w:val="00736521"/>
    <w:rsid w:val="007366CA"/>
    <w:rsid w:val="007366E4"/>
    <w:rsid w:val="00736D7B"/>
    <w:rsid w:val="007377ED"/>
    <w:rsid w:val="007379C8"/>
    <w:rsid w:val="00740087"/>
    <w:rsid w:val="00740094"/>
    <w:rsid w:val="00740698"/>
    <w:rsid w:val="007406C0"/>
    <w:rsid w:val="00740AC1"/>
    <w:rsid w:val="00740BBF"/>
    <w:rsid w:val="00740CD3"/>
    <w:rsid w:val="0074108B"/>
    <w:rsid w:val="007418A6"/>
    <w:rsid w:val="00741A05"/>
    <w:rsid w:val="00741A48"/>
    <w:rsid w:val="007420C9"/>
    <w:rsid w:val="00742235"/>
    <w:rsid w:val="00742695"/>
    <w:rsid w:val="007426B7"/>
    <w:rsid w:val="00742A51"/>
    <w:rsid w:val="00742BFB"/>
    <w:rsid w:val="00742EC0"/>
    <w:rsid w:val="007430F0"/>
    <w:rsid w:val="00743739"/>
    <w:rsid w:val="00743757"/>
    <w:rsid w:val="0074383F"/>
    <w:rsid w:val="00743867"/>
    <w:rsid w:val="007439D6"/>
    <w:rsid w:val="00744055"/>
    <w:rsid w:val="00744234"/>
    <w:rsid w:val="0074460B"/>
    <w:rsid w:val="00744F0F"/>
    <w:rsid w:val="00744FB1"/>
    <w:rsid w:val="00745307"/>
    <w:rsid w:val="0074576E"/>
    <w:rsid w:val="00745EB5"/>
    <w:rsid w:val="00745EBB"/>
    <w:rsid w:val="00746167"/>
    <w:rsid w:val="00746199"/>
    <w:rsid w:val="007462A6"/>
    <w:rsid w:val="0074644A"/>
    <w:rsid w:val="007464E7"/>
    <w:rsid w:val="00747446"/>
    <w:rsid w:val="0074769D"/>
    <w:rsid w:val="0074779C"/>
    <w:rsid w:val="00747BD8"/>
    <w:rsid w:val="00747E09"/>
    <w:rsid w:val="00747F05"/>
    <w:rsid w:val="007500FC"/>
    <w:rsid w:val="0075038A"/>
    <w:rsid w:val="007509F9"/>
    <w:rsid w:val="00750AE2"/>
    <w:rsid w:val="00750EF0"/>
    <w:rsid w:val="007512D3"/>
    <w:rsid w:val="007515C8"/>
    <w:rsid w:val="007517D1"/>
    <w:rsid w:val="00751F76"/>
    <w:rsid w:val="00752438"/>
    <w:rsid w:val="00752497"/>
    <w:rsid w:val="0075250F"/>
    <w:rsid w:val="007527B8"/>
    <w:rsid w:val="00752880"/>
    <w:rsid w:val="0075288B"/>
    <w:rsid w:val="00752C5C"/>
    <w:rsid w:val="00752FE7"/>
    <w:rsid w:val="0075312F"/>
    <w:rsid w:val="007536BB"/>
    <w:rsid w:val="00753B0F"/>
    <w:rsid w:val="00753B9D"/>
    <w:rsid w:val="00753F01"/>
    <w:rsid w:val="0075412E"/>
    <w:rsid w:val="00754D64"/>
    <w:rsid w:val="00754EDC"/>
    <w:rsid w:val="0075563B"/>
    <w:rsid w:val="007557D1"/>
    <w:rsid w:val="0075583A"/>
    <w:rsid w:val="00755B06"/>
    <w:rsid w:val="00755BE6"/>
    <w:rsid w:val="00755C07"/>
    <w:rsid w:val="00755E06"/>
    <w:rsid w:val="00756381"/>
    <w:rsid w:val="007564B4"/>
    <w:rsid w:val="007565E2"/>
    <w:rsid w:val="00756C92"/>
    <w:rsid w:val="007570A3"/>
    <w:rsid w:val="007572E9"/>
    <w:rsid w:val="00757495"/>
    <w:rsid w:val="00757A61"/>
    <w:rsid w:val="00757BD1"/>
    <w:rsid w:val="00757CD9"/>
    <w:rsid w:val="00757D4D"/>
    <w:rsid w:val="00757E8E"/>
    <w:rsid w:val="00757FE8"/>
    <w:rsid w:val="007600CF"/>
    <w:rsid w:val="00760194"/>
    <w:rsid w:val="00760224"/>
    <w:rsid w:val="007604E2"/>
    <w:rsid w:val="0076065A"/>
    <w:rsid w:val="007606BF"/>
    <w:rsid w:val="00760756"/>
    <w:rsid w:val="00760BFF"/>
    <w:rsid w:val="00760D79"/>
    <w:rsid w:val="00760E75"/>
    <w:rsid w:val="007613AF"/>
    <w:rsid w:val="00761471"/>
    <w:rsid w:val="00761941"/>
    <w:rsid w:val="007619FB"/>
    <w:rsid w:val="00761D21"/>
    <w:rsid w:val="0076200C"/>
    <w:rsid w:val="007624B9"/>
    <w:rsid w:val="00762924"/>
    <w:rsid w:val="0076295C"/>
    <w:rsid w:val="00762DC1"/>
    <w:rsid w:val="00763055"/>
    <w:rsid w:val="007631E2"/>
    <w:rsid w:val="0076375B"/>
    <w:rsid w:val="007638B8"/>
    <w:rsid w:val="00763D32"/>
    <w:rsid w:val="00763F7A"/>
    <w:rsid w:val="00764A37"/>
    <w:rsid w:val="00764C3D"/>
    <w:rsid w:val="00764CDD"/>
    <w:rsid w:val="00764E4E"/>
    <w:rsid w:val="00764EB8"/>
    <w:rsid w:val="00764F42"/>
    <w:rsid w:val="00765098"/>
    <w:rsid w:val="00765220"/>
    <w:rsid w:val="007657DE"/>
    <w:rsid w:val="007657E5"/>
    <w:rsid w:val="0076598E"/>
    <w:rsid w:val="00765E5F"/>
    <w:rsid w:val="00765FDC"/>
    <w:rsid w:val="00766559"/>
    <w:rsid w:val="007667D5"/>
    <w:rsid w:val="00766B0E"/>
    <w:rsid w:val="00766BFB"/>
    <w:rsid w:val="00766CD1"/>
    <w:rsid w:val="00766CD5"/>
    <w:rsid w:val="00766DFE"/>
    <w:rsid w:val="0076704A"/>
    <w:rsid w:val="0076727D"/>
    <w:rsid w:val="0076731C"/>
    <w:rsid w:val="0076735A"/>
    <w:rsid w:val="00767416"/>
    <w:rsid w:val="0076747C"/>
    <w:rsid w:val="007678B6"/>
    <w:rsid w:val="00767D5D"/>
    <w:rsid w:val="00770544"/>
    <w:rsid w:val="00770CEE"/>
    <w:rsid w:val="007712B7"/>
    <w:rsid w:val="00771C48"/>
    <w:rsid w:val="00771D7E"/>
    <w:rsid w:val="007721AD"/>
    <w:rsid w:val="00772277"/>
    <w:rsid w:val="00772963"/>
    <w:rsid w:val="00772C06"/>
    <w:rsid w:val="00772C23"/>
    <w:rsid w:val="00772D15"/>
    <w:rsid w:val="00772DC3"/>
    <w:rsid w:val="007731A4"/>
    <w:rsid w:val="00773322"/>
    <w:rsid w:val="007733C4"/>
    <w:rsid w:val="007733E9"/>
    <w:rsid w:val="007738B4"/>
    <w:rsid w:val="00773A60"/>
    <w:rsid w:val="007743A1"/>
    <w:rsid w:val="007744EF"/>
    <w:rsid w:val="00774E74"/>
    <w:rsid w:val="007750DC"/>
    <w:rsid w:val="00775330"/>
    <w:rsid w:val="00775BAA"/>
    <w:rsid w:val="00775EFD"/>
    <w:rsid w:val="00775F11"/>
    <w:rsid w:val="007762CD"/>
    <w:rsid w:val="007768F2"/>
    <w:rsid w:val="00776A21"/>
    <w:rsid w:val="00776E9E"/>
    <w:rsid w:val="00777053"/>
    <w:rsid w:val="007770F1"/>
    <w:rsid w:val="00777C18"/>
    <w:rsid w:val="00777CD9"/>
    <w:rsid w:val="00777E96"/>
    <w:rsid w:val="00777EE9"/>
    <w:rsid w:val="00780186"/>
    <w:rsid w:val="00780657"/>
    <w:rsid w:val="0078087C"/>
    <w:rsid w:val="007808E3"/>
    <w:rsid w:val="00780980"/>
    <w:rsid w:val="007809E1"/>
    <w:rsid w:val="00780D72"/>
    <w:rsid w:val="00780E03"/>
    <w:rsid w:val="0078146E"/>
    <w:rsid w:val="00781633"/>
    <w:rsid w:val="0078165E"/>
    <w:rsid w:val="007816FD"/>
    <w:rsid w:val="00781B9A"/>
    <w:rsid w:val="00781DAD"/>
    <w:rsid w:val="00782266"/>
    <w:rsid w:val="007822AB"/>
    <w:rsid w:val="0078243D"/>
    <w:rsid w:val="007828D4"/>
    <w:rsid w:val="00782BF2"/>
    <w:rsid w:val="00782D8A"/>
    <w:rsid w:val="00783315"/>
    <w:rsid w:val="007833C3"/>
    <w:rsid w:val="007833DA"/>
    <w:rsid w:val="007837BE"/>
    <w:rsid w:val="0078380D"/>
    <w:rsid w:val="007842FE"/>
    <w:rsid w:val="00784442"/>
    <w:rsid w:val="007844AA"/>
    <w:rsid w:val="00784702"/>
    <w:rsid w:val="00784C31"/>
    <w:rsid w:val="00784EA1"/>
    <w:rsid w:val="00784FC7"/>
    <w:rsid w:val="0078513B"/>
    <w:rsid w:val="00785383"/>
    <w:rsid w:val="0078570D"/>
    <w:rsid w:val="007861D1"/>
    <w:rsid w:val="00786272"/>
    <w:rsid w:val="007864B2"/>
    <w:rsid w:val="00786613"/>
    <w:rsid w:val="00786620"/>
    <w:rsid w:val="007868B7"/>
    <w:rsid w:val="0078692B"/>
    <w:rsid w:val="00786BC0"/>
    <w:rsid w:val="0078723F"/>
    <w:rsid w:val="0078756D"/>
    <w:rsid w:val="007875C4"/>
    <w:rsid w:val="00787736"/>
    <w:rsid w:val="00787977"/>
    <w:rsid w:val="00787A55"/>
    <w:rsid w:val="00787FF1"/>
    <w:rsid w:val="007900EB"/>
    <w:rsid w:val="00790267"/>
    <w:rsid w:val="00790371"/>
    <w:rsid w:val="00790E7E"/>
    <w:rsid w:val="007913A8"/>
    <w:rsid w:val="007916D2"/>
    <w:rsid w:val="00791ADE"/>
    <w:rsid w:val="00791BEA"/>
    <w:rsid w:val="00792486"/>
    <w:rsid w:val="007926B7"/>
    <w:rsid w:val="00792A89"/>
    <w:rsid w:val="00792D23"/>
    <w:rsid w:val="00792ECC"/>
    <w:rsid w:val="0079321B"/>
    <w:rsid w:val="007939C7"/>
    <w:rsid w:val="00793F70"/>
    <w:rsid w:val="0079400D"/>
    <w:rsid w:val="00794188"/>
    <w:rsid w:val="0079455C"/>
    <w:rsid w:val="007947FB"/>
    <w:rsid w:val="00794842"/>
    <w:rsid w:val="0079485D"/>
    <w:rsid w:val="007954AC"/>
    <w:rsid w:val="0079601B"/>
    <w:rsid w:val="007962E1"/>
    <w:rsid w:val="00796589"/>
    <w:rsid w:val="00796639"/>
    <w:rsid w:val="0079663F"/>
    <w:rsid w:val="00796853"/>
    <w:rsid w:val="0079687E"/>
    <w:rsid w:val="0079692D"/>
    <w:rsid w:val="00796F91"/>
    <w:rsid w:val="007976AE"/>
    <w:rsid w:val="00797DAA"/>
    <w:rsid w:val="00797FCF"/>
    <w:rsid w:val="007A05D0"/>
    <w:rsid w:val="007A0616"/>
    <w:rsid w:val="007A0726"/>
    <w:rsid w:val="007A091C"/>
    <w:rsid w:val="007A0DAC"/>
    <w:rsid w:val="007A0EB5"/>
    <w:rsid w:val="007A1189"/>
    <w:rsid w:val="007A15BA"/>
    <w:rsid w:val="007A166E"/>
    <w:rsid w:val="007A16BA"/>
    <w:rsid w:val="007A1847"/>
    <w:rsid w:val="007A1964"/>
    <w:rsid w:val="007A1B63"/>
    <w:rsid w:val="007A2A53"/>
    <w:rsid w:val="007A2BFF"/>
    <w:rsid w:val="007A2DE7"/>
    <w:rsid w:val="007A300F"/>
    <w:rsid w:val="007A3040"/>
    <w:rsid w:val="007A3373"/>
    <w:rsid w:val="007A3395"/>
    <w:rsid w:val="007A3505"/>
    <w:rsid w:val="007A3BF2"/>
    <w:rsid w:val="007A3FC5"/>
    <w:rsid w:val="007A4264"/>
    <w:rsid w:val="007A43F5"/>
    <w:rsid w:val="007A442D"/>
    <w:rsid w:val="007A44BE"/>
    <w:rsid w:val="007A49C9"/>
    <w:rsid w:val="007A4AF1"/>
    <w:rsid w:val="007A4BE6"/>
    <w:rsid w:val="007A4E56"/>
    <w:rsid w:val="007A5168"/>
    <w:rsid w:val="007A5288"/>
    <w:rsid w:val="007A5F33"/>
    <w:rsid w:val="007A618D"/>
    <w:rsid w:val="007A6333"/>
    <w:rsid w:val="007A6477"/>
    <w:rsid w:val="007A67D0"/>
    <w:rsid w:val="007A6909"/>
    <w:rsid w:val="007A6D88"/>
    <w:rsid w:val="007A75A3"/>
    <w:rsid w:val="007A76D0"/>
    <w:rsid w:val="007A7D52"/>
    <w:rsid w:val="007B0253"/>
    <w:rsid w:val="007B073B"/>
    <w:rsid w:val="007B0865"/>
    <w:rsid w:val="007B08D1"/>
    <w:rsid w:val="007B09ED"/>
    <w:rsid w:val="007B0B92"/>
    <w:rsid w:val="007B0C4D"/>
    <w:rsid w:val="007B0E72"/>
    <w:rsid w:val="007B1061"/>
    <w:rsid w:val="007B1DF0"/>
    <w:rsid w:val="007B1F9A"/>
    <w:rsid w:val="007B21A9"/>
    <w:rsid w:val="007B2638"/>
    <w:rsid w:val="007B314C"/>
    <w:rsid w:val="007B31E2"/>
    <w:rsid w:val="007B322B"/>
    <w:rsid w:val="007B3476"/>
    <w:rsid w:val="007B3AAA"/>
    <w:rsid w:val="007B3D55"/>
    <w:rsid w:val="007B4097"/>
    <w:rsid w:val="007B40AD"/>
    <w:rsid w:val="007B448A"/>
    <w:rsid w:val="007B44DC"/>
    <w:rsid w:val="007B4543"/>
    <w:rsid w:val="007B4937"/>
    <w:rsid w:val="007B506B"/>
    <w:rsid w:val="007B5155"/>
    <w:rsid w:val="007B51B7"/>
    <w:rsid w:val="007B53E5"/>
    <w:rsid w:val="007B543A"/>
    <w:rsid w:val="007B5A66"/>
    <w:rsid w:val="007B630D"/>
    <w:rsid w:val="007B697F"/>
    <w:rsid w:val="007B6B11"/>
    <w:rsid w:val="007B74C5"/>
    <w:rsid w:val="007B7A2C"/>
    <w:rsid w:val="007C0702"/>
    <w:rsid w:val="007C0880"/>
    <w:rsid w:val="007C0BD2"/>
    <w:rsid w:val="007C0CF6"/>
    <w:rsid w:val="007C0F3A"/>
    <w:rsid w:val="007C1065"/>
    <w:rsid w:val="007C114A"/>
    <w:rsid w:val="007C1537"/>
    <w:rsid w:val="007C1B94"/>
    <w:rsid w:val="007C1DAA"/>
    <w:rsid w:val="007C2A39"/>
    <w:rsid w:val="007C2C1E"/>
    <w:rsid w:val="007C2DBF"/>
    <w:rsid w:val="007C3059"/>
    <w:rsid w:val="007C3093"/>
    <w:rsid w:val="007C33C5"/>
    <w:rsid w:val="007C3D88"/>
    <w:rsid w:val="007C3F14"/>
    <w:rsid w:val="007C4DB6"/>
    <w:rsid w:val="007C508D"/>
    <w:rsid w:val="007C515A"/>
    <w:rsid w:val="007C52ED"/>
    <w:rsid w:val="007C56CE"/>
    <w:rsid w:val="007C5750"/>
    <w:rsid w:val="007C5768"/>
    <w:rsid w:val="007C5AB0"/>
    <w:rsid w:val="007C5CE6"/>
    <w:rsid w:val="007C5DB6"/>
    <w:rsid w:val="007C61E0"/>
    <w:rsid w:val="007C64BC"/>
    <w:rsid w:val="007C6566"/>
    <w:rsid w:val="007C6939"/>
    <w:rsid w:val="007C6941"/>
    <w:rsid w:val="007C6AFC"/>
    <w:rsid w:val="007C6D8A"/>
    <w:rsid w:val="007C6E76"/>
    <w:rsid w:val="007C6ED4"/>
    <w:rsid w:val="007C72F8"/>
    <w:rsid w:val="007C735F"/>
    <w:rsid w:val="007C768A"/>
    <w:rsid w:val="007C79FA"/>
    <w:rsid w:val="007C7EF3"/>
    <w:rsid w:val="007D00E8"/>
    <w:rsid w:val="007D00EA"/>
    <w:rsid w:val="007D020B"/>
    <w:rsid w:val="007D0287"/>
    <w:rsid w:val="007D0677"/>
    <w:rsid w:val="007D0779"/>
    <w:rsid w:val="007D096E"/>
    <w:rsid w:val="007D098C"/>
    <w:rsid w:val="007D1085"/>
    <w:rsid w:val="007D11B6"/>
    <w:rsid w:val="007D149C"/>
    <w:rsid w:val="007D1558"/>
    <w:rsid w:val="007D19B4"/>
    <w:rsid w:val="007D1B7C"/>
    <w:rsid w:val="007D1B7D"/>
    <w:rsid w:val="007D1D9C"/>
    <w:rsid w:val="007D1DB9"/>
    <w:rsid w:val="007D1E84"/>
    <w:rsid w:val="007D214A"/>
    <w:rsid w:val="007D2CA3"/>
    <w:rsid w:val="007D2FA9"/>
    <w:rsid w:val="007D3427"/>
    <w:rsid w:val="007D357E"/>
    <w:rsid w:val="007D3889"/>
    <w:rsid w:val="007D39A2"/>
    <w:rsid w:val="007D39AC"/>
    <w:rsid w:val="007D39D7"/>
    <w:rsid w:val="007D3A84"/>
    <w:rsid w:val="007D4383"/>
    <w:rsid w:val="007D4EA2"/>
    <w:rsid w:val="007D4FF2"/>
    <w:rsid w:val="007D512C"/>
    <w:rsid w:val="007D526F"/>
    <w:rsid w:val="007D588A"/>
    <w:rsid w:val="007D6310"/>
    <w:rsid w:val="007D647B"/>
    <w:rsid w:val="007D654A"/>
    <w:rsid w:val="007D673F"/>
    <w:rsid w:val="007D68F4"/>
    <w:rsid w:val="007D6916"/>
    <w:rsid w:val="007D692B"/>
    <w:rsid w:val="007D6C84"/>
    <w:rsid w:val="007D6CE5"/>
    <w:rsid w:val="007D6EF0"/>
    <w:rsid w:val="007D7042"/>
    <w:rsid w:val="007D7059"/>
    <w:rsid w:val="007D781D"/>
    <w:rsid w:val="007D794A"/>
    <w:rsid w:val="007D7B01"/>
    <w:rsid w:val="007D7E94"/>
    <w:rsid w:val="007D7FF3"/>
    <w:rsid w:val="007E0071"/>
    <w:rsid w:val="007E0162"/>
    <w:rsid w:val="007E02CC"/>
    <w:rsid w:val="007E07FD"/>
    <w:rsid w:val="007E08EA"/>
    <w:rsid w:val="007E0981"/>
    <w:rsid w:val="007E0986"/>
    <w:rsid w:val="007E0C8C"/>
    <w:rsid w:val="007E1261"/>
    <w:rsid w:val="007E1479"/>
    <w:rsid w:val="007E148E"/>
    <w:rsid w:val="007E152B"/>
    <w:rsid w:val="007E1A37"/>
    <w:rsid w:val="007E1A55"/>
    <w:rsid w:val="007E1CA0"/>
    <w:rsid w:val="007E1CB1"/>
    <w:rsid w:val="007E201B"/>
    <w:rsid w:val="007E2146"/>
    <w:rsid w:val="007E2B64"/>
    <w:rsid w:val="007E2B78"/>
    <w:rsid w:val="007E2E4B"/>
    <w:rsid w:val="007E2EF8"/>
    <w:rsid w:val="007E46A3"/>
    <w:rsid w:val="007E478B"/>
    <w:rsid w:val="007E4854"/>
    <w:rsid w:val="007E486F"/>
    <w:rsid w:val="007E48CD"/>
    <w:rsid w:val="007E48E4"/>
    <w:rsid w:val="007E4C1C"/>
    <w:rsid w:val="007E4CBD"/>
    <w:rsid w:val="007E4F0D"/>
    <w:rsid w:val="007E5160"/>
    <w:rsid w:val="007E531F"/>
    <w:rsid w:val="007E5636"/>
    <w:rsid w:val="007E58E9"/>
    <w:rsid w:val="007E5A14"/>
    <w:rsid w:val="007E5FFD"/>
    <w:rsid w:val="007E62C6"/>
    <w:rsid w:val="007E6735"/>
    <w:rsid w:val="007E67F4"/>
    <w:rsid w:val="007E6936"/>
    <w:rsid w:val="007E6B86"/>
    <w:rsid w:val="007E6EF1"/>
    <w:rsid w:val="007E7B2B"/>
    <w:rsid w:val="007E7CBA"/>
    <w:rsid w:val="007F0076"/>
    <w:rsid w:val="007F02A8"/>
    <w:rsid w:val="007F03AA"/>
    <w:rsid w:val="007F05E0"/>
    <w:rsid w:val="007F0B77"/>
    <w:rsid w:val="007F0DD3"/>
    <w:rsid w:val="007F1436"/>
    <w:rsid w:val="007F18C0"/>
    <w:rsid w:val="007F1A4C"/>
    <w:rsid w:val="007F22A5"/>
    <w:rsid w:val="007F2771"/>
    <w:rsid w:val="007F279B"/>
    <w:rsid w:val="007F2807"/>
    <w:rsid w:val="007F2DBB"/>
    <w:rsid w:val="007F2ED4"/>
    <w:rsid w:val="007F325B"/>
    <w:rsid w:val="007F379F"/>
    <w:rsid w:val="007F3F4B"/>
    <w:rsid w:val="007F3FB0"/>
    <w:rsid w:val="007F43A9"/>
    <w:rsid w:val="007F4CEC"/>
    <w:rsid w:val="007F4E64"/>
    <w:rsid w:val="007F5608"/>
    <w:rsid w:val="007F5874"/>
    <w:rsid w:val="007F5D4A"/>
    <w:rsid w:val="007F6398"/>
    <w:rsid w:val="007F6562"/>
    <w:rsid w:val="007F65F2"/>
    <w:rsid w:val="007F6FFB"/>
    <w:rsid w:val="007F70D6"/>
    <w:rsid w:val="007F76C4"/>
    <w:rsid w:val="007F7864"/>
    <w:rsid w:val="007F795B"/>
    <w:rsid w:val="007F7B6D"/>
    <w:rsid w:val="007F7C2F"/>
    <w:rsid w:val="008000A5"/>
    <w:rsid w:val="00800104"/>
    <w:rsid w:val="00800184"/>
    <w:rsid w:val="00800994"/>
    <w:rsid w:val="00800D5F"/>
    <w:rsid w:val="00800FAF"/>
    <w:rsid w:val="00801185"/>
    <w:rsid w:val="008013B8"/>
    <w:rsid w:val="0080150F"/>
    <w:rsid w:val="0080179D"/>
    <w:rsid w:val="00801838"/>
    <w:rsid w:val="00801B56"/>
    <w:rsid w:val="00801D99"/>
    <w:rsid w:val="00801DCC"/>
    <w:rsid w:val="00801F82"/>
    <w:rsid w:val="00801FBC"/>
    <w:rsid w:val="00801FC8"/>
    <w:rsid w:val="008021CF"/>
    <w:rsid w:val="00802350"/>
    <w:rsid w:val="00802410"/>
    <w:rsid w:val="008028F4"/>
    <w:rsid w:val="00803A20"/>
    <w:rsid w:val="00803E2E"/>
    <w:rsid w:val="008041E1"/>
    <w:rsid w:val="00804437"/>
    <w:rsid w:val="00804867"/>
    <w:rsid w:val="00804B2F"/>
    <w:rsid w:val="00804C3F"/>
    <w:rsid w:val="00805227"/>
    <w:rsid w:val="00805365"/>
    <w:rsid w:val="00806979"/>
    <w:rsid w:val="0080699F"/>
    <w:rsid w:val="00806A88"/>
    <w:rsid w:val="00806ACA"/>
    <w:rsid w:val="00806D29"/>
    <w:rsid w:val="00807676"/>
    <w:rsid w:val="0080770D"/>
    <w:rsid w:val="00807D28"/>
    <w:rsid w:val="00807D5E"/>
    <w:rsid w:val="00807E1B"/>
    <w:rsid w:val="0081012C"/>
    <w:rsid w:val="00810234"/>
    <w:rsid w:val="008102E8"/>
    <w:rsid w:val="00810552"/>
    <w:rsid w:val="00810B1B"/>
    <w:rsid w:val="00810C3E"/>
    <w:rsid w:val="00810DC9"/>
    <w:rsid w:val="00810DE9"/>
    <w:rsid w:val="00810EAE"/>
    <w:rsid w:val="00811036"/>
    <w:rsid w:val="008110E0"/>
    <w:rsid w:val="008113D7"/>
    <w:rsid w:val="00811A91"/>
    <w:rsid w:val="00811E16"/>
    <w:rsid w:val="00811EF6"/>
    <w:rsid w:val="00811EFB"/>
    <w:rsid w:val="008123D5"/>
    <w:rsid w:val="0081242E"/>
    <w:rsid w:val="00812487"/>
    <w:rsid w:val="008124FE"/>
    <w:rsid w:val="00812506"/>
    <w:rsid w:val="008127B0"/>
    <w:rsid w:val="00813116"/>
    <w:rsid w:val="0081389D"/>
    <w:rsid w:val="008138CD"/>
    <w:rsid w:val="00813942"/>
    <w:rsid w:val="00813CE0"/>
    <w:rsid w:val="0081433F"/>
    <w:rsid w:val="008143A0"/>
    <w:rsid w:val="00814593"/>
    <w:rsid w:val="00814617"/>
    <w:rsid w:val="00814694"/>
    <w:rsid w:val="00814834"/>
    <w:rsid w:val="00814A14"/>
    <w:rsid w:val="00814B38"/>
    <w:rsid w:val="00814B65"/>
    <w:rsid w:val="00814C34"/>
    <w:rsid w:val="00814D2B"/>
    <w:rsid w:val="008154B6"/>
    <w:rsid w:val="008155E8"/>
    <w:rsid w:val="00815706"/>
    <w:rsid w:val="00815BBF"/>
    <w:rsid w:val="00815E33"/>
    <w:rsid w:val="00815E46"/>
    <w:rsid w:val="00815F85"/>
    <w:rsid w:val="00816654"/>
    <w:rsid w:val="00816A54"/>
    <w:rsid w:val="00816AA4"/>
    <w:rsid w:val="00816D94"/>
    <w:rsid w:val="00816E87"/>
    <w:rsid w:val="00816F5B"/>
    <w:rsid w:val="00817508"/>
    <w:rsid w:val="008176CB"/>
    <w:rsid w:val="0081787C"/>
    <w:rsid w:val="008178B3"/>
    <w:rsid w:val="008178CB"/>
    <w:rsid w:val="00817B8F"/>
    <w:rsid w:val="00817C0A"/>
    <w:rsid w:val="00817C50"/>
    <w:rsid w:val="00817C96"/>
    <w:rsid w:val="00817D2A"/>
    <w:rsid w:val="00817F27"/>
    <w:rsid w:val="00820C88"/>
    <w:rsid w:val="00820CBE"/>
    <w:rsid w:val="00820DF1"/>
    <w:rsid w:val="00820F31"/>
    <w:rsid w:val="0082172C"/>
    <w:rsid w:val="00821992"/>
    <w:rsid w:val="00821D8A"/>
    <w:rsid w:val="00821E9E"/>
    <w:rsid w:val="0082266A"/>
    <w:rsid w:val="00822A4A"/>
    <w:rsid w:val="00823335"/>
    <w:rsid w:val="0082344C"/>
    <w:rsid w:val="00823571"/>
    <w:rsid w:val="008237B2"/>
    <w:rsid w:val="00823F61"/>
    <w:rsid w:val="0082449E"/>
    <w:rsid w:val="008249FF"/>
    <w:rsid w:val="00824C16"/>
    <w:rsid w:val="008251EC"/>
    <w:rsid w:val="0082530C"/>
    <w:rsid w:val="0082540D"/>
    <w:rsid w:val="00825A10"/>
    <w:rsid w:val="00825DD4"/>
    <w:rsid w:val="00826204"/>
    <w:rsid w:val="008268E7"/>
    <w:rsid w:val="00826D90"/>
    <w:rsid w:val="00826D9C"/>
    <w:rsid w:val="00826DE8"/>
    <w:rsid w:val="00827015"/>
    <w:rsid w:val="00827105"/>
    <w:rsid w:val="00827109"/>
    <w:rsid w:val="00827648"/>
    <w:rsid w:val="00827A41"/>
    <w:rsid w:val="00827AF3"/>
    <w:rsid w:val="00827F55"/>
    <w:rsid w:val="008303FD"/>
    <w:rsid w:val="0083056F"/>
    <w:rsid w:val="008307F2"/>
    <w:rsid w:val="008309E1"/>
    <w:rsid w:val="00830F16"/>
    <w:rsid w:val="00831198"/>
    <w:rsid w:val="008312E2"/>
    <w:rsid w:val="008314BC"/>
    <w:rsid w:val="00832142"/>
    <w:rsid w:val="008323AC"/>
    <w:rsid w:val="00832609"/>
    <w:rsid w:val="00832BE0"/>
    <w:rsid w:val="00832C18"/>
    <w:rsid w:val="00832CAF"/>
    <w:rsid w:val="00832EC1"/>
    <w:rsid w:val="00832FA4"/>
    <w:rsid w:val="008330DB"/>
    <w:rsid w:val="008332BB"/>
    <w:rsid w:val="00833EF5"/>
    <w:rsid w:val="00833F06"/>
    <w:rsid w:val="008340A5"/>
    <w:rsid w:val="0083417A"/>
    <w:rsid w:val="00834512"/>
    <w:rsid w:val="00834746"/>
    <w:rsid w:val="008349C3"/>
    <w:rsid w:val="008349E7"/>
    <w:rsid w:val="0083516E"/>
    <w:rsid w:val="0083565D"/>
    <w:rsid w:val="0083582B"/>
    <w:rsid w:val="00835B0A"/>
    <w:rsid w:val="00835B82"/>
    <w:rsid w:val="00836133"/>
    <w:rsid w:val="00836548"/>
    <w:rsid w:val="0083657B"/>
    <w:rsid w:val="00836B5B"/>
    <w:rsid w:val="00836FC2"/>
    <w:rsid w:val="00837034"/>
    <w:rsid w:val="0083768C"/>
    <w:rsid w:val="00837974"/>
    <w:rsid w:val="00840077"/>
    <w:rsid w:val="008401C3"/>
    <w:rsid w:val="00840355"/>
    <w:rsid w:val="008403BA"/>
    <w:rsid w:val="008404D7"/>
    <w:rsid w:val="00840634"/>
    <w:rsid w:val="008407B1"/>
    <w:rsid w:val="00840A68"/>
    <w:rsid w:val="00840A83"/>
    <w:rsid w:val="00840D46"/>
    <w:rsid w:val="00840D5A"/>
    <w:rsid w:val="00841573"/>
    <w:rsid w:val="008416E7"/>
    <w:rsid w:val="008418F9"/>
    <w:rsid w:val="008419A1"/>
    <w:rsid w:val="00841A01"/>
    <w:rsid w:val="00841AA8"/>
    <w:rsid w:val="00841E55"/>
    <w:rsid w:val="00841EB3"/>
    <w:rsid w:val="00842061"/>
    <w:rsid w:val="00842B18"/>
    <w:rsid w:val="00842DB7"/>
    <w:rsid w:val="0084370B"/>
    <w:rsid w:val="0084387F"/>
    <w:rsid w:val="00843AFD"/>
    <w:rsid w:val="00843FEF"/>
    <w:rsid w:val="008444F8"/>
    <w:rsid w:val="0084464F"/>
    <w:rsid w:val="00844750"/>
    <w:rsid w:val="00845409"/>
    <w:rsid w:val="00845433"/>
    <w:rsid w:val="00845866"/>
    <w:rsid w:val="00845F51"/>
    <w:rsid w:val="00845F6D"/>
    <w:rsid w:val="00846106"/>
    <w:rsid w:val="008461FE"/>
    <w:rsid w:val="008462E7"/>
    <w:rsid w:val="00846368"/>
    <w:rsid w:val="008463A4"/>
    <w:rsid w:val="00846467"/>
    <w:rsid w:val="008464D7"/>
    <w:rsid w:val="008468AF"/>
    <w:rsid w:val="00846EED"/>
    <w:rsid w:val="00847291"/>
    <w:rsid w:val="00847721"/>
    <w:rsid w:val="00847991"/>
    <w:rsid w:val="00847BA6"/>
    <w:rsid w:val="00847C4E"/>
    <w:rsid w:val="00847F04"/>
    <w:rsid w:val="00850752"/>
    <w:rsid w:val="0085130C"/>
    <w:rsid w:val="00851B22"/>
    <w:rsid w:val="00852154"/>
    <w:rsid w:val="008521C5"/>
    <w:rsid w:val="00852338"/>
    <w:rsid w:val="0085241D"/>
    <w:rsid w:val="00852F3B"/>
    <w:rsid w:val="00853132"/>
    <w:rsid w:val="0085379A"/>
    <w:rsid w:val="00853A5B"/>
    <w:rsid w:val="00853B2A"/>
    <w:rsid w:val="00853B65"/>
    <w:rsid w:val="00853C45"/>
    <w:rsid w:val="00853C94"/>
    <w:rsid w:val="00853D0C"/>
    <w:rsid w:val="00853F11"/>
    <w:rsid w:val="00854090"/>
    <w:rsid w:val="008540E5"/>
    <w:rsid w:val="00854983"/>
    <w:rsid w:val="00854B60"/>
    <w:rsid w:val="00856301"/>
    <w:rsid w:val="00856562"/>
    <w:rsid w:val="008566E7"/>
    <w:rsid w:val="008569DF"/>
    <w:rsid w:val="00856A3A"/>
    <w:rsid w:val="00856E4A"/>
    <w:rsid w:val="00856FF3"/>
    <w:rsid w:val="0085722A"/>
    <w:rsid w:val="00857434"/>
    <w:rsid w:val="008577BE"/>
    <w:rsid w:val="00857AB4"/>
    <w:rsid w:val="00857C34"/>
    <w:rsid w:val="00857F66"/>
    <w:rsid w:val="00860315"/>
    <w:rsid w:val="0086037F"/>
    <w:rsid w:val="00861B41"/>
    <w:rsid w:val="00861D65"/>
    <w:rsid w:val="00861DA1"/>
    <w:rsid w:val="00861E84"/>
    <w:rsid w:val="008620C2"/>
    <w:rsid w:val="008620CF"/>
    <w:rsid w:val="00862173"/>
    <w:rsid w:val="00862290"/>
    <w:rsid w:val="008626B0"/>
    <w:rsid w:val="00862988"/>
    <w:rsid w:val="008632BC"/>
    <w:rsid w:val="00863479"/>
    <w:rsid w:val="00863AA0"/>
    <w:rsid w:val="00863C8A"/>
    <w:rsid w:val="00863FFC"/>
    <w:rsid w:val="00864243"/>
    <w:rsid w:val="008644F7"/>
    <w:rsid w:val="008648FC"/>
    <w:rsid w:val="00864A9F"/>
    <w:rsid w:val="008650AB"/>
    <w:rsid w:val="0086544E"/>
    <w:rsid w:val="00865696"/>
    <w:rsid w:val="00865D4C"/>
    <w:rsid w:val="00865DE1"/>
    <w:rsid w:val="008662E6"/>
    <w:rsid w:val="00866453"/>
    <w:rsid w:val="00866781"/>
    <w:rsid w:val="00867347"/>
    <w:rsid w:val="008674A2"/>
    <w:rsid w:val="0086777D"/>
    <w:rsid w:val="00867F66"/>
    <w:rsid w:val="00870018"/>
    <w:rsid w:val="00870094"/>
    <w:rsid w:val="00870793"/>
    <w:rsid w:val="00870A1C"/>
    <w:rsid w:val="00870E13"/>
    <w:rsid w:val="00871029"/>
    <w:rsid w:val="00871096"/>
    <w:rsid w:val="008710EF"/>
    <w:rsid w:val="00871171"/>
    <w:rsid w:val="008712B8"/>
    <w:rsid w:val="008713C8"/>
    <w:rsid w:val="0087182F"/>
    <w:rsid w:val="0087184A"/>
    <w:rsid w:val="00871B2F"/>
    <w:rsid w:val="00871C11"/>
    <w:rsid w:val="00871CDF"/>
    <w:rsid w:val="00871D14"/>
    <w:rsid w:val="008721CB"/>
    <w:rsid w:val="0087229F"/>
    <w:rsid w:val="008722B0"/>
    <w:rsid w:val="0087250F"/>
    <w:rsid w:val="008726C4"/>
    <w:rsid w:val="008734E7"/>
    <w:rsid w:val="0087352A"/>
    <w:rsid w:val="00873AA8"/>
    <w:rsid w:val="00873BF0"/>
    <w:rsid w:val="0087462F"/>
    <w:rsid w:val="00874BB3"/>
    <w:rsid w:val="00874BD7"/>
    <w:rsid w:val="00874C39"/>
    <w:rsid w:val="00874D5F"/>
    <w:rsid w:val="00874E33"/>
    <w:rsid w:val="00874FAC"/>
    <w:rsid w:val="0087504C"/>
    <w:rsid w:val="00875758"/>
    <w:rsid w:val="0087578A"/>
    <w:rsid w:val="00875905"/>
    <w:rsid w:val="00875E7F"/>
    <w:rsid w:val="00875F79"/>
    <w:rsid w:val="00875FBD"/>
    <w:rsid w:val="00875FF5"/>
    <w:rsid w:val="00876586"/>
    <w:rsid w:val="00876AC7"/>
    <w:rsid w:val="0087721D"/>
    <w:rsid w:val="0087728E"/>
    <w:rsid w:val="0087746C"/>
    <w:rsid w:val="008777E9"/>
    <w:rsid w:val="00877891"/>
    <w:rsid w:val="00877A2B"/>
    <w:rsid w:val="00877C57"/>
    <w:rsid w:val="00877FA3"/>
    <w:rsid w:val="0088011E"/>
    <w:rsid w:val="00880494"/>
    <w:rsid w:val="008804C9"/>
    <w:rsid w:val="0088052B"/>
    <w:rsid w:val="00880B3D"/>
    <w:rsid w:val="00880D84"/>
    <w:rsid w:val="008810DF"/>
    <w:rsid w:val="008810FA"/>
    <w:rsid w:val="00881703"/>
    <w:rsid w:val="0088175D"/>
    <w:rsid w:val="00881842"/>
    <w:rsid w:val="00881F28"/>
    <w:rsid w:val="008825EE"/>
    <w:rsid w:val="0088261A"/>
    <w:rsid w:val="00882BB1"/>
    <w:rsid w:val="00883004"/>
    <w:rsid w:val="00883585"/>
    <w:rsid w:val="008839D0"/>
    <w:rsid w:val="00883D18"/>
    <w:rsid w:val="00883ED6"/>
    <w:rsid w:val="00883F8F"/>
    <w:rsid w:val="008841D5"/>
    <w:rsid w:val="00884255"/>
    <w:rsid w:val="0088425B"/>
    <w:rsid w:val="00885037"/>
    <w:rsid w:val="00885664"/>
    <w:rsid w:val="0088579F"/>
    <w:rsid w:val="0088599D"/>
    <w:rsid w:val="00885BB3"/>
    <w:rsid w:val="00885D5D"/>
    <w:rsid w:val="00885F0A"/>
    <w:rsid w:val="00885F46"/>
    <w:rsid w:val="00886116"/>
    <w:rsid w:val="0088651F"/>
    <w:rsid w:val="008867A8"/>
    <w:rsid w:val="00887184"/>
    <w:rsid w:val="008873A5"/>
    <w:rsid w:val="00887771"/>
    <w:rsid w:val="00887F2E"/>
    <w:rsid w:val="008901A9"/>
    <w:rsid w:val="0089035C"/>
    <w:rsid w:val="008907B2"/>
    <w:rsid w:val="00890B03"/>
    <w:rsid w:val="00890BCD"/>
    <w:rsid w:val="00890BE2"/>
    <w:rsid w:val="00890D15"/>
    <w:rsid w:val="00890EFE"/>
    <w:rsid w:val="00890F04"/>
    <w:rsid w:val="00890F2B"/>
    <w:rsid w:val="008911A2"/>
    <w:rsid w:val="0089129F"/>
    <w:rsid w:val="00891F63"/>
    <w:rsid w:val="008922DC"/>
    <w:rsid w:val="008922DF"/>
    <w:rsid w:val="00892357"/>
    <w:rsid w:val="00892379"/>
    <w:rsid w:val="00892494"/>
    <w:rsid w:val="00893024"/>
    <w:rsid w:val="00893B3B"/>
    <w:rsid w:val="00893E3B"/>
    <w:rsid w:val="00894148"/>
    <w:rsid w:val="00894304"/>
    <w:rsid w:val="0089430B"/>
    <w:rsid w:val="00894C16"/>
    <w:rsid w:val="00894C3B"/>
    <w:rsid w:val="00894D6C"/>
    <w:rsid w:val="00894FEF"/>
    <w:rsid w:val="00895243"/>
    <w:rsid w:val="008953B7"/>
    <w:rsid w:val="008953FF"/>
    <w:rsid w:val="00895A0C"/>
    <w:rsid w:val="0089622F"/>
    <w:rsid w:val="00896A6F"/>
    <w:rsid w:val="00896D10"/>
    <w:rsid w:val="00896DF5"/>
    <w:rsid w:val="00897680"/>
    <w:rsid w:val="00897868"/>
    <w:rsid w:val="0089794F"/>
    <w:rsid w:val="008A0173"/>
    <w:rsid w:val="008A0339"/>
    <w:rsid w:val="008A03A0"/>
    <w:rsid w:val="008A0473"/>
    <w:rsid w:val="008A04C7"/>
    <w:rsid w:val="008A0506"/>
    <w:rsid w:val="008A111D"/>
    <w:rsid w:val="008A1732"/>
    <w:rsid w:val="008A197B"/>
    <w:rsid w:val="008A1B4E"/>
    <w:rsid w:val="008A1C65"/>
    <w:rsid w:val="008A1C6C"/>
    <w:rsid w:val="008A1EA1"/>
    <w:rsid w:val="008A2023"/>
    <w:rsid w:val="008A21DE"/>
    <w:rsid w:val="008A24BD"/>
    <w:rsid w:val="008A29E2"/>
    <w:rsid w:val="008A2AAE"/>
    <w:rsid w:val="008A2AD3"/>
    <w:rsid w:val="008A2F26"/>
    <w:rsid w:val="008A2F9B"/>
    <w:rsid w:val="008A36DE"/>
    <w:rsid w:val="008A36ED"/>
    <w:rsid w:val="008A3786"/>
    <w:rsid w:val="008A3898"/>
    <w:rsid w:val="008A3F07"/>
    <w:rsid w:val="008A42D8"/>
    <w:rsid w:val="008A457F"/>
    <w:rsid w:val="008A478E"/>
    <w:rsid w:val="008A53C3"/>
    <w:rsid w:val="008A5405"/>
    <w:rsid w:val="008A59E9"/>
    <w:rsid w:val="008A5BFE"/>
    <w:rsid w:val="008A61F4"/>
    <w:rsid w:val="008A631F"/>
    <w:rsid w:val="008A668F"/>
    <w:rsid w:val="008A7052"/>
    <w:rsid w:val="008A725C"/>
    <w:rsid w:val="008A72A4"/>
    <w:rsid w:val="008A74E8"/>
    <w:rsid w:val="008A758D"/>
    <w:rsid w:val="008A75C5"/>
    <w:rsid w:val="008A7630"/>
    <w:rsid w:val="008A7669"/>
    <w:rsid w:val="008A7819"/>
    <w:rsid w:val="008A78BC"/>
    <w:rsid w:val="008A7BEA"/>
    <w:rsid w:val="008A7C09"/>
    <w:rsid w:val="008A7F80"/>
    <w:rsid w:val="008B01A2"/>
    <w:rsid w:val="008B097E"/>
    <w:rsid w:val="008B0C49"/>
    <w:rsid w:val="008B0CD0"/>
    <w:rsid w:val="008B0FE8"/>
    <w:rsid w:val="008B1245"/>
    <w:rsid w:val="008B130E"/>
    <w:rsid w:val="008B1651"/>
    <w:rsid w:val="008B175A"/>
    <w:rsid w:val="008B1C8C"/>
    <w:rsid w:val="008B1E55"/>
    <w:rsid w:val="008B1EFF"/>
    <w:rsid w:val="008B1F30"/>
    <w:rsid w:val="008B20B6"/>
    <w:rsid w:val="008B20E5"/>
    <w:rsid w:val="008B21F5"/>
    <w:rsid w:val="008B269F"/>
    <w:rsid w:val="008B2A2E"/>
    <w:rsid w:val="008B2D1D"/>
    <w:rsid w:val="008B2DEB"/>
    <w:rsid w:val="008B35ED"/>
    <w:rsid w:val="008B363C"/>
    <w:rsid w:val="008B41EF"/>
    <w:rsid w:val="008B4230"/>
    <w:rsid w:val="008B447F"/>
    <w:rsid w:val="008B4804"/>
    <w:rsid w:val="008B480C"/>
    <w:rsid w:val="008B4B0D"/>
    <w:rsid w:val="008B4B33"/>
    <w:rsid w:val="008B4ECD"/>
    <w:rsid w:val="008B50A1"/>
    <w:rsid w:val="008B5577"/>
    <w:rsid w:val="008B60E9"/>
    <w:rsid w:val="008B60ED"/>
    <w:rsid w:val="008B614C"/>
    <w:rsid w:val="008B6807"/>
    <w:rsid w:val="008B6E5C"/>
    <w:rsid w:val="008B739E"/>
    <w:rsid w:val="008B766A"/>
    <w:rsid w:val="008B7A0E"/>
    <w:rsid w:val="008B7A37"/>
    <w:rsid w:val="008B7BD4"/>
    <w:rsid w:val="008B7E5B"/>
    <w:rsid w:val="008C022D"/>
    <w:rsid w:val="008C0431"/>
    <w:rsid w:val="008C0610"/>
    <w:rsid w:val="008C15B6"/>
    <w:rsid w:val="008C1ABE"/>
    <w:rsid w:val="008C1F55"/>
    <w:rsid w:val="008C2426"/>
    <w:rsid w:val="008C2453"/>
    <w:rsid w:val="008C265E"/>
    <w:rsid w:val="008C26B4"/>
    <w:rsid w:val="008C28BA"/>
    <w:rsid w:val="008C3240"/>
    <w:rsid w:val="008C4188"/>
    <w:rsid w:val="008C46C2"/>
    <w:rsid w:val="008C49D5"/>
    <w:rsid w:val="008C4B47"/>
    <w:rsid w:val="008C4F07"/>
    <w:rsid w:val="008C59D5"/>
    <w:rsid w:val="008C5B10"/>
    <w:rsid w:val="008C5C1A"/>
    <w:rsid w:val="008C6276"/>
    <w:rsid w:val="008C6337"/>
    <w:rsid w:val="008C6345"/>
    <w:rsid w:val="008C6C7A"/>
    <w:rsid w:val="008C6E82"/>
    <w:rsid w:val="008C6F4F"/>
    <w:rsid w:val="008C738F"/>
    <w:rsid w:val="008C74CC"/>
    <w:rsid w:val="008C74F9"/>
    <w:rsid w:val="008C775C"/>
    <w:rsid w:val="008C7791"/>
    <w:rsid w:val="008C7C58"/>
    <w:rsid w:val="008C7D37"/>
    <w:rsid w:val="008C7E30"/>
    <w:rsid w:val="008C7F77"/>
    <w:rsid w:val="008D0083"/>
    <w:rsid w:val="008D02CB"/>
    <w:rsid w:val="008D0459"/>
    <w:rsid w:val="008D05D2"/>
    <w:rsid w:val="008D0ECB"/>
    <w:rsid w:val="008D13DC"/>
    <w:rsid w:val="008D149D"/>
    <w:rsid w:val="008D1D2C"/>
    <w:rsid w:val="008D1E23"/>
    <w:rsid w:val="008D2039"/>
    <w:rsid w:val="008D2461"/>
    <w:rsid w:val="008D2D60"/>
    <w:rsid w:val="008D3208"/>
    <w:rsid w:val="008D382D"/>
    <w:rsid w:val="008D3A72"/>
    <w:rsid w:val="008D3E0C"/>
    <w:rsid w:val="008D3F21"/>
    <w:rsid w:val="008D40FF"/>
    <w:rsid w:val="008D4277"/>
    <w:rsid w:val="008D453F"/>
    <w:rsid w:val="008D508F"/>
    <w:rsid w:val="008D538D"/>
    <w:rsid w:val="008D592F"/>
    <w:rsid w:val="008D59D0"/>
    <w:rsid w:val="008D5B32"/>
    <w:rsid w:val="008D5F2E"/>
    <w:rsid w:val="008D5FCD"/>
    <w:rsid w:val="008D6733"/>
    <w:rsid w:val="008D6D0E"/>
    <w:rsid w:val="008D6F90"/>
    <w:rsid w:val="008D722D"/>
    <w:rsid w:val="008D72A4"/>
    <w:rsid w:val="008D72D8"/>
    <w:rsid w:val="008D7378"/>
    <w:rsid w:val="008D7554"/>
    <w:rsid w:val="008D7615"/>
    <w:rsid w:val="008D76A0"/>
    <w:rsid w:val="008D78C3"/>
    <w:rsid w:val="008D7A41"/>
    <w:rsid w:val="008D7ACD"/>
    <w:rsid w:val="008D7DDC"/>
    <w:rsid w:val="008D7DEB"/>
    <w:rsid w:val="008E037E"/>
    <w:rsid w:val="008E03BA"/>
    <w:rsid w:val="008E04B5"/>
    <w:rsid w:val="008E0610"/>
    <w:rsid w:val="008E0804"/>
    <w:rsid w:val="008E0CDD"/>
    <w:rsid w:val="008E0E89"/>
    <w:rsid w:val="008E0E8C"/>
    <w:rsid w:val="008E0F24"/>
    <w:rsid w:val="008E1217"/>
    <w:rsid w:val="008E174C"/>
    <w:rsid w:val="008E1CFE"/>
    <w:rsid w:val="008E1FDF"/>
    <w:rsid w:val="008E2051"/>
    <w:rsid w:val="008E20EC"/>
    <w:rsid w:val="008E2562"/>
    <w:rsid w:val="008E256F"/>
    <w:rsid w:val="008E290D"/>
    <w:rsid w:val="008E2B47"/>
    <w:rsid w:val="008E2C59"/>
    <w:rsid w:val="008E2D90"/>
    <w:rsid w:val="008E2FFE"/>
    <w:rsid w:val="008E329C"/>
    <w:rsid w:val="008E339D"/>
    <w:rsid w:val="008E35C0"/>
    <w:rsid w:val="008E3737"/>
    <w:rsid w:val="008E378A"/>
    <w:rsid w:val="008E388C"/>
    <w:rsid w:val="008E3F52"/>
    <w:rsid w:val="008E412D"/>
    <w:rsid w:val="008E427C"/>
    <w:rsid w:val="008E4310"/>
    <w:rsid w:val="008E451A"/>
    <w:rsid w:val="008E4820"/>
    <w:rsid w:val="008E494E"/>
    <w:rsid w:val="008E4979"/>
    <w:rsid w:val="008E49C6"/>
    <w:rsid w:val="008E4E26"/>
    <w:rsid w:val="008E5525"/>
    <w:rsid w:val="008E5B5F"/>
    <w:rsid w:val="008E5D5A"/>
    <w:rsid w:val="008E6012"/>
    <w:rsid w:val="008E606F"/>
    <w:rsid w:val="008E60B3"/>
    <w:rsid w:val="008E6333"/>
    <w:rsid w:val="008E6658"/>
    <w:rsid w:val="008E6788"/>
    <w:rsid w:val="008E6C71"/>
    <w:rsid w:val="008E6F34"/>
    <w:rsid w:val="008E70B2"/>
    <w:rsid w:val="008E7136"/>
    <w:rsid w:val="008E7DB3"/>
    <w:rsid w:val="008E7E01"/>
    <w:rsid w:val="008E7E0A"/>
    <w:rsid w:val="008F01AB"/>
    <w:rsid w:val="008F0460"/>
    <w:rsid w:val="008F0D27"/>
    <w:rsid w:val="008F0D5C"/>
    <w:rsid w:val="008F0F7D"/>
    <w:rsid w:val="008F1C32"/>
    <w:rsid w:val="008F1CF8"/>
    <w:rsid w:val="008F2201"/>
    <w:rsid w:val="008F2595"/>
    <w:rsid w:val="008F2B4B"/>
    <w:rsid w:val="008F357B"/>
    <w:rsid w:val="008F3937"/>
    <w:rsid w:val="008F3A67"/>
    <w:rsid w:val="008F3BCE"/>
    <w:rsid w:val="008F3D2D"/>
    <w:rsid w:val="008F3D7C"/>
    <w:rsid w:val="008F3DC9"/>
    <w:rsid w:val="008F4107"/>
    <w:rsid w:val="008F45C1"/>
    <w:rsid w:val="008F4667"/>
    <w:rsid w:val="008F473A"/>
    <w:rsid w:val="008F4BFE"/>
    <w:rsid w:val="008F4D3D"/>
    <w:rsid w:val="008F4E3F"/>
    <w:rsid w:val="008F5184"/>
    <w:rsid w:val="008F58C6"/>
    <w:rsid w:val="008F595E"/>
    <w:rsid w:val="008F6150"/>
    <w:rsid w:val="008F6188"/>
    <w:rsid w:val="008F6649"/>
    <w:rsid w:val="008F6CD1"/>
    <w:rsid w:val="008F6D5B"/>
    <w:rsid w:val="008F6EB8"/>
    <w:rsid w:val="008F6F2B"/>
    <w:rsid w:val="008F7069"/>
    <w:rsid w:val="008F74EA"/>
    <w:rsid w:val="008F74ED"/>
    <w:rsid w:val="008F7BD6"/>
    <w:rsid w:val="008F7CEF"/>
    <w:rsid w:val="009000FD"/>
    <w:rsid w:val="009003D0"/>
    <w:rsid w:val="00900DDE"/>
    <w:rsid w:val="00900DF1"/>
    <w:rsid w:val="00901134"/>
    <w:rsid w:val="00901845"/>
    <w:rsid w:val="00901F96"/>
    <w:rsid w:val="00901F9A"/>
    <w:rsid w:val="009022BC"/>
    <w:rsid w:val="0090255A"/>
    <w:rsid w:val="0090272F"/>
    <w:rsid w:val="00902734"/>
    <w:rsid w:val="00902997"/>
    <w:rsid w:val="00902DFE"/>
    <w:rsid w:val="00902FA0"/>
    <w:rsid w:val="00903281"/>
    <w:rsid w:val="00903A10"/>
    <w:rsid w:val="00903C24"/>
    <w:rsid w:val="00903C5A"/>
    <w:rsid w:val="00903F59"/>
    <w:rsid w:val="0090411E"/>
    <w:rsid w:val="00904562"/>
    <w:rsid w:val="009045C7"/>
    <w:rsid w:val="0090480E"/>
    <w:rsid w:val="00904961"/>
    <w:rsid w:val="00904A52"/>
    <w:rsid w:val="00904A62"/>
    <w:rsid w:val="00904B6D"/>
    <w:rsid w:val="0090513A"/>
    <w:rsid w:val="009051C5"/>
    <w:rsid w:val="00905261"/>
    <w:rsid w:val="00905598"/>
    <w:rsid w:val="00905A06"/>
    <w:rsid w:val="00905D00"/>
    <w:rsid w:val="00906100"/>
    <w:rsid w:val="009061A5"/>
    <w:rsid w:val="009067B8"/>
    <w:rsid w:val="00906DA9"/>
    <w:rsid w:val="00906EED"/>
    <w:rsid w:val="00907071"/>
    <w:rsid w:val="00907135"/>
    <w:rsid w:val="0090715C"/>
    <w:rsid w:val="009108A7"/>
    <w:rsid w:val="00910D9E"/>
    <w:rsid w:val="00910ED6"/>
    <w:rsid w:val="00911E1A"/>
    <w:rsid w:val="009121EF"/>
    <w:rsid w:val="009123B9"/>
    <w:rsid w:val="00912531"/>
    <w:rsid w:val="009138F9"/>
    <w:rsid w:val="00913B37"/>
    <w:rsid w:val="00913F4C"/>
    <w:rsid w:val="00913F9C"/>
    <w:rsid w:val="0091404B"/>
    <w:rsid w:val="0091423A"/>
    <w:rsid w:val="00914A5D"/>
    <w:rsid w:val="00914F86"/>
    <w:rsid w:val="00914FBF"/>
    <w:rsid w:val="00915032"/>
    <w:rsid w:val="0091537E"/>
    <w:rsid w:val="009154BD"/>
    <w:rsid w:val="009154CF"/>
    <w:rsid w:val="00915AB4"/>
    <w:rsid w:val="00915F97"/>
    <w:rsid w:val="009160C9"/>
    <w:rsid w:val="0091610F"/>
    <w:rsid w:val="009161BA"/>
    <w:rsid w:val="00916611"/>
    <w:rsid w:val="00916827"/>
    <w:rsid w:val="00917B1B"/>
    <w:rsid w:val="009206BA"/>
    <w:rsid w:val="00920FE4"/>
    <w:rsid w:val="00921140"/>
    <w:rsid w:val="0092169A"/>
    <w:rsid w:val="009216BF"/>
    <w:rsid w:val="009218D2"/>
    <w:rsid w:val="009219A7"/>
    <w:rsid w:val="00921A74"/>
    <w:rsid w:val="00921C9F"/>
    <w:rsid w:val="00921ED5"/>
    <w:rsid w:val="00921FA1"/>
    <w:rsid w:val="009225B6"/>
    <w:rsid w:val="0092286C"/>
    <w:rsid w:val="00922C09"/>
    <w:rsid w:val="00922C34"/>
    <w:rsid w:val="00922E70"/>
    <w:rsid w:val="00923151"/>
    <w:rsid w:val="00923560"/>
    <w:rsid w:val="00923ABA"/>
    <w:rsid w:val="00923EB5"/>
    <w:rsid w:val="00923F1B"/>
    <w:rsid w:val="00924108"/>
    <w:rsid w:val="0092423D"/>
    <w:rsid w:val="0092434B"/>
    <w:rsid w:val="009243A8"/>
    <w:rsid w:val="009247D8"/>
    <w:rsid w:val="00924F5D"/>
    <w:rsid w:val="0092507E"/>
    <w:rsid w:val="009250BC"/>
    <w:rsid w:val="0092550A"/>
    <w:rsid w:val="00925836"/>
    <w:rsid w:val="00925B23"/>
    <w:rsid w:val="00925DD1"/>
    <w:rsid w:val="009260EC"/>
    <w:rsid w:val="00926264"/>
    <w:rsid w:val="00926269"/>
    <w:rsid w:val="00926595"/>
    <w:rsid w:val="00926944"/>
    <w:rsid w:val="0092698B"/>
    <w:rsid w:val="009269EB"/>
    <w:rsid w:val="00926F6B"/>
    <w:rsid w:val="00927211"/>
    <w:rsid w:val="00927752"/>
    <w:rsid w:val="0092779E"/>
    <w:rsid w:val="00927F04"/>
    <w:rsid w:val="00930305"/>
    <w:rsid w:val="0093047C"/>
    <w:rsid w:val="0093063D"/>
    <w:rsid w:val="00930704"/>
    <w:rsid w:val="00930A17"/>
    <w:rsid w:val="00931196"/>
    <w:rsid w:val="0093135E"/>
    <w:rsid w:val="0093161F"/>
    <w:rsid w:val="0093195D"/>
    <w:rsid w:val="00932109"/>
    <w:rsid w:val="009322AC"/>
    <w:rsid w:val="009324B1"/>
    <w:rsid w:val="009327B5"/>
    <w:rsid w:val="0093285B"/>
    <w:rsid w:val="00932907"/>
    <w:rsid w:val="00932A16"/>
    <w:rsid w:val="00932A20"/>
    <w:rsid w:val="00932AE5"/>
    <w:rsid w:val="00932C32"/>
    <w:rsid w:val="00932E4B"/>
    <w:rsid w:val="0093311E"/>
    <w:rsid w:val="009332CF"/>
    <w:rsid w:val="00933C2F"/>
    <w:rsid w:val="00933D61"/>
    <w:rsid w:val="00933DE4"/>
    <w:rsid w:val="009343DA"/>
    <w:rsid w:val="0093457F"/>
    <w:rsid w:val="00934996"/>
    <w:rsid w:val="00934A98"/>
    <w:rsid w:val="00934F8E"/>
    <w:rsid w:val="00934FF1"/>
    <w:rsid w:val="0093508B"/>
    <w:rsid w:val="009355F0"/>
    <w:rsid w:val="00935790"/>
    <w:rsid w:val="009358ED"/>
    <w:rsid w:val="009359BA"/>
    <w:rsid w:val="009359D2"/>
    <w:rsid w:val="00935B52"/>
    <w:rsid w:val="00935BD1"/>
    <w:rsid w:val="0093676F"/>
    <w:rsid w:val="00936951"/>
    <w:rsid w:val="00936A90"/>
    <w:rsid w:val="00936AB3"/>
    <w:rsid w:val="00936B53"/>
    <w:rsid w:val="009370A6"/>
    <w:rsid w:val="0093798A"/>
    <w:rsid w:val="00937AC7"/>
    <w:rsid w:val="00937D15"/>
    <w:rsid w:val="00937FB5"/>
    <w:rsid w:val="0094003E"/>
    <w:rsid w:val="00940472"/>
    <w:rsid w:val="009406F4"/>
    <w:rsid w:val="00940920"/>
    <w:rsid w:val="00940A5D"/>
    <w:rsid w:val="00940BCB"/>
    <w:rsid w:val="00940D85"/>
    <w:rsid w:val="00940D96"/>
    <w:rsid w:val="00940DF4"/>
    <w:rsid w:val="00940F0D"/>
    <w:rsid w:val="00940FB5"/>
    <w:rsid w:val="00940FFF"/>
    <w:rsid w:val="009413A5"/>
    <w:rsid w:val="0094148B"/>
    <w:rsid w:val="009415DC"/>
    <w:rsid w:val="00941A1C"/>
    <w:rsid w:val="00941B97"/>
    <w:rsid w:val="00941CFB"/>
    <w:rsid w:val="009429BB"/>
    <w:rsid w:val="00942A63"/>
    <w:rsid w:val="00942BB8"/>
    <w:rsid w:val="00943128"/>
    <w:rsid w:val="0094335F"/>
    <w:rsid w:val="00943629"/>
    <w:rsid w:val="0094375B"/>
    <w:rsid w:val="00943D09"/>
    <w:rsid w:val="009440F3"/>
    <w:rsid w:val="00944202"/>
    <w:rsid w:val="00944224"/>
    <w:rsid w:val="00944335"/>
    <w:rsid w:val="00944710"/>
    <w:rsid w:val="0094480B"/>
    <w:rsid w:val="00944A7C"/>
    <w:rsid w:val="00944AF4"/>
    <w:rsid w:val="00944C77"/>
    <w:rsid w:val="00944D54"/>
    <w:rsid w:val="00945493"/>
    <w:rsid w:val="0094564D"/>
    <w:rsid w:val="00945E49"/>
    <w:rsid w:val="009460A4"/>
    <w:rsid w:val="009462D8"/>
    <w:rsid w:val="00946388"/>
    <w:rsid w:val="00946860"/>
    <w:rsid w:val="00946F59"/>
    <w:rsid w:val="00947415"/>
    <w:rsid w:val="00947C6E"/>
    <w:rsid w:val="009500B6"/>
    <w:rsid w:val="00950917"/>
    <w:rsid w:val="009509D7"/>
    <w:rsid w:val="00950B09"/>
    <w:rsid w:val="00950DD1"/>
    <w:rsid w:val="00951417"/>
    <w:rsid w:val="0095154C"/>
    <w:rsid w:val="009517A9"/>
    <w:rsid w:val="009518BD"/>
    <w:rsid w:val="00951995"/>
    <w:rsid w:val="00951C7E"/>
    <w:rsid w:val="00951CF6"/>
    <w:rsid w:val="00951F82"/>
    <w:rsid w:val="0095225E"/>
    <w:rsid w:val="00952824"/>
    <w:rsid w:val="00952ACA"/>
    <w:rsid w:val="00952D41"/>
    <w:rsid w:val="00952E47"/>
    <w:rsid w:val="00952F19"/>
    <w:rsid w:val="009537A7"/>
    <w:rsid w:val="00953B1F"/>
    <w:rsid w:val="009542C9"/>
    <w:rsid w:val="00954332"/>
    <w:rsid w:val="0095466F"/>
    <w:rsid w:val="009548C3"/>
    <w:rsid w:val="00954E15"/>
    <w:rsid w:val="0095506D"/>
    <w:rsid w:val="009555E2"/>
    <w:rsid w:val="0095570A"/>
    <w:rsid w:val="009557DF"/>
    <w:rsid w:val="00955A2E"/>
    <w:rsid w:val="00956101"/>
    <w:rsid w:val="0095629D"/>
    <w:rsid w:val="00956305"/>
    <w:rsid w:val="009563E4"/>
    <w:rsid w:val="00956534"/>
    <w:rsid w:val="0095660B"/>
    <w:rsid w:val="00956769"/>
    <w:rsid w:val="009567D1"/>
    <w:rsid w:val="00956B4A"/>
    <w:rsid w:val="00957060"/>
    <w:rsid w:val="009572DC"/>
    <w:rsid w:val="00957487"/>
    <w:rsid w:val="00957656"/>
    <w:rsid w:val="00957D9C"/>
    <w:rsid w:val="00957E3F"/>
    <w:rsid w:val="00957FE7"/>
    <w:rsid w:val="009603AB"/>
    <w:rsid w:val="009607AF"/>
    <w:rsid w:val="00960A88"/>
    <w:rsid w:val="00960B54"/>
    <w:rsid w:val="00960C68"/>
    <w:rsid w:val="00960CB6"/>
    <w:rsid w:val="00960D27"/>
    <w:rsid w:val="00961023"/>
    <w:rsid w:val="009612F1"/>
    <w:rsid w:val="009613DF"/>
    <w:rsid w:val="009616FA"/>
    <w:rsid w:val="00961BAB"/>
    <w:rsid w:val="00961E6D"/>
    <w:rsid w:val="00961F21"/>
    <w:rsid w:val="009621FF"/>
    <w:rsid w:val="0096292B"/>
    <w:rsid w:val="0096336E"/>
    <w:rsid w:val="00963519"/>
    <w:rsid w:val="0096372E"/>
    <w:rsid w:val="0096375C"/>
    <w:rsid w:val="0096392B"/>
    <w:rsid w:val="0096397B"/>
    <w:rsid w:val="00963985"/>
    <w:rsid w:val="009640C7"/>
    <w:rsid w:val="00964E3C"/>
    <w:rsid w:val="00964E69"/>
    <w:rsid w:val="0096504D"/>
    <w:rsid w:val="0096527C"/>
    <w:rsid w:val="009654F0"/>
    <w:rsid w:val="00965753"/>
    <w:rsid w:val="00965915"/>
    <w:rsid w:val="009659EA"/>
    <w:rsid w:val="0096606A"/>
    <w:rsid w:val="0096691D"/>
    <w:rsid w:val="00966EC4"/>
    <w:rsid w:val="0096766C"/>
    <w:rsid w:val="00967851"/>
    <w:rsid w:val="0096791C"/>
    <w:rsid w:val="00967AE4"/>
    <w:rsid w:val="00967CF3"/>
    <w:rsid w:val="00967D2D"/>
    <w:rsid w:val="0097041D"/>
    <w:rsid w:val="00970949"/>
    <w:rsid w:val="009709A8"/>
    <w:rsid w:val="00970A5B"/>
    <w:rsid w:val="00970F7A"/>
    <w:rsid w:val="00970FE3"/>
    <w:rsid w:val="00971190"/>
    <w:rsid w:val="00971EC5"/>
    <w:rsid w:val="00971F6B"/>
    <w:rsid w:val="00971FCC"/>
    <w:rsid w:val="0097298A"/>
    <w:rsid w:val="00972A0B"/>
    <w:rsid w:val="00972A81"/>
    <w:rsid w:val="00972BB7"/>
    <w:rsid w:val="00972C06"/>
    <w:rsid w:val="00972C29"/>
    <w:rsid w:val="00972F4C"/>
    <w:rsid w:val="00972FEB"/>
    <w:rsid w:val="0097302F"/>
    <w:rsid w:val="0097304E"/>
    <w:rsid w:val="00973257"/>
    <w:rsid w:val="0097383E"/>
    <w:rsid w:val="009738E5"/>
    <w:rsid w:val="0097396E"/>
    <w:rsid w:val="009739F8"/>
    <w:rsid w:val="00973B47"/>
    <w:rsid w:val="00973F29"/>
    <w:rsid w:val="00974182"/>
    <w:rsid w:val="009744FF"/>
    <w:rsid w:val="00974520"/>
    <w:rsid w:val="00974EBD"/>
    <w:rsid w:val="009750F1"/>
    <w:rsid w:val="009751BA"/>
    <w:rsid w:val="00975859"/>
    <w:rsid w:val="009760EC"/>
    <w:rsid w:val="009764E3"/>
    <w:rsid w:val="009768E0"/>
    <w:rsid w:val="00976DD5"/>
    <w:rsid w:val="009771C4"/>
    <w:rsid w:val="0097740B"/>
    <w:rsid w:val="009775C2"/>
    <w:rsid w:val="0097762F"/>
    <w:rsid w:val="00977852"/>
    <w:rsid w:val="009778AB"/>
    <w:rsid w:val="00980063"/>
    <w:rsid w:val="00980403"/>
    <w:rsid w:val="009804CB"/>
    <w:rsid w:val="009807C4"/>
    <w:rsid w:val="009809DD"/>
    <w:rsid w:val="00980F14"/>
    <w:rsid w:val="0098154F"/>
    <w:rsid w:val="0098172B"/>
    <w:rsid w:val="009817F9"/>
    <w:rsid w:val="0098183B"/>
    <w:rsid w:val="00981D4B"/>
    <w:rsid w:val="00981E1A"/>
    <w:rsid w:val="009822AF"/>
    <w:rsid w:val="009823A3"/>
    <w:rsid w:val="00982AB4"/>
    <w:rsid w:val="00982B3A"/>
    <w:rsid w:val="00982E67"/>
    <w:rsid w:val="00983061"/>
    <w:rsid w:val="00983223"/>
    <w:rsid w:val="009838CE"/>
    <w:rsid w:val="00983C41"/>
    <w:rsid w:val="00983D59"/>
    <w:rsid w:val="00984206"/>
    <w:rsid w:val="00984449"/>
    <w:rsid w:val="0098511E"/>
    <w:rsid w:val="009852B3"/>
    <w:rsid w:val="0098541D"/>
    <w:rsid w:val="00985426"/>
    <w:rsid w:val="0098567C"/>
    <w:rsid w:val="00985CA4"/>
    <w:rsid w:val="00986757"/>
    <w:rsid w:val="00986956"/>
    <w:rsid w:val="00986999"/>
    <w:rsid w:val="00986E38"/>
    <w:rsid w:val="009874BE"/>
    <w:rsid w:val="009876A0"/>
    <w:rsid w:val="00987813"/>
    <w:rsid w:val="009879B5"/>
    <w:rsid w:val="009879F4"/>
    <w:rsid w:val="00990A3A"/>
    <w:rsid w:val="009917F3"/>
    <w:rsid w:val="00991DFC"/>
    <w:rsid w:val="00991F39"/>
    <w:rsid w:val="009920B2"/>
    <w:rsid w:val="00992624"/>
    <w:rsid w:val="009927C4"/>
    <w:rsid w:val="009928BC"/>
    <w:rsid w:val="00992AF4"/>
    <w:rsid w:val="00992D04"/>
    <w:rsid w:val="009930C0"/>
    <w:rsid w:val="0099324C"/>
    <w:rsid w:val="0099344C"/>
    <w:rsid w:val="00993627"/>
    <w:rsid w:val="00993658"/>
    <w:rsid w:val="0099367D"/>
    <w:rsid w:val="009936F0"/>
    <w:rsid w:val="009938F2"/>
    <w:rsid w:val="00993DA5"/>
    <w:rsid w:val="0099507E"/>
    <w:rsid w:val="00995360"/>
    <w:rsid w:val="009954AD"/>
    <w:rsid w:val="0099551F"/>
    <w:rsid w:val="00995581"/>
    <w:rsid w:val="00995658"/>
    <w:rsid w:val="00995966"/>
    <w:rsid w:val="00995B64"/>
    <w:rsid w:val="00995CC7"/>
    <w:rsid w:val="00995D7A"/>
    <w:rsid w:val="00996546"/>
    <w:rsid w:val="00996A8B"/>
    <w:rsid w:val="00996CD1"/>
    <w:rsid w:val="00996CD4"/>
    <w:rsid w:val="00996D2C"/>
    <w:rsid w:val="0099713E"/>
    <w:rsid w:val="009972F5"/>
    <w:rsid w:val="0099731A"/>
    <w:rsid w:val="009977D9"/>
    <w:rsid w:val="009978EE"/>
    <w:rsid w:val="009979D6"/>
    <w:rsid w:val="00997CA3"/>
    <w:rsid w:val="00997D0A"/>
    <w:rsid w:val="009A0212"/>
    <w:rsid w:val="009A031F"/>
    <w:rsid w:val="009A041C"/>
    <w:rsid w:val="009A12E2"/>
    <w:rsid w:val="009A144F"/>
    <w:rsid w:val="009A1963"/>
    <w:rsid w:val="009A1E77"/>
    <w:rsid w:val="009A1FBC"/>
    <w:rsid w:val="009A20C4"/>
    <w:rsid w:val="009A20F1"/>
    <w:rsid w:val="009A2180"/>
    <w:rsid w:val="009A2443"/>
    <w:rsid w:val="009A246A"/>
    <w:rsid w:val="009A2817"/>
    <w:rsid w:val="009A2E5D"/>
    <w:rsid w:val="009A3183"/>
    <w:rsid w:val="009A355A"/>
    <w:rsid w:val="009A3792"/>
    <w:rsid w:val="009A37AC"/>
    <w:rsid w:val="009A3AB5"/>
    <w:rsid w:val="009A4445"/>
    <w:rsid w:val="009A4518"/>
    <w:rsid w:val="009A47CB"/>
    <w:rsid w:val="009A4E19"/>
    <w:rsid w:val="009A4F30"/>
    <w:rsid w:val="009A514C"/>
    <w:rsid w:val="009A516A"/>
    <w:rsid w:val="009A528E"/>
    <w:rsid w:val="009A6127"/>
    <w:rsid w:val="009A637B"/>
    <w:rsid w:val="009A6456"/>
    <w:rsid w:val="009A6513"/>
    <w:rsid w:val="009A6960"/>
    <w:rsid w:val="009A6BAA"/>
    <w:rsid w:val="009A6C74"/>
    <w:rsid w:val="009A6D32"/>
    <w:rsid w:val="009A7154"/>
    <w:rsid w:val="009A78D1"/>
    <w:rsid w:val="009A7A99"/>
    <w:rsid w:val="009A7E57"/>
    <w:rsid w:val="009B003C"/>
    <w:rsid w:val="009B0097"/>
    <w:rsid w:val="009B10C5"/>
    <w:rsid w:val="009B25DC"/>
    <w:rsid w:val="009B3221"/>
    <w:rsid w:val="009B33F1"/>
    <w:rsid w:val="009B346F"/>
    <w:rsid w:val="009B3745"/>
    <w:rsid w:val="009B37CF"/>
    <w:rsid w:val="009B3C79"/>
    <w:rsid w:val="009B3DBB"/>
    <w:rsid w:val="009B4300"/>
    <w:rsid w:val="009B4821"/>
    <w:rsid w:val="009B492A"/>
    <w:rsid w:val="009B4BED"/>
    <w:rsid w:val="009B4C24"/>
    <w:rsid w:val="009B4DC3"/>
    <w:rsid w:val="009B549E"/>
    <w:rsid w:val="009B553F"/>
    <w:rsid w:val="009B5821"/>
    <w:rsid w:val="009B59B0"/>
    <w:rsid w:val="009B5E51"/>
    <w:rsid w:val="009B616B"/>
    <w:rsid w:val="009B62E0"/>
    <w:rsid w:val="009B65D8"/>
    <w:rsid w:val="009B68AD"/>
    <w:rsid w:val="009B6C13"/>
    <w:rsid w:val="009B6C79"/>
    <w:rsid w:val="009B76B9"/>
    <w:rsid w:val="009B76E1"/>
    <w:rsid w:val="009B7833"/>
    <w:rsid w:val="009B7BB7"/>
    <w:rsid w:val="009B7FFA"/>
    <w:rsid w:val="009C00EF"/>
    <w:rsid w:val="009C01D2"/>
    <w:rsid w:val="009C080A"/>
    <w:rsid w:val="009C0859"/>
    <w:rsid w:val="009C098E"/>
    <w:rsid w:val="009C0BC1"/>
    <w:rsid w:val="009C0D13"/>
    <w:rsid w:val="009C0D57"/>
    <w:rsid w:val="009C0DBE"/>
    <w:rsid w:val="009C0DD9"/>
    <w:rsid w:val="009C10DF"/>
    <w:rsid w:val="009C11FA"/>
    <w:rsid w:val="009C159E"/>
    <w:rsid w:val="009C163E"/>
    <w:rsid w:val="009C1A35"/>
    <w:rsid w:val="009C1AB7"/>
    <w:rsid w:val="009C1D4B"/>
    <w:rsid w:val="009C1E0C"/>
    <w:rsid w:val="009C281C"/>
    <w:rsid w:val="009C2D12"/>
    <w:rsid w:val="009C35E2"/>
    <w:rsid w:val="009C388E"/>
    <w:rsid w:val="009C3D88"/>
    <w:rsid w:val="009C40AD"/>
    <w:rsid w:val="009C45A3"/>
    <w:rsid w:val="009C4EF7"/>
    <w:rsid w:val="009C520B"/>
    <w:rsid w:val="009C52FB"/>
    <w:rsid w:val="009C5538"/>
    <w:rsid w:val="009C5785"/>
    <w:rsid w:val="009C5874"/>
    <w:rsid w:val="009C60D6"/>
    <w:rsid w:val="009C6768"/>
    <w:rsid w:val="009C681F"/>
    <w:rsid w:val="009C6894"/>
    <w:rsid w:val="009C6B3B"/>
    <w:rsid w:val="009C6B7B"/>
    <w:rsid w:val="009C6E93"/>
    <w:rsid w:val="009C7147"/>
    <w:rsid w:val="009C7893"/>
    <w:rsid w:val="009C7EB3"/>
    <w:rsid w:val="009C7F47"/>
    <w:rsid w:val="009C7FEB"/>
    <w:rsid w:val="009D00B2"/>
    <w:rsid w:val="009D0361"/>
    <w:rsid w:val="009D0720"/>
    <w:rsid w:val="009D079F"/>
    <w:rsid w:val="009D0897"/>
    <w:rsid w:val="009D09A8"/>
    <w:rsid w:val="009D10E9"/>
    <w:rsid w:val="009D12D2"/>
    <w:rsid w:val="009D2118"/>
    <w:rsid w:val="009D22EA"/>
    <w:rsid w:val="009D264B"/>
    <w:rsid w:val="009D28AF"/>
    <w:rsid w:val="009D2C43"/>
    <w:rsid w:val="009D327E"/>
    <w:rsid w:val="009D3814"/>
    <w:rsid w:val="009D3CC0"/>
    <w:rsid w:val="009D3CE2"/>
    <w:rsid w:val="009D3D45"/>
    <w:rsid w:val="009D422C"/>
    <w:rsid w:val="009D4303"/>
    <w:rsid w:val="009D478C"/>
    <w:rsid w:val="009D49A4"/>
    <w:rsid w:val="009D4A8E"/>
    <w:rsid w:val="009D4DA3"/>
    <w:rsid w:val="009D5D83"/>
    <w:rsid w:val="009D610C"/>
    <w:rsid w:val="009D62E7"/>
    <w:rsid w:val="009D6BC4"/>
    <w:rsid w:val="009D74BA"/>
    <w:rsid w:val="009D75A4"/>
    <w:rsid w:val="009D766D"/>
    <w:rsid w:val="009D7DD5"/>
    <w:rsid w:val="009E00D4"/>
    <w:rsid w:val="009E06AD"/>
    <w:rsid w:val="009E0962"/>
    <w:rsid w:val="009E0B51"/>
    <w:rsid w:val="009E0F08"/>
    <w:rsid w:val="009E11A9"/>
    <w:rsid w:val="009E1514"/>
    <w:rsid w:val="009E176B"/>
    <w:rsid w:val="009E1957"/>
    <w:rsid w:val="009E1C2B"/>
    <w:rsid w:val="009E1D4A"/>
    <w:rsid w:val="009E1E13"/>
    <w:rsid w:val="009E1F70"/>
    <w:rsid w:val="009E1FFC"/>
    <w:rsid w:val="009E2787"/>
    <w:rsid w:val="009E2F97"/>
    <w:rsid w:val="009E30C4"/>
    <w:rsid w:val="009E3235"/>
    <w:rsid w:val="009E3790"/>
    <w:rsid w:val="009E3A5F"/>
    <w:rsid w:val="009E457F"/>
    <w:rsid w:val="009E5039"/>
    <w:rsid w:val="009E532F"/>
    <w:rsid w:val="009E53AA"/>
    <w:rsid w:val="009E53D6"/>
    <w:rsid w:val="009E5656"/>
    <w:rsid w:val="009E5A66"/>
    <w:rsid w:val="009E5AB4"/>
    <w:rsid w:val="009E605E"/>
    <w:rsid w:val="009E641D"/>
    <w:rsid w:val="009E64BF"/>
    <w:rsid w:val="009E653E"/>
    <w:rsid w:val="009E69FB"/>
    <w:rsid w:val="009E6F6E"/>
    <w:rsid w:val="009E7246"/>
    <w:rsid w:val="009E7677"/>
    <w:rsid w:val="009E798E"/>
    <w:rsid w:val="009E7F72"/>
    <w:rsid w:val="009F06F6"/>
    <w:rsid w:val="009F0C38"/>
    <w:rsid w:val="009F0CD1"/>
    <w:rsid w:val="009F1033"/>
    <w:rsid w:val="009F1317"/>
    <w:rsid w:val="009F187B"/>
    <w:rsid w:val="009F1933"/>
    <w:rsid w:val="009F1DC3"/>
    <w:rsid w:val="009F269C"/>
    <w:rsid w:val="009F2E50"/>
    <w:rsid w:val="009F2E7E"/>
    <w:rsid w:val="009F3713"/>
    <w:rsid w:val="009F3769"/>
    <w:rsid w:val="009F37A0"/>
    <w:rsid w:val="009F39A6"/>
    <w:rsid w:val="009F39E2"/>
    <w:rsid w:val="009F3A4B"/>
    <w:rsid w:val="009F3D85"/>
    <w:rsid w:val="009F3DF4"/>
    <w:rsid w:val="009F3E03"/>
    <w:rsid w:val="009F3E1D"/>
    <w:rsid w:val="009F41E1"/>
    <w:rsid w:val="009F4375"/>
    <w:rsid w:val="009F4834"/>
    <w:rsid w:val="009F4BDB"/>
    <w:rsid w:val="009F4F05"/>
    <w:rsid w:val="009F5606"/>
    <w:rsid w:val="009F5B2D"/>
    <w:rsid w:val="009F5CA4"/>
    <w:rsid w:val="009F6410"/>
    <w:rsid w:val="009F6457"/>
    <w:rsid w:val="009F669B"/>
    <w:rsid w:val="009F66AB"/>
    <w:rsid w:val="009F66DF"/>
    <w:rsid w:val="009F69C5"/>
    <w:rsid w:val="009F6CE6"/>
    <w:rsid w:val="009F6DF5"/>
    <w:rsid w:val="009F7105"/>
    <w:rsid w:val="009F7163"/>
    <w:rsid w:val="009F7169"/>
    <w:rsid w:val="009F7430"/>
    <w:rsid w:val="009F76CB"/>
    <w:rsid w:val="009F7883"/>
    <w:rsid w:val="00A00519"/>
    <w:rsid w:val="00A00E09"/>
    <w:rsid w:val="00A01006"/>
    <w:rsid w:val="00A011C6"/>
    <w:rsid w:val="00A018D0"/>
    <w:rsid w:val="00A023E8"/>
    <w:rsid w:val="00A0267E"/>
    <w:rsid w:val="00A02A7C"/>
    <w:rsid w:val="00A02B26"/>
    <w:rsid w:val="00A03255"/>
    <w:rsid w:val="00A03893"/>
    <w:rsid w:val="00A0394B"/>
    <w:rsid w:val="00A03CC8"/>
    <w:rsid w:val="00A0404C"/>
    <w:rsid w:val="00A04156"/>
    <w:rsid w:val="00A04492"/>
    <w:rsid w:val="00A044F4"/>
    <w:rsid w:val="00A04541"/>
    <w:rsid w:val="00A04846"/>
    <w:rsid w:val="00A04A92"/>
    <w:rsid w:val="00A04CA0"/>
    <w:rsid w:val="00A04FA0"/>
    <w:rsid w:val="00A0519C"/>
    <w:rsid w:val="00A0559E"/>
    <w:rsid w:val="00A058B5"/>
    <w:rsid w:val="00A05A1F"/>
    <w:rsid w:val="00A05BA9"/>
    <w:rsid w:val="00A05DFF"/>
    <w:rsid w:val="00A05FF8"/>
    <w:rsid w:val="00A065E2"/>
    <w:rsid w:val="00A066E6"/>
    <w:rsid w:val="00A0687B"/>
    <w:rsid w:val="00A069BD"/>
    <w:rsid w:val="00A06F57"/>
    <w:rsid w:val="00A0738B"/>
    <w:rsid w:val="00A07654"/>
    <w:rsid w:val="00A0780A"/>
    <w:rsid w:val="00A07B16"/>
    <w:rsid w:val="00A07B18"/>
    <w:rsid w:val="00A07D0F"/>
    <w:rsid w:val="00A07EA6"/>
    <w:rsid w:val="00A10244"/>
    <w:rsid w:val="00A105DB"/>
    <w:rsid w:val="00A106FE"/>
    <w:rsid w:val="00A10947"/>
    <w:rsid w:val="00A10B48"/>
    <w:rsid w:val="00A10B7A"/>
    <w:rsid w:val="00A10C9E"/>
    <w:rsid w:val="00A10CD0"/>
    <w:rsid w:val="00A114B5"/>
    <w:rsid w:val="00A115BF"/>
    <w:rsid w:val="00A11ACA"/>
    <w:rsid w:val="00A11E0F"/>
    <w:rsid w:val="00A121EA"/>
    <w:rsid w:val="00A12206"/>
    <w:rsid w:val="00A12301"/>
    <w:rsid w:val="00A1260C"/>
    <w:rsid w:val="00A12713"/>
    <w:rsid w:val="00A12A73"/>
    <w:rsid w:val="00A12AA4"/>
    <w:rsid w:val="00A12BEE"/>
    <w:rsid w:val="00A12EE8"/>
    <w:rsid w:val="00A131A4"/>
    <w:rsid w:val="00A13511"/>
    <w:rsid w:val="00A1365D"/>
    <w:rsid w:val="00A13715"/>
    <w:rsid w:val="00A13B4D"/>
    <w:rsid w:val="00A13CD6"/>
    <w:rsid w:val="00A13CF1"/>
    <w:rsid w:val="00A13D0E"/>
    <w:rsid w:val="00A13E1C"/>
    <w:rsid w:val="00A13E32"/>
    <w:rsid w:val="00A13E59"/>
    <w:rsid w:val="00A145D0"/>
    <w:rsid w:val="00A14743"/>
    <w:rsid w:val="00A14B5D"/>
    <w:rsid w:val="00A152F7"/>
    <w:rsid w:val="00A15521"/>
    <w:rsid w:val="00A1562F"/>
    <w:rsid w:val="00A157EC"/>
    <w:rsid w:val="00A15ABD"/>
    <w:rsid w:val="00A160E1"/>
    <w:rsid w:val="00A16150"/>
    <w:rsid w:val="00A1630A"/>
    <w:rsid w:val="00A1637F"/>
    <w:rsid w:val="00A163FD"/>
    <w:rsid w:val="00A16416"/>
    <w:rsid w:val="00A168E0"/>
    <w:rsid w:val="00A16A02"/>
    <w:rsid w:val="00A17345"/>
    <w:rsid w:val="00A1759A"/>
    <w:rsid w:val="00A1789B"/>
    <w:rsid w:val="00A178A4"/>
    <w:rsid w:val="00A20253"/>
    <w:rsid w:val="00A2049C"/>
    <w:rsid w:val="00A205BF"/>
    <w:rsid w:val="00A2081F"/>
    <w:rsid w:val="00A20BC0"/>
    <w:rsid w:val="00A2104B"/>
    <w:rsid w:val="00A210E3"/>
    <w:rsid w:val="00A210E9"/>
    <w:rsid w:val="00A218AE"/>
    <w:rsid w:val="00A21A9D"/>
    <w:rsid w:val="00A21AAA"/>
    <w:rsid w:val="00A21AAF"/>
    <w:rsid w:val="00A21E51"/>
    <w:rsid w:val="00A22132"/>
    <w:rsid w:val="00A22207"/>
    <w:rsid w:val="00A224F0"/>
    <w:rsid w:val="00A226BE"/>
    <w:rsid w:val="00A22D9C"/>
    <w:rsid w:val="00A22F1B"/>
    <w:rsid w:val="00A2316F"/>
    <w:rsid w:val="00A2327E"/>
    <w:rsid w:val="00A23921"/>
    <w:rsid w:val="00A23DD8"/>
    <w:rsid w:val="00A24150"/>
    <w:rsid w:val="00A24701"/>
    <w:rsid w:val="00A2470A"/>
    <w:rsid w:val="00A2481C"/>
    <w:rsid w:val="00A24CCF"/>
    <w:rsid w:val="00A24D81"/>
    <w:rsid w:val="00A25155"/>
    <w:rsid w:val="00A2583E"/>
    <w:rsid w:val="00A259E6"/>
    <w:rsid w:val="00A25A28"/>
    <w:rsid w:val="00A25E22"/>
    <w:rsid w:val="00A25F8A"/>
    <w:rsid w:val="00A261E4"/>
    <w:rsid w:val="00A267CB"/>
    <w:rsid w:val="00A26883"/>
    <w:rsid w:val="00A26CF7"/>
    <w:rsid w:val="00A26D60"/>
    <w:rsid w:val="00A26EE0"/>
    <w:rsid w:val="00A272E0"/>
    <w:rsid w:val="00A27381"/>
    <w:rsid w:val="00A27791"/>
    <w:rsid w:val="00A2784A"/>
    <w:rsid w:val="00A27A34"/>
    <w:rsid w:val="00A27C4E"/>
    <w:rsid w:val="00A3072C"/>
    <w:rsid w:val="00A3097E"/>
    <w:rsid w:val="00A30BAE"/>
    <w:rsid w:val="00A313D0"/>
    <w:rsid w:val="00A314A9"/>
    <w:rsid w:val="00A31591"/>
    <w:rsid w:val="00A316BA"/>
    <w:rsid w:val="00A3170C"/>
    <w:rsid w:val="00A318C7"/>
    <w:rsid w:val="00A31C37"/>
    <w:rsid w:val="00A31E88"/>
    <w:rsid w:val="00A321EE"/>
    <w:rsid w:val="00A325C2"/>
    <w:rsid w:val="00A325CC"/>
    <w:rsid w:val="00A326AC"/>
    <w:rsid w:val="00A327BE"/>
    <w:rsid w:val="00A327E2"/>
    <w:rsid w:val="00A32955"/>
    <w:rsid w:val="00A32AC9"/>
    <w:rsid w:val="00A32C37"/>
    <w:rsid w:val="00A32CBE"/>
    <w:rsid w:val="00A33079"/>
    <w:rsid w:val="00A33271"/>
    <w:rsid w:val="00A33C3D"/>
    <w:rsid w:val="00A33C9E"/>
    <w:rsid w:val="00A33CFD"/>
    <w:rsid w:val="00A3451C"/>
    <w:rsid w:val="00A34A25"/>
    <w:rsid w:val="00A34FD0"/>
    <w:rsid w:val="00A35064"/>
    <w:rsid w:val="00A35233"/>
    <w:rsid w:val="00A35735"/>
    <w:rsid w:val="00A35A0B"/>
    <w:rsid w:val="00A362CB"/>
    <w:rsid w:val="00A36549"/>
    <w:rsid w:val="00A36694"/>
    <w:rsid w:val="00A36DC8"/>
    <w:rsid w:val="00A36E00"/>
    <w:rsid w:val="00A370C7"/>
    <w:rsid w:val="00A3747D"/>
    <w:rsid w:val="00A375E2"/>
    <w:rsid w:val="00A37A59"/>
    <w:rsid w:val="00A37EED"/>
    <w:rsid w:val="00A40296"/>
    <w:rsid w:val="00A402A6"/>
    <w:rsid w:val="00A40531"/>
    <w:rsid w:val="00A40889"/>
    <w:rsid w:val="00A41009"/>
    <w:rsid w:val="00A41179"/>
    <w:rsid w:val="00A41772"/>
    <w:rsid w:val="00A41AC6"/>
    <w:rsid w:val="00A41AD9"/>
    <w:rsid w:val="00A42659"/>
    <w:rsid w:val="00A426A6"/>
    <w:rsid w:val="00A42721"/>
    <w:rsid w:val="00A42897"/>
    <w:rsid w:val="00A42911"/>
    <w:rsid w:val="00A429DE"/>
    <w:rsid w:val="00A42E37"/>
    <w:rsid w:val="00A42E79"/>
    <w:rsid w:val="00A42F65"/>
    <w:rsid w:val="00A4306E"/>
    <w:rsid w:val="00A4339C"/>
    <w:rsid w:val="00A43666"/>
    <w:rsid w:val="00A439B1"/>
    <w:rsid w:val="00A43A47"/>
    <w:rsid w:val="00A43B7C"/>
    <w:rsid w:val="00A442E6"/>
    <w:rsid w:val="00A4438D"/>
    <w:rsid w:val="00A44882"/>
    <w:rsid w:val="00A44AA5"/>
    <w:rsid w:val="00A44B72"/>
    <w:rsid w:val="00A44E28"/>
    <w:rsid w:val="00A450FC"/>
    <w:rsid w:val="00A4570E"/>
    <w:rsid w:val="00A45A3B"/>
    <w:rsid w:val="00A45C78"/>
    <w:rsid w:val="00A46FAD"/>
    <w:rsid w:val="00A470ED"/>
    <w:rsid w:val="00A47218"/>
    <w:rsid w:val="00A47430"/>
    <w:rsid w:val="00A4761F"/>
    <w:rsid w:val="00A47803"/>
    <w:rsid w:val="00A479AE"/>
    <w:rsid w:val="00A47B4B"/>
    <w:rsid w:val="00A47BED"/>
    <w:rsid w:val="00A47C9B"/>
    <w:rsid w:val="00A5044D"/>
    <w:rsid w:val="00A50B00"/>
    <w:rsid w:val="00A511FB"/>
    <w:rsid w:val="00A514EB"/>
    <w:rsid w:val="00A51701"/>
    <w:rsid w:val="00A51BC1"/>
    <w:rsid w:val="00A521E0"/>
    <w:rsid w:val="00A5232D"/>
    <w:rsid w:val="00A52B0A"/>
    <w:rsid w:val="00A52BE8"/>
    <w:rsid w:val="00A52C6A"/>
    <w:rsid w:val="00A52D1E"/>
    <w:rsid w:val="00A5411F"/>
    <w:rsid w:val="00A54492"/>
    <w:rsid w:val="00A544BF"/>
    <w:rsid w:val="00A546BB"/>
    <w:rsid w:val="00A54A61"/>
    <w:rsid w:val="00A54A90"/>
    <w:rsid w:val="00A54D16"/>
    <w:rsid w:val="00A54D3A"/>
    <w:rsid w:val="00A551A0"/>
    <w:rsid w:val="00A5579B"/>
    <w:rsid w:val="00A55855"/>
    <w:rsid w:val="00A5586A"/>
    <w:rsid w:val="00A55877"/>
    <w:rsid w:val="00A5587F"/>
    <w:rsid w:val="00A55BB7"/>
    <w:rsid w:val="00A55CCE"/>
    <w:rsid w:val="00A55E76"/>
    <w:rsid w:val="00A55F31"/>
    <w:rsid w:val="00A5637C"/>
    <w:rsid w:val="00A56735"/>
    <w:rsid w:val="00A56938"/>
    <w:rsid w:val="00A56C2C"/>
    <w:rsid w:val="00A570E8"/>
    <w:rsid w:val="00A570E9"/>
    <w:rsid w:val="00A57311"/>
    <w:rsid w:val="00A57A60"/>
    <w:rsid w:val="00A57B65"/>
    <w:rsid w:val="00A57BB7"/>
    <w:rsid w:val="00A57C08"/>
    <w:rsid w:val="00A57E26"/>
    <w:rsid w:val="00A57F96"/>
    <w:rsid w:val="00A60163"/>
    <w:rsid w:val="00A6034D"/>
    <w:rsid w:val="00A6067D"/>
    <w:rsid w:val="00A6098D"/>
    <w:rsid w:val="00A609E3"/>
    <w:rsid w:val="00A61298"/>
    <w:rsid w:val="00A61828"/>
    <w:rsid w:val="00A61863"/>
    <w:rsid w:val="00A61BD5"/>
    <w:rsid w:val="00A61F3E"/>
    <w:rsid w:val="00A620AA"/>
    <w:rsid w:val="00A62182"/>
    <w:rsid w:val="00A62953"/>
    <w:rsid w:val="00A62961"/>
    <w:rsid w:val="00A62977"/>
    <w:rsid w:val="00A62D25"/>
    <w:rsid w:val="00A62E92"/>
    <w:rsid w:val="00A630F5"/>
    <w:rsid w:val="00A63800"/>
    <w:rsid w:val="00A63872"/>
    <w:rsid w:val="00A63A07"/>
    <w:rsid w:val="00A63A37"/>
    <w:rsid w:val="00A63A89"/>
    <w:rsid w:val="00A64196"/>
    <w:rsid w:val="00A64B81"/>
    <w:rsid w:val="00A64BC7"/>
    <w:rsid w:val="00A64E27"/>
    <w:rsid w:val="00A64EB1"/>
    <w:rsid w:val="00A65354"/>
    <w:rsid w:val="00A65589"/>
    <w:rsid w:val="00A657CF"/>
    <w:rsid w:val="00A65B9E"/>
    <w:rsid w:val="00A65BE3"/>
    <w:rsid w:val="00A65FBF"/>
    <w:rsid w:val="00A66089"/>
    <w:rsid w:val="00A6681D"/>
    <w:rsid w:val="00A66A5A"/>
    <w:rsid w:val="00A67234"/>
    <w:rsid w:val="00A6736A"/>
    <w:rsid w:val="00A677C1"/>
    <w:rsid w:val="00A67A8E"/>
    <w:rsid w:val="00A67AC6"/>
    <w:rsid w:val="00A67AFD"/>
    <w:rsid w:val="00A701BF"/>
    <w:rsid w:val="00A702D5"/>
    <w:rsid w:val="00A7033A"/>
    <w:rsid w:val="00A70A35"/>
    <w:rsid w:val="00A70CC7"/>
    <w:rsid w:val="00A711DB"/>
    <w:rsid w:val="00A71221"/>
    <w:rsid w:val="00A713F2"/>
    <w:rsid w:val="00A7141F"/>
    <w:rsid w:val="00A71CDC"/>
    <w:rsid w:val="00A71D6B"/>
    <w:rsid w:val="00A72221"/>
    <w:rsid w:val="00A723F7"/>
    <w:rsid w:val="00A732A8"/>
    <w:rsid w:val="00A734AF"/>
    <w:rsid w:val="00A73873"/>
    <w:rsid w:val="00A744A2"/>
    <w:rsid w:val="00A745D9"/>
    <w:rsid w:val="00A74C89"/>
    <w:rsid w:val="00A74E04"/>
    <w:rsid w:val="00A74F6C"/>
    <w:rsid w:val="00A75212"/>
    <w:rsid w:val="00A7538B"/>
    <w:rsid w:val="00A75857"/>
    <w:rsid w:val="00A75920"/>
    <w:rsid w:val="00A7634B"/>
    <w:rsid w:val="00A7662C"/>
    <w:rsid w:val="00A76696"/>
    <w:rsid w:val="00A76A52"/>
    <w:rsid w:val="00A76BF2"/>
    <w:rsid w:val="00A76FC0"/>
    <w:rsid w:val="00A770A5"/>
    <w:rsid w:val="00A7735F"/>
    <w:rsid w:val="00A77571"/>
    <w:rsid w:val="00A77594"/>
    <w:rsid w:val="00A77960"/>
    <w:rsid w:val="00A77C0E"/>
    <w:rsid w:val="00A806D6"/>
    <w:rsid w:val="00A80915"/>
    <w:rsid w:val="00A80E48"/>
    <w:rsid w:val="00A80E52"/>
    <w:rsid w:val="00A8115F"/>
    <w:rsid w:val="00A81281"/>
    <w:rsid w:val="00A8135C"/>
    <w:rsid w:val="00A81633"/>
    <w:rsid w:val="00A81E1C"/>
    <w:rsid w:val="00A8221B"/>
    <w:rsid w:val="00A82665"/>
    <w:rsid w:val="00A826CD"/>
    <w:rsid w:val="00A82AF4"/>
    <w:rsid w:val="00A82DA1"/>
    <w:rsid w:val="00A831F0"/>
    <w:rsid w:val="00A83315"/>
    <w:rsid w:val="00A834EC"/>
    <w:rsid w:val="00A8353F"/>
    <w:rsid w:val="00A83710"/>
    <w:rsid w:val="00A83BF1"/>
    <w:rsid w:val="00A83C06"/>
    <w:rsid w:val="00A83C5B"/>
    <w:rsid w:val="00A84298"/>
    <w:rsid w:val="00A8478D"/>
    <w:rsid w:val="00A8490B"/>
    <w:rsid w:val="00A84BB0"/>
    <w:rsid w:val="00A8513A"/>
    <w:rsid w:val="00A8523D"/>
    <w:rsid w:val="00A853DF"/>
    <w:rsid w:val="00A85661"/>
    <w:rsid w:val="00A85FFF"/>
    <w:rsid w:val="00A869B4"/>
    <w:rsid w:val="00A86ACD"/>
    <w:rsid w:val="00A86AE7"/>
    <w:rsid w:val="00A86D23"/>
    <w:rsid w:val="00A86FEF"/>
    <w:rsid w:val="00A87482"/>
    <w:rsid w:val="00A8793D"/>
    <w:rsid w:val="00A879F9"/>
    <w:rsid w:val="00A87C98"/>
    <w:rsid w:val="00A900DF"/>
    <w:rsid w:val="00A9018C"/>
    <w:rsid w:val="00A90218"/>
    <w:rsid w:val="00A905F1"/>
    <w:rsid w:val="00A90E27"/>
    <w:rsid w:val="00A91218"/>
    <w:rsid w:val="00A91228"/>
    <w:rsid w:val="00A91469"/>
    <w:rsid w:val="00A9164F"/>
    <w:rsid w:val="00A917CC"/>
    <w:rsid w:val="00A91B1D"/>
    <w:rsid w:val="00A91C52"/>
    <w:rsid w:val="00A91F3E"/>
    <w:rsid w:val="00A92466"/>
    <w:rsid w:val="00A9266D"/>
    <w:rsid w:val="00A92DBC"/>
    <w:rsid w:val="00A930F9"/>
    <w:rsid w:val="00A934FE"/>
    <w:rsid w:val="00A93715"/>
    <w:rsid w:val="00A9399B"/>
    <w:rsid w:val="00A939D3"/>
    <w:rsid w:val="00A93AAE"/>
    <w:rsid w:val="00A93BDA"/>
    <w:rsid w:val="00A93E41"/>
    <w:rsid w:val="00A93F3C"/>
    <w:rsid w:val="00A94A70"/>
    <w:rsid w:val="00A94C66"/>
    <w:rsid w:val="00A9505F"/>
    <w:rsid w:val="00A950D2"/>
    <w:rsid w:val="00A9526D"/>
    <w:rsid w:val="00A95A3E"/>
    <w:rsid w:val="00A95CB8"/>
    <w:rsid w:val="00A95DBB"/>
    <w:rsid w:val="00A96058"/>
    <w:rsid w:val="00A96564"/>
    <w:rsid w:val="00A96801"/>
    <w:rsid w:val="00A9692B"/>
    <w:rsid w:val="00A96D7E"/>
    <w:rsid w:val="00A9727C"/>
    <w:rsid w:val="00A97465"/>
    <w:rsid w:val="00A97666"/>
    <w:rsid w:val="00A97711"/>
    <w:rsid w:val="00A97B8C"/>
    <w:rsid w:val="00A97E7B"/>
    <w:rsid w:val="00AA0003"/>
    <w:rsid w:val="00AA020E"/>
    <w:rsid w:val="00AA0811"/>
    <w:rsid w:val="00AA0ABC"/>
    <w:rsid w:val="00AA0C50"/>
    <w:rsid w:val="00AA0E75"/>
    <w:rsid w:val="00AA158B"/>
    <w:rsid w:val="00AA1A60"/>
    <w:rsid w:val="00AA1D12"/>
    <w:rsid w:val="00AA1DD6"/>
    <w:rsid w:val="00AA1EEC"/>
    <w:rsid w:val="00AA210C"/>
    <w:rsid w:val="00AA29F2"/>
    <w:rsid w:val="00AA2CD8"/>
    <w:rsid w:val="00AA2D01"/>
    <w:rsid w:val="00AA30A2"/>
    <w:rsid w:val="00AA34E4"/>
    <w:rsid w:val="00AA378D"/>
    <w:rsid w:val="00AA3927"/>
    <w:rsid w:val="00AA3B44"/>
    <w:rsid w:val="00AA3FF1"/>
    <w:rsid w:val="00AA40CE"/>
    <w:rsid w:val="00AA43B1"/>
    <w:rsid w:val="00AA461D"/>
    <w:rsid w:val="00AA4757"/>
    <w:rsid w:val="00AA4B1B"/>
    <w:rsid w:val="00AA5584"/>
    <w:rsid w:val="00AA560B"/>
    <w:rsid w:val="00AA59DF"/>
    <w:rsid w:val="00AA5BD3"/>
    <w:rsid w:val="00AA6026"/>
    <w:rsid w:val="00AA6206"/>
    <w:rsid w:val="00AA630A"/>
    <w:rsid w:val="00AA6937"/>
    <w:rsid w:val="00AA69EF"/>
    <w:rsid w:val="00AA6B64"/>
    <w:rsid w:val="00AA6F9A"/>
    <w:rsid w:val="00AA7192"/>
    <w:rsid w:val="00AA7748"/>
    <w:rsid w:val="00AA7C4F"/>
    <w:rsid w:val="00AB001C"/>
    <w:rsid w:val="00AB027D"/>
    <w:rsid w:val="00AB02C8"/>
    <w:rsid w:val="00AB06B8"/>
    <w:rsid w:val="00AB0ADE"/>
    <w:rsid w:val="00AB0CA0"/>
    <w:rsid w:val="00AB102D"/>
    <w:rsid w:val="00AB1A33"/>
    <w:rsid w:val="00AB1C99"/>
    <w:rsid w:val="00AB243D"/>
    <w:rsid w:val="00AB2857"/>
    <w:rsid w:val="00AB286E"/>
    <w:rsid w:val="00AB2B10"/>
    <w:rsid w:val="00AB3299"/>
    <w:rsid w:val="00AB3418"/>
    <w:rsid w:val="00AB3490"/>
    <w:rsid w:val="00AB3491"/>
    <w:rsid w:val="00AB3D94"/>
    <w:rsid w:val="00AB3E16"/>
    <w:rsid w:val="00AB3E3E"/>
    <w:rsid w:val="00AB3F13"/>
    <w:rsid w:val="00AB3F37"/>
    <w:rsid w:val="00AB4157"/>
    <w:rsid w:val="00AB42FF"/>
    <w:rsid w:val="00AB483F"/>
    <w:rsid w:val="00AB513E"/>
    <w:rsid w:val="00AB53BA"/>
    <w:rsid w:val="00AB57AD"/>
    <w:rsid w:val="00AB5819"/>
    <w:rsid w:val="00AB583A"/>
    <w:rsid w:val="00AB6406"/>
    <w:rsid w:val="00AB642C"/>
    <w:rsid w:val="00AB7134"/>
    <w:rsid w:val="00AB76D5"/>
    <w:rsid w:val="00AB7787"/>
    <w:rsid w:val="00AB78AC"/>
    <w:rsid w:val="00AB7964"/>
    <w:rsid w:val="00AB79BB"/>
    <w:rsid w:val="00AB7C60"/>
    <w:rsid w:val="00AC0B36"/>
    <w:rsid w:val="00AC0CEF"/>
    <w:rsid w:val="00AC1191"/>
    <w:rsid w:val="00AC1281"/>
    <w:rsid w:val="00AC138E"/>
    <w:rsid w:val="00AC27D0"/>
    <w:rsid w:val="00AC2AEF"/>
    <w:rsid w:val="00AC2D39"/>
    <w:rsid w:val="00AC2D4E"/>
    <w:rsid w:val="00AC2FB2"/>
    <w:rsid w:val="00AC3084"/>
    <w:rsid w:val="00AC3431"/>
    <w:rsid w:val="00AC38E9"/>
    <w:rsid w:val="00AC3C82"/>
    <w:rsid w:val="00AC45D6"/>
    <w:rsid w:val="00AC471F"/>
    <w:rsid w:val="00AC4883"/>
    <w:rsid w:val="00AC4D53"/>
    <w:rsid w:val="00AC4D96"/>
    <w:rsid w:val="00AC4E2E"/>
    <w:rsid w:val="00AC55F0"/>
    <w:rsid w:val="00AC5A3B"/>
    <w:rsid w:val="00AC5AB6"/>
    <w:rsid w:val="00AC61B3"/>
    <w:rsid w:val="00AC63F4"/>
    <w:rsid w:val="00AC6521"/>
    <w:rsid w:val="00AC690A"/>
    <w:rsid w:val="00AC6D0A"/>
    <w:rsid w:val="00AC7919"/>
    <w:rsid w:val="00AD0EAA"/>
    <w:rsid w:val="00AD12BD"/>
    <w:rsid w:val="00AD163D"/>
    <w:rsid w:val="00AD1CB3"/>
    <w:rsid w:val="00AD1D35"/>
    <w:rsid w:val="00AD1DFE"/>
    <w:rsid w:val="00AD1F06"/>
    <w:rsid w:val="00AD27FC"/>
    <w:rsid w:val="00AD284F"/>
    <w:rsid w:val="00AD28FD"/>
    <w:rsid w:val="00AD2ACB"/>
    <w:rsid w:val="00AD2BAD"/>
    <w:rsid w:val="00AD2BBD"/>
    <w:rsid w:val="00AD2D96"/>
    <w:rsid w:val="00AD3042"/>
    <w:rsid w:val="00AD3047"/>
    <w:rsid w:val="00AD33C3"/>
    <w:rsid w:val="00AD34A1"/>
    <w:rsid w:val="00AD3BEC"/>
    <w:rsid w:val="00AD48F9"/>
    <w:rsid w:val="00AD4EF5"/>
    <w:rsid w:val="00AD514B"/>
    <w:rsid w:val="00AD5542"/>
    <w:rsid w:val="00AD587B"/>
    <w:rsid w:val="00AD5930"/>
    <w:rsid w:val="00AD5F5A"/>
    <w:rsid w:val="00AD6025"/>
    <w:rsid w:val="00AD62C5"/>
    <w:rsid w:val="00AD6C7F"/>
    <w:rsid w:val="00AD70C9"/>
    <w:rsid w:val="00AD732B"/>
    <w:rsid w:val="00AD74FD"/>
    <w:rsid w:val="00AD75A6"/>
    <w:rsid w:val="00AD7769"/>
    <w:rsid w:val="00AD7838"/>
    <w:rsid w:val="00AD7927"/>
    <w:rsid w:val="00AD7B75"/>
    <w:rsid w:val="00AD7CD8"/>
    <w:rsid w:val="00AE00EF"/>
    <w:rsid w:val="00AE034B"/>
    <w:rsid w:val="00AE075A"/>
    <w:rsid w:val="00AE0D12"/>
    <w:rsid w:val="00AE0D23"/>
    <w:rsid w:val="00AE0E9E"/>
    <w:rsid w:val="00AE105C"/>
    <w:rsid w:val="00AE1418"/>
    <w:rsid w:val="00AE14B7"/>
    <w:rsid w:val="00AE186D"/>
    <w:rsid w:val="00AE1C33"/>
    <w:rsid w:val="00AE2057"/>
    <w:rsid w:val="00AE2205"/>
    <w:rsid w:val="00AE232B"/>
    <w:rsid w:val="00AE29B5"/>
    <w:rsid w:val="00AE2BFE"/>
    <w:rsid w:val="00AE3004"/>
    <w:rsid w:val="00AE31BA"/>
    <w:rsid w:val="00AE32B3"/>
    <w:rsid w:val="00AE34B9"/>
    <w:rsid w:val="00AE39C1"/>
    <w:rsid w:val="00AE3CE1"/>
    <w:rsid w:val="00AE4557"/>
    <w:rsid w:val="00AE45B7"/>
    <w:rsid w:val="00AE475C"/>
    <w:rsid w:val="00AE4A1F"/>
    <w:rsid w:val="00AE4B5C"/>
    <w:rsid w:val="00AE4C51"/>
    <w:rsid w:val="00AE4C55"/>
    <w:rsid w:val="00AE4F01"/>
    <w:rsid w:val="00AE4FB3"/>
    <w:rsid w:val="00AE552C"/>
    <w:rsid w:val="00AE567B"/>
    <w:rsid w:val="00AE5749"/>
    <w:rsid w:val="00AE5E27"/>
    <w:rsid w:val="00AE5E95"/>
    <w:rsid w:val="00AE6271"/>
    <w:rsid w:val="00AE6433"/>
    <w:rsid w:val="00AE646D"/>
    <w:rsid w:val="00AE6584"/>
    <w:rsid w:val="00AE69BD"/>
    <w:rsid w:val="00AE6C7D"/>
    <w:rsid w:val="00AE6D12"/>
    <w:rsid w:val="00AE6EEB"/>
    <w:rsid w:val="00AE723D"/>
    <w:rsid w:val="00AE7992"/>
    <w:rsid w:val="00AE7B02"/>
    <w:rsid w:val="00AE7E0E"/>
    <w:rsid w:val="00AF0801"/>
    <w:rsid w:val="00AF1156"/>
    <w:rsid w:val="00AF13DC"/>
    <w:rsid w:val="00AF1414"/>
    <w:rsid w:val="00AF26BE"/>
    <w:rsid w:val="00AF28B0"/>
    <w:rsid w:val="00AF2D55"/>
    <w:rsid w:val="00AF2DED"/>
    <w:rsid w:val="00AF2E7C"/>
    <w:rsid w:val="00AF377C"/>
    <w:rsid w:val="00AF3C80"/>
    <w:rsid w:val="00AF3C8C"/>
    <w:rsid w:val="00AF3EB8"/>
    <w:rsid w:val="00AF40D4"/>
    <w:rsid w:val="00AF41FC"/>
    <w:rsid w:val="00AF457C"/>
    <w:rsid w:val="00AF457D"/>
    <w:rsid w:val="00AF4648"/>
    <w:rsid w:val="00AF4BDB"/>
    <w:rsid w:val="00AF4C53"/>
    <w:rsid w:val="00AF5021"/>
    <w:rsid w:val="00AF5312"/>
    <w:rsid w:val="00AF5363"/>
    <w:rsid w:val="00AF5478"/>
    <w:rsid w:val="00AF5A90"/>
    <w:rsid w:val="00AF5B9F"/>
    <w:rsid w:val="00AF5E03"/>
    <w:rsid w:val="00AF5F78"/>
    <w:rsid w:val="00AF609E"/>
    <w:rsid w:val="00AF63A9"/>
    <w:rsid w:val="00AF6591"/>
    <w:rsid w:val="00AF65F5"/>
    <w:rsid w:val="00AF66F1"/>
    <w:rsid w:val="00AF6AE3"/>
    <w:rsid w:val="00AF6B1B"/>
    <w:rsid w:val="00AF738A"/>
    <w:rsid w:val="00AF7C50"/>
    <w:rsid w:val="00AF7F09"/>
    <w:rsid w:val="00B002BA"/>
    <w:rsid w:val="00B00306"/>
    <w:rsid w:val="00B00824"/>
    <w:rsid w:val="00B00D62"/>
    <w:rsid w:val="00B00FF2"/>
    <w:rsid w:val="00B010D3"/>
    <w:rsid w:val="00B01A7A"/>
    <w:rsid w:val="00B01CC2"/>
    <w:rsid w:val="00B01F0D"/>
    <w:rsid w:val="00B02014"/>
    <w:rsid w:val="00B02112"/>
    <w:rsid w:val="00B0226B"/>
    <w:rsid w:val="00B0226D"/>
    <w:rsid w:val="00B023FC"/>
    <w:rsid w:val="00B0254A"/>
    <w:rsid w:val="00B02A4C"/>
    <w:rsid w:val="00B02B2B"/>
    <w:rsid w:val="00B03101"/>
    <w:rsid w:val="00B03765"/>
    <w:rsid w:val="00B039CE"/>
    <w:rsid w:val="00B03C24"/>
    <w:rsid w:val="00B03D26"/>
    <w:rsid w:val="00B03E1C"/>
    <w:rsid w:val="00B03F36"/>
    <w:rsid w:val="00B04725"/>
    <w:rsid w:val="00B04D36"/>
    <w:rsid w:val="00B04F11"/>
    <w:rsid w:val="00B052E4"/>
    <w:rsid w:val="00B054CE"/>
    <w:rsid w:val="00B05688"/>
    <w:rsid w:val="00B05DC2"/>
    <w:rsid w:val="00B060B4"/>
    <w:rsid w:val="00B06574"/>
    <w:rsid w:val="00B06798"/>
    <w:rsid w:val="00B06A2A"/>
    <w:rsid w:val="00B06AF4"/>
    <w:rsid w:val="00B06C77"/>
    <w:rsid w:val="00B07479"/>
    <w:rsid w:val="00B075EC"/>
    <w:rsid w:val="00B079E8"/>
    <w:rsid w:val="00B07A7C"/>
    <w:rsid w:val="00B07CBE"/>
    <w:rsid w:val="00B07EDE"/>
    <w:rsid w:val="00B07F35"/>
    <w:rsid w:val="00B1044B"/>
    <w:rsid w:val="00B1093D"/>
    <w:rsid w:val="00B10BD1"/>
    <w:rsid w:val="00B10CE6"/>
    <w:rsid w:val="00B10DB5"/>
    <w:rsid w:val="00B110E0"/>
    <w:rsid w:val="00B111BF"/>
    <w:rsid w:val="00B114C4"/>
    <w:rsid w:val="00B11882"/>
    <w:rsid w:val="00B11E29"/>
    <w:rsid w:val="00B11EAB"/>
    <w:rsid w:val="00B120CF"/>
    <w:rsid w:val="00B12612"/>
    <w:rsid w:val="00B12F78"/>
    <w:rsid w:val="00B12FA8"/>
    <w:rsid w:val="00B13127"/>
    <w:rsid w:val="00B13282"/>
    <w:rsid w:val="00B1361E"/>
    <w:rsid w:val="00B137BE"/>
    <w:rsid w:val="00B137D3"/>
    <w:rsid w:val="00B1388A"/>
    <w:rsid w:val="00B13F1F"/>
    <w:rsid w:val="00B14381"/>
    <w:rsid w:val="00B14450"/>
    <w:rsid w:val="00B147CC"/>
    <w:rsid w:val="00B15093"/>
    <w:rsid w:val="00B150B5"/>
    <w:rsid w:val="00B15141"/>
    <w:rsid w:val="00B151C6"/>
    <w:rsid w:val="00B15A0F"/>
    <w:rsid w:val="00B167A6"/>
    <w:rsid w:val="00B16B5F"/>
    <w:rsid w:val="00B16E3A"/>
    <w:rsid w:val="00B1723C"/>
    <w:rsid w:val="00B1736C"/>
    <w:rsid w:val="00B174E2"/>
    <w:rsid w:val="00B175EA"/>
    <w:rsid w:val="00B17744"/>
    <w:rsid w:val="00B17853"/>
    <w:rsid w:val="00B20057"/>
    <w:rsid w:val="00B20075"/>
    <w:rsid w:val="00B2043A"/>
    <w:rsid w:val="00B206FB"/>
    <w:rsid w:val="00B20C9F"/>
    <w:rsid w:val="00B20E2B"/>
    <w:rsid w:val="00B21016"/>
    <w:rsid w:val="00B215F9"/>
    <w:rsid w:val="00B21CA7"/>
    <w:rsid w:val="00B21CB7"/>
    <w:rsid w:val="00B21D72"/>
    <w:rsid w:val="00B21D75"/>
    <w:rsid w:val="00B21D85"/>
    <w:rsid w:val="00B21DF9"/>
    <w:rsid w:val="00B21FD0"/>
    <w:rsid w:val="00B223F6"/>
    <w:rsid w:val="00B22FBE"/>
    <w:rsid w:val="00B233A9"/>
    <w:rsid w:val="00B239CC"/>
    <w:rsid w:val="00B23A73"/>
    <w:rsid w:val="00B24059"/>
    <w:rsid w:val="00B24E7D"/>
    <w:rsid w:val="00B24F49"/>
    <w:rsid w:val="00B254EC"/>
    <w:rsid w:val="00B254EE"/>
    <w:rsid w:val="00B25585"/>
    <w:rsid w:val="00B2564F"/>
    <w:rsid w:val="00B25A70"/>
    <w:rsid w:val="00B25BD8"/>
    <w:rsid w:val="00B25CB6"/>
    <w:rsid w:val="00B25E1D"/>
    <w:rsid w:val="00B25F9A"/>
    <w:rsid w:val="00B2609F"/>
    <w:rsid w:val="00B260D2"/>
    <w:rsid w:val="00B2613A"/>
    <w:rsid w:val="00B269BF"/>
    <w:rsid w:val="00B269CE"/>
    <w:rsid w:val="00B2757B"/>
    <w:rsid w:val="00B27D54"/>
    <w:rsid w:val="00B3022F"/>
    <w:rsid w:val="00B305C0"/>
    <w:rsid w:val="00B30643"/>
    <w:rsid w:val="00B30992"/>
    <w:rsid w:val="00B30D8A"/>
    <w:rsid w:val="00B30F29"/>
    <w:rsid w:val="00B30F6B"/>
    <w:rsid w:val="00B316A1"/>
    <w:rsid w:val="00B31E5F"/>
    <w:rsid w:val="00B31F6B"/>
    <w:rsid w:val="00B32607"/>
    <w:rsid w:val="00B326BE"/>
    <w:rsid w:val="00B32821"/>
    <w:rsid w:val="00B3297A"/>
    <w:rsid w:val="00B32B1B"/>
    <w:rsid w:val="00B32CE3"/>
    <w:rsid w:val="00B32EE7"/>
    <w:rsid w:val="00B3331B"/>
    <w:rsid w:val="00B33595"/>
    <w:rsid w:val="00B3396B"/>
    <w:rsid w:val="00B34886"/>
    <w:rsid w:val="00B3488B"/>
    <w:rsid w:val="00B3511C"/>
    <w:rsid w:val="00B3539A"/>
    <w:rsid w:val="00B35620"/>
    <w:rsid w:val="00B35643"/>
    <w:rsid w:val="00B358BA"/>
    <w:rsid w:val="00B35CB3"/>
    <w:rsid w:val="00B35F8E"/>
    <w:rsid w:val="00B367DE"/>
    <w:rsid w:val="00B36AB2"/>
    <w:rsid w:val="00B36F42"/>
    <w:rsid w:val="00B37121"/>
    <w:rsid w:val="00B37228"/>
    <w:rsid w:val="00B37306"/>
    <w:rsid w:val="00B37DD5"/>
    <w:rsid w:val="00B37E73"/>
    <w:rsid w:val="00B4003E"/>
    <w:rsid w:val="00B40292"/>
    <w:rsid w:val="00B40405"/>
    <w:rsid w:val="00B40461"/>
    <w:rsid w:val="00B40644"/>
    <w:rsid w:val="00B4067C"/>
    <w:rsid w:val="00B406B2"/>
    <w:rsid w:val="00B40BF1"/>
    <w:rsid w:val="00B40D73"/>
    <w:rsid w:val="00B411A3"/>
    <w:rsid w:val="00B412CB"/>
    <w:rsid w:val="00B41351"/>
    <w:rsid w:val="00B415EF"/>
    <w:rsid w:val="00B41B34"/>
    <w:rsid w:val="00B41C34"/>
    <w:rsid w:val="00B427E4"/>
    <w:rsid w:val="00B42879"/>
    <w:rsid w:val="00B42B9A"/>
    <w:rsid w:val="00B42C0C"/>
    <w:rsid w:val="00B42E65"/>
    <w:rsid w:val="00B42F58"/>
    <w:rsid w:val="00B430D3"/>
    <w:rsid w:val="00B432D4"/>
    <w:rsid w:val="00B4357E"/>
    <w:rsid w:val="00B437BD"/>
    <w:rsid w:val="00B43985"/>
    <w:rsid w:val="00B439FA"/>
    <w:rsid w:val="00B43D1F"/>
    <w:rsid w:val="00B43D4D"/>
    <w:rsid w:val="00B44027"/>
    <w:rsid w:val="00B440CF"/>
    <w:rsid w:val="00B443C5"/>
    <w:rsid w:val="00B44635"/>
    <w:rsid w:val="00B4472F"/>
    <w:rsid w:val="00B4485B"/>
    <w:rsid w:val="00B449D9"/>
    <w:rsid w:val="00B45029"/>
    <w:rsid w:val="00B45A61"/>
    <w:rsid w:val="00B460AA"/>
    <w:rsid w:val="00B462D6"/>
    <w:rsid w:val="00B46BBB"/>
    <w:rsid w:val="00B47222"/>
    <w:rsid w:val="00B47784"/>
    <w:rsid w:val="00B4783F"/>
    <w:rsid w:val="00B47CEF"/>
    <w:rsid w:val="00B47F65"/>
    <w:rsid w:val="00B502C5"/>
    <w:rsid w:val="00B504F7"/>
    <w:rsid w:val="00B50A47"/>
    <w:rsid w:val="00B51014"/>
    <w:rsid w:val="00B51420"/>
    <w:rsid w:val="00B51526"/>
    <w:rsid w:val="00B51A40"/>
    <w:rsid w:val="00B522A9"/>
    <w:rsid w:val="00B524A8"/>
    <w:rsid w:val="00B52559"/>
    <w:rsid w:val="00B52646"/>
    <w:rsid w:val="00B529F2"/>
    <w:rsid w:val="00B52AAD"/>
    <w:rsid w:val="00B52B07"/>
    <w:rsid w:val="00B52E7D"/>
    <w:rsid w:val="00B530BA"/>
    <w:rsid w:val="00B53EF5"/>
    <w:rsid w:val="00B5428C"/>
    <w:rsid w:val="00B5475E"/>
    <w:rsid w:val="00B54989"/>
    <w:rsid w:val="00B54A86"/>
    <w:rsid w:val="00B54FA3"/>
    <w:rsid w:val="00B553CF"/>
    <w:rsid w:val="00B5549D"/>
    <w:rsid w:val="00B555B8"/>
    <w:rsid w:val="00B558F0"/>
    <w:rsid w:val="00B55ACA"/>
    <w:rsid w:val="00B5612F"/>
    <w:rsid w:val="00B566E0"/>
    <w:rsid w:val="00B5685D"/>
    <w:rsid w:val="00B56BA8"/>
    <w:rsid w:val="00B56C22"/>
    <w:rsid w:val="00B57639"/>
    <w:rsid w:val="00B57861"/>
    <w:rsid w:val="00B57D57"/>
    <w:rsid w:val="00B6015E"/>
    <w:rsid w:val="00B6022F"/>
    <w:rsid w:val="00B60543"/>
    <w:rsid w:val="00B60680"/>
    <w:rsid w:val="00B607B8"/>
    <w:rsid w:val="00B60E6E"/>
    <w:rsid w:val="00B60EA9"/>
    <w:rsid w:val="00B6184F"/>
    <w:rsid w:val="00B619AF"/>
    <w:rsid w:val="00B61B85"/>
    <w:rsid w:val="00B61CC4"/>
    <w:rsid w:val="00B61CFF"/>
    <w:rsid w:val="00B61F70"/>
    <w:rsid w:val="00B6237B"/>
    <w:rsid w:val="00B62A18"/>
    <w:rsid w:val="00B63411"/>
    <w:rsid w:val="00B63834"/>
    <w:rsid w:val="00B63870"/>
    <w:rsid w:val="00B63D4F"/>
    <w:rsid w:val="00B640AB"/>
    <w:rsid w:val="00B642F1"/>
    <w:rsid w:val="00B64398"/>
    <w:rsid w:val="00B64484"/>
    <w:rsid w:val="00B645EE"/>
    <w:rsid w:val="00B645F8"/>
    <w:rsid w:val="00B646A6"/>
    <w:rsid w:val="00B652B0"/>
    <w:rsid w:val="00B6552B"/>
    <w:rsid w:val="00B657B5"/>
    <w:rsid w:val="00B65D1C"/>
    <w:rsid w:val="00B65E9D"/>
    <w:rsid w:val="00B660F5"/>
    <w:rsid w:val="00B664EC"/>
    <w:rsid w:val="00B667B2"/>
    <w:rsid w:val="00B66801"/>
    <w:rsid w:val="00B6733D"/>
    <w:rsid w:val="00B6796C"/>
    <w:rsid w:val="00B67B2B"/>
    <w:rsid w:val="00B67E62"/>
    <w:rsid w:val="00B67E89"/>
    <w:rsid w:val="00B70333"/>
    <w:rsid w:val="00B70584"/>
    <w:rsid w:val="00B70A49"/>
    <w:rsid w:val="00B70DDA"/>
    <w:rsid w:val="00B70EDB"/>
    <w:rsid w:val="00B71212"/>
    <w:rsid w:val="00B71A5D"/>
    <w:rsid w:val="00B72184"/>
    <w:rsid w:val="00B7273B"/>
    <w:rsid w:val="00B727B8"/>
    <w:rsid w:val="00B72964"/>
    <w:rsid w:val="00B73259"/>
    <w:rsid w:val="00B73453"/>
    <w:rsid w:val="00B737C7"/>
    <w:rsid w:val="00B73801"/>
    <w:rsid w:val="00B73DCF"/>
    <w:rsid w:val="00B741DB"/>
    <w:rsid w:val="00B74921"/>
    <w:rsid w:val="00B74A0D"/>
    <w:rsid w:val="00B74E88"/>
    <w:rsid w:val="00B74EC0"/>
    <w:rsid w:val="00B75549"/>
    <w:rsid w:val="00B75667"/>
    <w:rsid w:val="00B75A33"/>
    <w:rsid w:val="00B76727"/>
    <w:rsid w:val="00B76E51"/>
    <w:rsid w:val="00B77062"/>
    <w:rsid w:val="00B7709F"/>
    <w:rsid w:val="00B7723E"/>
    <w:rsid w:val="00B774CC"/>
    <w:rsid w:val="00B77D8A"/>
    <w:rsid w:val="00B77FBB"/>
    <w:rsid w:val="00B8053A"/>
    <w:rsid w:val="00B8053B"/>
    <w:rsid w:val="00B80795"/>
    <w:rsid w:val="00B807DB"/>
    <w:rsid w:val="00B80B2D"/>
    <w:rsid w:val="00B80F5B"/>
    <w:rsid w:val="00B812CD"/>
    <w:rsid w:val="00B81440"/>
    <w:rsid w:val="00B81578"/>
    <w:rsid w:val="00B81684"/>
    <w:rsid w:val="00B817F4"/>
    <w:rsid w:val="00B8206A"/>
    <w:rsid w:val="00B821AB"/>
    <w:rsid w:val="00B82974"/>
    <w:rsid w:val="00B830F7"/>
    <w:rsid w:val="00B8321E"/>
    <w:rsid w:val="00B83463"/>
    <w:rsid w:val="00B83AC3"/>
    <w:rsid w:val="00B83ACC"/>
    <w:rsid w:val="00B83DF6"/>
    <w:rsid w:val="00B8408E"/>
    <w:rsid w:val="00B845D9"/>
    <w:rsid w:val="00B84979"/>
    <w:rsid w:val="00B849E7"/>
    <w:rsid w:val="00B84B53"/>
    <w:rsid w:val="00B84BE8"/>
    <w:rsid w:val="00B84F50"/>
    <w:rsid w:val="00B85154"/>
    <w:rsid w:val="00B85BF7"/>
    <w:rsid w:val="00B85E03"/>
    <w:rsid w:val="00B85F50"/>
    <w:rsid w:val="00B85F67"/>
    <w:rsid w:val="00B86017"/>
    <w:rsid w:val="00B86551"/>
    <w:rsid w:val="00B86557"/>
    <w:rsid w:val="00B86734"/>
    <w:rsid w:val="00B8676E"/>
    <w:rsid w:val="00B868FC"/>
    <w:rsid w:val="00B8692C"/>
    <w:rsid w:val="00B86BDC"/>
    <w:rsid w:val="00B86E06"/>
    <w:rsid w:val="00B874FB"/>
    <w:rsid w:val="00B8769E"/>
    <w:rsid w:val="00B909DC"/>
    <w:rsid w:val="00B90DC8"/>
    <w:rsid w:val="00B91356"/>
    <w:rsid w:val="00B915AD"/>
    <w:rsid w:val="00B919B6"/>
    <w:rsid w:val="00B91E0F"/>
    <w:rsid w:val="00B926E0"/>
    <w:rsid w:val="00B928B6"/>
    <w:rsid w:val="00B92F5B"/>
    <w:rsid w:val="00B93B55"/>
    <w:rsid w:val="00B93C26"/>
    <w:rsid w:val="00B93C36"/>
    <w:rsid w:val="00B94054"/>
    <w:rsid w:val="00B94253"/>
    <w:rsid w:val="00B9436E"/>
    <w:rsid w:val="00B94D3F"/>
    <w:rsid w:val="00B950E8"/>
    <w:rsid w:val="00B95242"/>
    <w:rsid w:val="00B95305"/>
    <w:rsid w:val="00B9532A"/>
    <w:rsid w:val="00B954FC"/>
    <w:rsid w:val="00B9561D"/>
    <w:rsid w:val="00B95A04"/>
    <w:rsid w:val="00B95C49"/>
    <w:rsid w:val="00B95CE8"/>
    <w:rsid w:val="00B95EEF"/>
    <w:rsid w:val="00B96228"/>
    <w:rsid w:val="00B96313"/>
    <w:rsid w:val="00B96ABF"/>
    <w:rsid w:val="00B96CBF"/>
    <w:rsid w:val="00B96CF0"/>
    <w:rsid w:val="00B96DA2"/>
    <w:rsid w:val="00B97088"/>
    <w:rsid w:val="00B977E6"/>
    <w:rsid w:val="00B97848"/>
    <w:rsid w:val="00B97B85"/>
    <w:rsid w:val="00BA067F"/>
    <w:rsid w:val="00BA13E0"/>
    <w:rsid w:val="00BA146F"/>
    <w:rsid w:val="00BA1570"/>
    <w:rsid w:val="00BA1782"/>
    <w:rsid w:val="00BA17C4"/>
    <w:rsid w:val="00BA1C20"/>
    <w:rsid w:val="00BA1E6F"/>
    <w:rsid w:val="00BA270E"/>
    <w:rsid w:val="00BA2729"/>
    <w:rsid w:val="00BA283C"/>
    <w:rsid w:val="00BA2AEB"/>
    <w:rsid w:val="00BA2DED"/>
    <w:rsid w:val="00BA2FCA"/>
    <w:rsid w:val="00BA3129"/>
    <w:rsid w:val="00BA37D5"/>
    <w:rsid w:val="00BA380D"/>
    <w:rsid w:val="00BA3974"/>
    <w:rsid w:val="00BA3996"/>
    <w:rsid w:val="00BA3CC9"/>
    <w:rsid w:val="00BA3F29"/>
    <w:rsid w:val="00BA4071"/>
    <w:rsid w:val="00BA40BE"/>
    <w:rsid w:val="00BA48C2"/>
    <w:rsid w:val="00BA48E0"/>
    <w:rsid w:val="00BA4A62"/>
    <w:rsid w:val="00BA4B45"/>
    <w:rsid w:val="00BA4DF9"/>
    <w:rsid w:val="00BA4E3A"/>
    <w:rsid w:val="00BA5346"/>
    <w:rsid w:val="00BA54FB"/>
    <w:rsid w:val="00BA5656"/>
    <w:rsid w:val="00BA5C97"/>
    <w:rsid w:val="00BA5EFB"/>
    <w:rsid w:val="00BA6282"/>
    <w:rsid w:val="00BA659A"/>
    <w:rsid w:val="00BA68C1"/>
    <w:rsid w:val="00BA6CFD"/>
    <w:rsid w:val="00BA7339"/>
    <w:rsid w:val="00BA7423"/>
    <w:rsid w:val="00BA7541"/>
    <w:rsid w:val="00BA7688"/>
    <w:rsid w:val="00BA7C05"/>
    <w:rsid w:val="00BA7EB0"/>
    <w:rsid w:val="00BA7F97"/>
    <w:rsid w:val="00BB0528"/>
    <w:rsid w:val="00BB0678"/>
    <w:rsid w:val="00BB070E"/>
    <w:rsid w:val="00BB0724"/>
    <w:rsid w:val="00BB0AFC"/>
    <w:rsid w:val="00BB0B3E"/>
    <w:rsid w:val="00BB0B41"/>
    <w:rsid w:val="00BB0D75"/>
    <w:rsid w:val="00BB0F55"/>
    <w:rsid w:val="00BB142F"/>
    <w:rsid w:val="00BB180B"/>
    <w:rsid w:val="00BB1966"/>
    <w:rsid w:val="00BB1B24"/>
    <w:rsid w:val="00BB1C4F"/>
    <w:rsid w:val="00BB1D50"/>
    <w:rsid w:val="00BB214F"/>
    <w:rsid w:val="00BB225D"/>
    <w:rsid w:val="00BB2432"/>
    <w:rsid w:val="00BB26D3"/>
    <w:rsid w:val="00BB3019"/>
    <w:rsid w:val="00BB3355"/>
    <w:rsid w:val="00BB365A"/>
    <w:rsid w:val="00BB3BDC"/>
    <w:rsid w:val="00BB3DF1"/>
    <w:rsid w:val="00BB3F2A"/>
    <w:rsid w:val="00BB3F4C"/>
    <w:rsid w:val="00BB3F8F"/>
    <w:rsid w:val="00BB424D"/>
    <w:rsid w:val="00BB4A42"/>
    <w:rsid w:val="00BB4D0D"/>
    <w:rsid w:val="00BB5321"/>
    <w:rsid w:val="00BB55E4"/>
    <w:rsid w:val="00BB56F2"/>
    <w:rsid w:val="00BB56F3"/>
    <w:rsid w:val="00BB60F2"/>
    <w:rsid w:val="00BB61DC"/>
    <w:rsid w:val="00BB6431"/>
    <w:rsid w:val="00BB6472"/>
    <w:rsid w:val="00BB6C81"/>
    <w:rsid w:val="00BB71EC"/>
    <w:rsid w:val="00BB723D"/>
    <w:rsid w:val="00BB724B"/>
    <w:rsid w:val="00BB7634"/>
    <w:rsid w:val="00BB7FA5"/>
    <w:rsid w:val="00BC108E"/>
    <w:rsid w:val="00BC16BF"/>
    <w:rsid w:val="00BC17BC"/>
    <w:rsid w:val="00BC18B2"/>
    <w:rsid w:val="00BC1A03"/>
    <w:rsid w:val="00BC1A99"/>
    <w:rsid w:val="00BC1CDD"/>
    <w:rsid w:val="00BC201A"/>
    <w:rsid w:val="00BC2062"/>
    <w:rsid w:val="00BC27E0"/>
    <w:rsid w:val="00BC2BC7"/>
    <w:rsid w:val="00BC2F45"/>
    <w:rsid w:val="00BC321B"/>
    <w:rsid w:val="00BC344E"/>
    <w:rsid w:val="00BC38B8"/>
    <w:rsid w:val="00BC3CF8"/>
    <w:rsid w:val="00BC3E82"/>
    <w:rsid w:val="00BC3FE8"/>
    <w:rsid w:val="00BC499E"/>
    <w:rsid w:val="00BC4DE8"/>
    <w:rsid w:val="00BC4F20"/>
    <w:rsid w:val="00BC5199"/>
    <w:rsid w:val="00BC5CE2"/>
    <w:rsid w:val="00BC6582"/>
    <w:rsid w:val="00BC6826"/>
    <w:rsid w:val="00BC6897"/>
    <w:rsid w:val="00BC6F66"/>
    <w:rsid w:val="00BC7040"/>
    <w:rsid w:val="00BC70D5"/>
    <w:rsid w:val="00BC71C5"/>
    <w:rsid w:val="00BC726E"/>
    <w:rsid w:val="00BC7659"/>
    <w:rsid w:val="00BC77C9"/>
    <w:rsid w:val="00BC7A42"/>
    <w:rsid w:val="00BC7DDC"/>
    <w:rsid w:val="00BD013E"/>
    <w:rsid w:val="00BD082C"/>
    <w:rsid w:val="00BD0E3C"/>
    <w:rsid w:val="00BD0FC4"/>
    <w:rsid w:val="00BD140B"/>
    <w:rsid w:val="00BD14A5"/>
    <w:rsid w:val="00BD218B"/>
    <w:rsid w:val="00BD22C4"/>
    <w:rsid w:val="00BD2304"/>
    <w:rsid w:val="00BD238C"/>
    <w:rsid w:val="00BD28FD"/>
    <w:rsid w:val="00BD2A08"/>
    <w:rsid w:val="00BD2F55"/>
    <w:rsid w:val="00BD2FDF"/>
    <w:rsid w:val="00BD3545"/>
    <w:rsid w:val="00BD3837"/>
    <w:rsid w:val="00BD386B"/>
    <w:rsid w:val="00BD3C69"/>
    <w:rsid w:val="00BD3C9F"/>
    <w:rsid w:val="00BD3D7A"/>
    <w:rsid w:val="00BD4194"/>
    <w:rsid w:val="00BD47B4"/>
    <w:rsid w:val="00BD49BA"/>
    <w:rsid w:val="00BD4C3D"/>
    <w:rsid w:val="00BD55D6"/>
    <w:rsid w:val="00BD5736"/>
    <w:rsid w:val="00BD5A26"/>
    <w:rsid w:val="00BD5FA4"/>
    <w:rsid w:val="00BD602B"/>
    <w:rsid w:val="00BD6509"/>
    <w:rsid w:val="00BD689C"/>
    <w:rsid w:val="00BD6A22"/>
    <w:rsid w:val="00BD6B92"/>
    <w:rsid w:val="00BD6BB3"/>
    <w:rsid w:val="00BD7629"/>
    <w:rsid w:val="00BD7740"/>
    <w:rsid w:val="00BD7A82"/>
    <w:rsid w:val="00BD7EFB"/>
    <w:rsid w:val="00BD7F9E"/>
    <w:rsid w:val="00BE072F"/>
    <w:rsid w:val="00BE12D2"/>
    <w:rsid w:val="00BE13B8"/>
    <w:rsid w:val="00BE16A6"/>
    <w:rsid w:val="00BE16C6"/>
    <w:rsid w:val="00BE16EF"/>
    <w:rsid w:val="00BE1959"/>
    <w:rsid w:val="00BE197A"/>
    <w:rsid w:val="00BE1A06"/>
    <w:rsid w:val="00BE1B51"/>
    <w:rsid w:val="00BE1D45"/>
    <w:rsid w:val="00BE227B"/>
    <w:rsid w:val="00BE269D"/>
    <w:rsid w:val="00BE28FE"/>
    <w:rsid w:val="00BE2DC1"/>
    <w:rsid w:val="00BE312F"/>
    <w:rsid w:val="00BE370C"/>
    <w:rsid w:val="00BE3D64"/>
    <w:rsid w:val="00BE3EA0"/>
    <w:rsid w:val="00BE403F"/>
    <w:rsid w:val="00BE444A"/>
    <w:rsid w:val="00BE475F"/>
    <w:rsid w:val="00BE5171"/>
    <w:rsid w:val="00BE546C"/>
    <w:rsid w:val="00BE5519"/>
    <w:rsid w:val="00BE57B1"/>
    <w:rsid w:val="00BE5813"/>
    <w:rsid w:val="00BE5E11"/>
    <w:rsid w:val="00BE63D5"/>
    <w:rsid w:val="00BE64B9"/>
    <w:rsid w:val="00BE65B3"/>
    <w:rsid w:val="00BE6C03"/>
    <w:rsid w:val="00BE6C38"/>
    <w:rsid w:val="00BE7501"/>
    <w:rsid w:val="00BE7B27"/>
    <w:rsid w:val="00BE7D45"/>
    <w:rsid w:val="00BE7FAF"/>
    <w:rsid w:val="00BF0058"/>
    <w:rsid w:val="00BF02E6"/>
    <w:rsid w:val="00BF08B0"/>
    <w:rsid w:val="00BF0AF3"/>
    <w:rsid w:val="00BF0CEB"/>
    <w:rsid w:val="00BF0EA0"/>
    <w:rsid w:val="00BF0F15"/>
    <w:rsid w:val="00BF10D2"/>
    <w:rsid w:val="00BF120B"/>
    <w:rsid w:val="00BF12B0"/>
    <w:rsid w:val="00BF1309"/>
    <w:rsid w:val="00BF145E"/>
    <w:rsid w:val="00BF1CD8"/>
    <w:rsid w:val="00BF220D"/>
    <w:rsid w:val="00BF2372"/>
    <w:rsid w:val="00BF2633"/>
    <w:rsid w:val="00BF2817"/>
    <w:rsid w:val="00BF28A5"/>
    <w:rsid w:val="00BF31B5"/>
    <w:rsid w:val="00BF31CB"/>
    <w:rsid w:val="00BF3204"/>
    <w:rsid w:val="00BF3A41"/>
    <w:rsid w:val="00BF3C10"/>
    <w:rsid w:val="00BF3FFA"/>
    <w:rsid w:val="00BF408E"/>
    <w:rsid w:val="00BF433D"/>
    <w:rsid w:val="00BF4378"/>
    <w:rsid w:val="00BF46F1"/>
    <w:rsid w:val="00BF4928"/>
    <w:rsid w:val="00BF4B69"/>
    <w:rsid w:val="00BF56A8"/>
    <w:rsid w:val="00BF5EED"/>
    <w:rsid w:val="00BF60E3"/>
    <w:rsid w:val="00BF6504"/>
    <w:rsid w:val="00BF6682"/>
    <w:rsid w:val="00BF6C19"/>
    <w:rsid w:val="00BF6FBF"/>
    <w:rsid w:val="00BF70A1"/>
    <w:rsid w:val="00BF70F8"/>
    <w:rsid w:val="00BF7D39"/>
    <w:rsid w:val="00BF7D43"/>
    <w:rsid w:val="00C00F1A"/>
    <w:rsid w:val="00C010F5"/>
    <w:rsid w:val="00C01375"/>
    <w:rsid w:val="00C0150C"/>
    <w:rsid w:val="00C01552"/>
    <w:rsid w:val="00C01835"/>
    <w:rsid w:val="00C01FFB"/>
    <w:rsid w:val="00C02192"/>
    <w:rsid w:val="00C023FA"/>
    <w:rsid w:val="00C0256C"/>
    <w:rsid w:val="00C02B2A"/>
    <w:rsid w:val="00C02CDE"/>
    <w:rsid w:val="00C030C3"/>
    <w:rsid w:val="00C03365"/>
    <w:rsid w:val="00C03383"/>
    <w:rsid w:val="00C035A1"/>
    <w:rsid w:val="00C039B6"/>
    <w:rsid w:val="00C03B7B"/>
    <w:rsid w:val="00C03E72"/>
    <w:rsid w:val="00C03F76"/>
    <w:rsid w:val="00C04B82"/>
    <w:rsid w:val="00C057E0"/>
    <w:rsid w:val="00C05863"/>
    <w:rsid w:val="00C05C20"/>
    <w:rsid w:val="00C06066"/>
    <w:rsid w:val="00C061E3"/>
    <w:rsid w:val="00C0648A"/>
    <w:rsid w:val="00C06756"/>
    <w:rsid w:val="00C067A4"/>
    <w:rsid w:val="00C06B3D"/>
    <w:rsid w:val="00C06BE9"/>
    <w:rsid w:val="00C070D8"/>
    <w:rsid w:val="00C07562"/>
    <w:rsid w:val="00C079D6"/>
    <w:rsid w:val="00C07A6C"/>
    <w:rsid w:val="00C07AE3"/>
    <w:rsid w:val="00C07AE4"/>
    <w:rsid w:val="00C07D3E"/>
    <w:rsid w:val="00C07FFD"/>
    <w:rsid w:val="00C10099"/>
    <w:rsid w:val="00C100EB"/>
    <w:rsid w:val="00C10227"/>
    <w:rsid w:val="00C10599"/>
    <w:rsid w:val="00C10678"/>
    <w:rsid w:val="00C106DF"/>
    <w:rsid w:val="00C1114F"/>
    <w:rsid w:val="00C11183"/>
    <w:rsid w:val="00C11197"/>
    <w:rsid w:val="00C1120D"/>
    <w:rsid w:val="00C11C33"/>
    <w:rsid w:val="00C11C73"/>
    <w:rsid w:val="00C11FE5"/>
    <w:rsid w:val="00C11FF6"/>
    <w:rsid w:val="00C1216B"/>
    <w:rsid w:val="00C1286D"/>
    <w:rsid w:val="00C12E86"/>
    <w:rsid w:val="00C12EB5"/>
    <w:rsid w:val="00C131A7"/>
    <w:rsid w:val="00C13329"/>
    <w:rsid w:val="00C13504"/>
    <w:rsid w:val="00C13757"/>
    <w:rsid w:val="00C13C8A"/>
    <w:rsid w:val="00C13F22"/>
    <w:rsid w:val="00C13F33"/>
    <w:rsid w:val="00C140FE"/>
    <w:rsid w:val="00C144B5"/>
    <w:rsid w:val="00C144EC"/>
    <w:rsid w:val="00C1481E"/>
    <w:rsid w:val="00C14BE8"/>
    <w:rsid w:val="00C15135"/>
    <w:rsid w:val="00C15595"/>
    <w:rsid w:val="00C1595F"/>
    <w:rsid w:val="00C159ED"/>
    <w:rsid w:val="00C1662C"/>
    <w:rsid w:val="00C16B93"/>
    <w:rsid w:val="00C16D89"/>
    <w:rsid w:val="00C17099"/>
    <w:rsid w:val="00C1733B"/>
    <w:rsid w:val="00C1741D"/>
    <w:rsid w:val="00C1745A"/>
    <w:rsid w:val="00C174EC"/>
    <w:rsid w:val="00C17593"/>
    <w:rsid w:val="00C177BA"/>
    <w:rsid w:val="00C1782C"/>
    <w:rsid w:val="00C17A44"/>
    <w:rsid w:val="00C17D7E"/>
    <w:rsid w:val="00C17D89"/>
    <w:rsid w:val="00C202D5"/>
    <w:rsid w:val="00C20613"/>
    <w:rsid w:val="00C2068D"/>
    <w:rsid w:val="00C206C4"/>
    <w:rsid w:val="00C206EC"/>
    <w:rsid w:val="00C20EEF"/>
    <w:rsid w:val="00C20F77"/>
    <w:rsid w:val="00C20FC7"/>
    <w:rsid w:val="00C218D5"/>
    <w:rsid w:val="00C21B1D"/>
    <w:rsid w:val="00C21C53"/>
    <w:rsid w:val="00C22106"/>
    <w:rsid w:val="00C222CF"/>
    <w:rsid w:val="00C22D15"/>
    <w:rsid w:val="00C232DD"/>
    <w:rsid w:val="00C23989"/>
    <w:rsid w:val="00C23FC7"/>
    <w:rsid w:val="00C24220"/>
    <w:rsid w:val="00C2423A"/>
    <w:rsid w:val="00C249CB"/>
    <w:rsid w:val="00C24CA2"/>
    <w:rsid w:val="00C24EE5"/>
    <w:rsid w:val="00C24F74"/>
    <w:rsid w:val="00C250CF"/>
    <w:rsid w:val="00C2544D"/>
    <w:rsid w:val="00C2577C"/>
    <w:rsid w:val="00C25D3A"/>
    <w:rsid w:val="00C25F37"/>
    <w:rsid w:val="00C261FB"/>
    <w:rsid w:val="00C263AE"/>
    <w:rsid w:val="00C267D7"/>
    <w:rsid w:val="00C26871"/>
    <w:rsid w:val="00C268B7"/>
    <w:rsid w:val="00C2695A"/>
    <w:rsid w:val="00C27146"/>
    <w:rsid w:val="00C2716B"/>
    <w:rsid w:val="00C274BE"/>
    <w:rsid w:val="00C307FA"/>
    <w:rsid w:val="00C30B8B"/>
    <w:rsid w:val="00C30C29"/>
    <w:rsid w:val="00C30D3F"/>
    <w:rsid w:val="00C30DAA"/>
    <w:rsid w:val="00C30DC8"/>
    <w:rsid w:val="00C30F1F"/>
    <w:rsid w:val="00C30F46"/>
    <w:rsid w:val="00C30FB5"/>
    <w:rsid w:val="00C30FB7"/>
    <w:rsid w:val="00C31089"/>
    <w:rsid w:val="00C31206"/>
    <w:rsid w:val="00C31237"/>
    <w:rsid w:val="00C314DF"/>
    <w:rsid w:val="00C3175A"/>
    <w:rsid w:val="00C31895"/>
    <w:rsid w:val="00C319A2"/>
    <w:rsid w:val="00C31CE7"/>
    <w:rsid w:val="00C3208A"/>
    <w:rsid w:val="00C32417"/>
    <w:rsid w:val="00C32475"/>
    <w:rsid w:val="00C32BB7"/>
    <w:rsid w:val="00C33033"/>
    <w:rsid w:val="00C333B6"/>
    <w:rsid w:val="00C336E5"/>
    <w:rsid w:val="00C339DE"/>
    <w:rsid w:val="00C33AA7"/>
    <w:rsid w:val="00C33DCE"/>
    <w:rsid w:val="00C34010"/>
    <w:rsid w:val="00C3463A"/>
    <w:rsid w:val="00C346BB"/>
    <w:rsid w:val="00C346C1"/>
    <w:rsid w:val="00C34C05"/>
    <w:rsid w:val="00C35659"/>
    <w:rsid w:val="00C3566B"/>
    <w:rsid w:val="00C35675"/>
    <w:rsid w:val="00C358DA"/>
    <w:rsid w:val="00C35A42"/>
    <w:rsid w:val="00C35B23"/>
    <w:rsid w:val="00C35D4F"/>
    <w:rsid w:val="00C3623D"/>
    <w:rsid w:val="00C36DAD"/>
    <w:rsid w:val="00C37050"/>
    <w:rsid w:val="00C37493"/>
    <w:rsid w:val="00C37984"/>
    <w:rsid w:val="00C37AEC"/>
    <w:rsid w:val="00C37CE7"/>
    <w:rsid w:val="00C37F07"/>
    <w:rsid w:val="00C37F85"/>
    <w:rsid w:val="00C37F8D"/>
    <w:rsid w:val="00C37FB7"/>
    <w:rsid w:val="00C4018E"/>
    <w:rsid w:val="00C40265"/>
    <w:rsid w:val="00C404D5"/>
    <w:rsid w:val="00C40509"/>
    <w:rsid w:val="00C40651"/>
    <w:rsid w:val="00C40876"/>
    <w:rsid w:val="00C40B5B"/>
    <w:rsid w:val="00C40B7D"/>
    <w:rsid w:val="00C41371"/>
    <w:rsid w:val="00C41C71"/>
    <w:rsid w:val="00C41CB0"/>
    <w:rsid w:val="00C41CC9"/>
    <w:rsid w:val="00C42130"/>
    <w:rsid w:val="00C42755"/>
    <w:rsid w:val="00C42784"/>
    <w:rsid w:val="00C42960"/>
    <w:rsid w:val="00C429E1"/>
    <w:rsid w:val="00C42DAF"/>
    <w:rsid w:val="00C43421"/>
    <w:rsid w:val="00C439F0"/>
    <w:rsid w:val="00C43C9C"/>
    <w:rsid w:val="00C43CE7"/>
    <w:rsid w:val="00C44189"/>
    <w:rsid w:val="00C4464F"/>
    <w:rsid w:val="00C447FB"/>
    <w:rsid w:val="00C44962"/>
    <w:rsid w:val="00C44ADA"/>
    <w:rsid w:val="00C45A9C"/>
    <w:rsid w:val="00C45B52"/>
    <w:rsid w:val="00C460F0"/>
    <w:rsid w:val="00C46253"/>
    <w:rsid w:val="00C46B53"/>
    <w:rsid w:val="00C46D92"/>
    <w:rsid w:val="00C470AA"/>
    <w:rsid w:val="00C47202"/>
    <w:rsid w:val="00C476F9"/>
    <w:rsid w:val="00C47AE8"/>
    <w:rsid w:val="00C5008A"/>
    <w:rsid w:val="00C50420"/>
    <w:rsid w:val="00C508B7"/>
    <w:rsid w:val="00C50D41"/>
    <w:rsid w:val="00C51445"/>
    <w:rsid w:val="00C515CC"/>
    <w:rsid w:val="00C5196E"/>
    <w:rsid w:val="00C51D11"/>
    <w:rsid w:val="00C5257E"/>
    <w:rsid w:val="00C531B4"/>
    <w:rsid w:val="00C532F9"/>
    <w:rsid w:val="00C5393D"/>
    <w:rsid w:val="00C53E22"/>
    <w:rsid w:val="00C54334"/>
    <w:rsid w:val="00C544DE"/>
    <w:rsid w:val="00C54568"/>
    <w:rsid w:val="00C54C62"/>
    <w:rsid w:val="00C55ADC"/>
    <w:rsid w:val="00C55B02"/>
    <w:rsid w:val="00C56282"/>
    <w:rsid w:val="00C5638E"/>
    <w:rsid w:val="00C56918"/>
    <w:rsid w:val="00C569CA"/>
    <w:rsid w:val="00C56A29"/>
    <w:rsid w:val="00C56AEC"/>
    <w:rsid w:val="00C5707E"/>
    <w:rsid w:val="00C5715F"/>
    <w:rsid w:val="00C5718B"/>
    <w:rsid w:val="00C5764A"/>
    <w:rsid w:val="00C57CC6"/>
    <w:rsid w:val="00C6014D"/>
    <w:rsid w:val="00C601EB"/>
    <w:rsid w:val="00C603BD"/>
    <w:rsid w:val="00C60EC1"/>
    <w:rsid w:val="00C61478"/>
    <w:rsid w:val="00C62027"/>
    <w:rsid w:val="00C62163"/>
    <w:rsid w:val="00C621EC"/>
    <w:rsid w:val="00C62271"/>
    <w:rsid w:val="00C62997"/>
    <w:rsid w:val="00C629E0"/>
    <w:rsid w:val="00C62BE7"/>
    <w:rsid w:val="00C62C31"/>
    <w:rsid w:val="00C633AB"/>
    <w:rsid w:val="00C6343A"/>
    <w:rsid w:val="00C63F3B"/>
    <w:rsid w:val="00C64376"/>
    <w:rsid w:val="00C64626"/>
    <w:rsid w:val="00C646FA"/>
    <w:rsid w:val="00C64849"/>
    <w:rsid w:val="00C64DBE"/>
    <w:rsid w:val="00C64EDC"/>
    <w:rsid w:val="00C658B2"/>
    <w:rsid w:val="00C65918"/>
    <w:rsid w:val="00C65D24"/>
    <w:rsid w:val="00C65F58"/>
    <w:rsid w:val="00C664AD"/>
    <w:rsid w:val="00C66571"/>
    <w:rsid w:val="00C666DB"/>
    <w:rsid w:val="00C667F6"/>
    <w:rsid w:val="00C66958"/>
    <w:rsid w:val="00C66B89"/>
    <w:rsid w:val="00C66C34"/>
    <w:rsid w:val="00C67231"/>
    <w:rsid w:val="00C67D1D"/>
    <w:rsid w:val="00C7040D"/>
    <w:rsid w:val="00C70B8C"/>
    <w:rsid w:val="00C70C4A"/>
    <w:rsid w:val="00C71468"/>
    <w:rsid w:val="00C71C8C"/>
    <w:rsid w:val="00C723AF"/>
    <w:rsid w:val="00C7251B"/>
    <w:rsid w:val="00C72EF5"/>
    <w:rsid w:val="00C73224"/>
    <w:rsid w:val="00C732C5"/>
    <w:rsid w:val="00C7357D"/>
    <w:rsid w:val="00C73B42"/>
    <w:rsid w:val="00C73ED5"/>
    <w:rsid w:val="00C740FD"/>
    <w:rsid w:val="00C74157"/>
    <w:rsid w:val="00C7448E"/>
    <w:rsid w:val="00C748E2"/>
    <w:rsid w:val="00C75004"/>
    <w:rsid w:val="00C75072"/>
    <w:rsid w:val="00C754BE"/>
    <w:rsid w:val="00C755E8"/>
    <w:rsid w:val="00C7576B"/>
    <w:rsid w:val="00C75970"/>
    <w:rsid w:val="00C75AC4"/>
    <w:rsid w:val="00C75B22"/>
    <w:rsid w:val="00C75C9D"/>
    <w:rsid w:val="00C75CD0"/>
    <w:rsid w:val="00C75EF9"/>
    <w:rsid w:val="00C75F5D"/>
    <w:rsid w:val="00C75FA9"/>
    <w:rsid w:val="00C761E5"/>
    <w:rsid w:val="00C76518"/>
    <w:rsid w:val="00C76816"/>
    <w:rsid w:val="00C76A56"/>
    <w:rsid w:val="00C76A6B"/>
    <w:rsid w:val="00C7731D"/>
    <w:rsid w:val="00C77571"/>
    <w:rsid w:val="00C775EF"/>
    <w:rsid w:val="00C77655"/>
    <w:rsid w:val="00C7799E"/>
    <w:rsid w:val="00C77DF7"/>
    <w:rsid w:val="00C77EFB"/>
    <w:rsid w:val="00C80547"/>
    <w:rsid w:val="00C80FD1"/>
    <w:rsid w:val="00C8198E"/>
    <w:rsid w:val="00C81B30"/>
    <w:rsid w:val="00C8203C"/>
    <w:rsid w:val="00C82387"/>
    <w:rsid w:val="00C82A8C"/>
    <w:rsid w:val="00C83685"/>
    <w:rsid w:val="00C83C4E"/>
    <w:rsid w:val="00C83E22"/>
    <w:rsid w:val="00C83F37"/>
    <w:rsid w:val="00C85253"/>
    <w:rsid w:val="00C8534D"/>
    <w:rsid w:val="00C85F32"/>
    <w:rsid w:val="00C8624E"/>
    <w:rsid w:val="00C86379"/>
    <w:rsid w:val="00C864DB"/>
    <w:rsid w:val="00C86544"/>
    <w:rsid w:val="00C86BDB"/>
    <w:rsid w:val="00C87014"/>
    <w:rsid w:val="00C87183"/>
    <w:rsid w:val="00C87304"/>
    <w:rsid w:val="00C87333"/>
    <w:rsid w:val="00C87764"/>
    <w:rsid w:val="00C8781D"/>
    <w:rsid w:val="00C901A9"/>
    <w:rsid w:val="00C905AC"/>
    <w:rsid w:val="00C907BE"/>
    <w:rsid w:val="00C90B43"/>
    <w:rsid w:val="00C90C65"/>
    <w:rsid w:val="00C90C82"/>
    <w:rsid w:val="00C90F7A"/>
    <w:rsid w:val="00C912A0"/>
    <w:rsid w:val="00C91516"/>
    <w:rsid w:val="00C91707"/>
    <w:rsid w:val="00C91AB8"/>
    <w:rsid w:val="00C91CFB"/>
    <w:rsid w:val="00C91FAC"/>
    <w:rsid w:val="00C9220C"/>
    <w:rsid w:val="00C92215"/>
    <w:rsid w:val="00C922C5"/>
    <w:rsid w:val="00C92352"/>
    <w:rsid w:val="00C924D8"/>
    <w:rsid w:val="00C92C2A"/>
    <w:rsid w:val="00C92FE9"/>
    <w:rsid w:val="00C9318C"/>
    <w:rsid w:val="00C93297"/>
    <w:rsid w:val="00C93B27"/>
    <w:rsid w:val="00C94508"/>
    <w:rsid w:val="00C945A6"/>
    <w:rsid w:val="00C945EC"/>
    <w:rsid w:val="00C94C81"/>
    <w:rsid w:val="00C94E45"/>
    <w:rsid w:val="00C95300"/>
    <w:rsid w:val="00C95548"/>
    <w:rsid w:val="00C955AD"/>
    <w:rsid w:val="00C95730"/>
    <w:rsid w:val="00C958CA"/>
    <w:rsid w:val="00C95962"/>
    <w:rsid w:val="00C95A8A"/>
    <w:rsid w:val="00C95CCD"/>
    <w:rsid w:val="00C95CD4"/>
    <w:rsid w:val="00C96A19"/>
    <w:rsid w:val="00C96FE0"/>
    <w:rsid w:val="00C973E2"/>
    <w:rsid w:val="00C975B2"/>
    <w:rsid w:val="00C97AF1"/>
    <w:rsid w:val="00CA09AA"/>
    <w:rsid w:val="00CA0BAF"/>
    <w:rsid w:val="00CA114D"/>
    <w:rsid w:val="00CA1225"/>
    <w:rsid w:val="00CA18D2"/>
    <w:rsid w:val="00CA2919"/>
    <w:rsid w:val="00CA2A7E"/>
    <w:rsid w:val="00CA2B09"/>
    <w:rsid w:val="00CA2C56"/>
    <w:rsid w:val="00CA3AA2"/>
    <w:rsid w:val="00CA4440"/>
    <w:rsid w:val="00CA468E"/>
    <w:rsid w:val="00CA48F7"/>
    <w:rsid w:val="00CA4A3F"/>
    <w:rsid w:val="00CA4C14"/>
    <w:rsid w:val="00CA4FE7"/>
    <w:rsid w:val="00CA51A0"/>
    <w:rsid w:val="00CA572F"/>
    <w:rsid w:val="00CA58B2"/>
    <w:rsid w:val="00CA5EB2"/>
    <w:rsid w:val="00CA6121"/>
    <w:rsid w:val="00CA6164"/>
    <w:rsid w:val="00CA63C6"/>
    <w:rsid w:val="00CA6435"/>
    <w:rsid w:val="00CA657E"/>
    <w:rsid w:val="00CA6BDE"/>
    <w:rsid w:val="00CA73B2"/>
    <w:rsid w:val="00CA74E8"/>
    <w:rsid w:val="00CA765C"/>
    <w:rsid w:val="00CA7EE9"/>
    <w:rsid w:val="00CA7FA3"/>
    <w:rsid w:val="00CB016A"/>
    <w:rsid w:val="00CB047F"/>
    <w:rsid w:val="00CB0C2A"/>
    <w:rsid w:val="00CB11BD"/>
    <w:rsid w:val="00CB1368"/>
    <w:rsid w:val="00CB1B2A"/>
    <w:rsid w:val="00CB1F2A"/>
    <w:rsid w:val="00CB2836"/>
    <w:rsid w:val="00CB2AF6"/>
    <w:rsid w:val="00CB2F65"/>
    <w:rsid w:val="00CB3C3B"/>
    <w:rsid w:val="00CB4798"/>
    <w:rsid w:val="00CB480A"/>
    <w:rsid w:val="00CB4F3A"/>
    <w:rsid w:val="00CB4FA5"/>
    <w:rsid w:val="00CB5170"/>
    <w:rsid w:val="00CB558B"/>
    <w:rsid w:val="00CB58DD"/>
    <w:rsid w:val="00CB5A9F"/>
    <w:rsid w:val="00CB5EF8"/>
    <w:rsid w:val="00CB6343"/>
    <w:rsid w:val="00CB6590"/>
    <w:rsid w:val="00CB68B3"/>
    <w:rsid w:val="00CB68CD"/>
    <w:rsid w:val="00CB6C21"/>
    <w:rsid w:val="00CB6F9E"/>
    <w:rsid w:val="00CB7648"/>
    <w:rsid w:val="00CB77AE"/>
    <w:rsid w:val="00CB7B6B"/>
    <w:rsid w:val="00CC0006"/>
    <w:rsid w:val="00CC009C"/>
    <w:rsid w:val="00CC00B7"/>
    <w:rsid w:val="00CC034B"/>
    <w:rsid w:val="00CC0AA7"/>
    <w:rsid w:val="00CC0C70"/>
    <w:rsid w:val="00CC0E56"/>
    <w:rsid w:val="00CC172A"/>
    <w:rsid w:val="00CC17E2"/>
    <w:rsid w:val="00CC1A18"/>
    <w:rsid w:val="00CC1C42"/>
    <w:rsid w:val="00CC1CA3"/>
    <w:rsid w:val="00CC1E3E"/>
    <w:rsid w:val="00CC1E40"/>
    <w:rsid w:val="00CC2559"/>
    <w:rsid w:val="00CC2690"/>
    <w:rsid w:val="00CC27F5"/>
    <w:rsid w:val="00CC2A12"/>
    <w:rsid w:val="00CC2D18"/>
    <w:rsid w:val="00CC2EFE"/>
    <w:rsid w:val="00CC2F54"/>
    <w:rsid w:val="00CC3009"/>
    <w:rsid w:val="00CC30F3"/>
    <w:rsid w:val="00CC3822"/>
    <w:rsid w:val="00CC3941"/>
    <w:rsid w:val="00CC3E8C"/>
    <w:rsid w:val="00CC4005"/>
    <w:rsid w:val="00CC400F"/>
    <w:rsid w:val="00CC4365"/>
    <w:rsid w:val="00CC4C5E"/>
    <w:rsid w:val="00CC4CCF"/>
    <w:rsid w:val="00CC4DB2"/>
    <w:rsid w:val="00CC4F58"/>
    <w:rsid w:val="00CC501E"/>
    <w:rsid w:val="00CC57AE"/>
    <w:rsid w:val="00CC5DD0"/>
    <w:rsid w:val="00CC606C"/>
    <w:rsid w:val="00CC61CE"/>
    <w:rsid w:val="00CC69E8"/>
    <w:rsid w:val="00CC6A8D"/>
    <w:rsid w:val="00CC6B0F"/>
    <w:rsid w:val="00CC6B27"/>
    <w:rsid w:val="00CC6B9F"/>
    <w:rsid w:val="00CC6C99"/>
    <w:rsid w:val="00CC728B"/>
    <w:rsid w:val="00CC7356"/>
    <w:rsid w:val="00CC74D5"/>
    <w:rsid w:val="00CC76DA"/>
    <w:rsid w:val="00CC7A6D"/>
    <w:rsid w:val="00CC7BD9"/>
    <w:rsid w:val="00CC7DF3"/>
    <w:rsid w:val="00CC7DF5"/>
    <w:rsid w:val="00CC7E0C"/>
    <w:rsid w:val="00CC7F2C"/>
    <w:rsid w:val="00CD0292"/>
    <w:rsid w:val="00CD04B6"/>
    <w:rsid w:val="00CD04FE"/>
    <w:rsid w:val="00CD0740"/>
    <w:rsid w:val="00CD0768"/>
    <w:rsid w:val="00CD0A59"/>
    <w:rsid w:val="00CD127E"/>
    <w:rsid w:val="00CD14CB"/>
    <w:rsid w:val="00CD1534"/>
    <w:rsid w:val="00CD179D"/>
    <w:rsid w:val="00CD1E6A"/>
    <w:rsid w:val="00CD1E74"/>
    <w:rsid w:val="00CD223B"/>
    <w:rsid w:val="00CD2483"/>
    <w:rsid w:val="00CD2585"/>
    <w:rsid w:val="00CD25A6"/>
    <w:rsid w:val="00CD2704"/>
    <w:rsid w:val="00CD283A"/>
    <w:rsid w:val="00CD2993"/>
    <w:rsid w:val="00CD2B04"/>
    <w:rsid w:val="00CD2C72"/>
    <w:rsid w:val="00CD309B"/>
    <w:rsid w:val="00CD3122"/>
    <w:rsid w:val="00CD325D"/>
    <w:rsid w:val="00CD325F"/>
    <w:rsid w:val="00CD3675"/>
    <w:rsid w:val="00CD3691"/>
    <w:rsid w:val="00CD3B2F"/>
    <w:rsid w:val="00CD3D0C"/>
    <w:rsid w:val="00CD3E10"/>
    <w:rsid w:val="00CD3F09"/>
    <w:rsid w:val="00CD3FAF"/>
    <w:rsid w:val="00CD492B"/>
    <w:rsid w:val="00CD5656"/>
    <w:rsid w:val="00CD5661"/>
    <w:rsid w:val="00CD58A4"/>
    <w:rsid w:val="00CD5C02"/>
    <w:rsid w:val="00CD5E4A"/>
    <w:rsid w:val="00CD5EBF"/>
    <w:rsid w:val="00CD61E3"/>
    <w:rsid w:val="00CD6814"/>
    <w:rsid w:val="00CD6E0B"/>
    <w:rsid w:val="00CD6F88"/>
    <w:rsid w:val="00CD787F"/>
    <w:rsid w:val="00CE0044"/>
    <w:rsid w:val="00CE025E"/>
    <w:rsid w:val="00CE030D"/>
    <w:rsid w:val="00CE03B6"/>
    <w:rsid w:val="00CE05F2"/>
    <w:rsid w:val="00CE069B"/>
    <w:rsid w:val="00CE0ACE"/>
    <w:rsid w:val="00CE0B1F"/>
    <w:rsid w:val="00CE0B40"/>
    <w:rsid w:val="00CE0CBF"/>
    <w:rsid w:val="00CE112E"/>
    <w:rsid w:val="00CE1162"/>
    <w:rsid w:val="00CE1225"/>
    <w:rsid w:val="00CE132D"/>
    <w:rsid w:val="00CE152F"/>
    <w:rsid w:val="00CE1A8E"/>
    <w:rsid w:val="00CE1EE2"/>
    <w:rsid w:val="00CE2105"/>
    <w:rsid w:val="00CE212D"/>
    <w:rsid w:val="00CE253D"/>
    <w:rsid w:val="00CE2561"/>
    <w:rsid w:val="00CE2E29"/>
    <w:rsid w:val="00CE3257"/>
    <w:rsid w:val="00CE3267"/>
    <w:rsid w:val="00CE37BB"/>
    <w:rsid w:val="00CE3B10"/>
    <w:rsid w:val="00CE46DA"/>
    <w:rsid w:val="00CE4FAE"/>
    <w:rsid w:val="00CE5180"/>
    <w:rsid w:val="00CE5594"/>
    <w:rsid w:val="00CE56E1"/>
    <w:rsid w:val="00CE5A7E"/>
    <w:rsid w:val="00CE5E50"/>
    <w:rsid w:val="00CE5FE5"/>
    <w:rsid w:val="00CE697C"/>
    <w:rsid w:val="00CE69F3"/>
    <w:rsid w:val="00CE6AD5"/>
    <w:rsid w:val="00CE6E24"/>
    <w:rsid w:val="00CE6F20"/>
    <w:rsid w:val="00CE76BD"/>
    <w:rsid w:val="00CE79BC"/>
    <w:rsid w:val="00CE7A06"/>
    <w:rsid w:val="00CE7E65"/>
    <w:rsid w:val="00CF01BC"/>
    <w:rsid w:val="00CF02AC"/>
    <w:rsid w:val="00CF057C"/>
    <w:rsid w:val="00CF06E6"/>
    <w:rsid w:val="00CF14C3"/>
    <w:rsid w:val="00CF170A"/>
    <w:rsid w:val="00CF18AB"/>
    <w:rsid w:val="00CF1AA6"/>
    <w:rsid w:val="00CF2054"/>
    <w:rsid w:val="00CF20C8"/>
    <w:rsid w:val="00CF22F9"/>
    <w:rsid w:val="00CF233B"/>
    <w:rsid w:val="00CF23D5"/>
    <w:rsid w:val="00CF2639"/>
    <w:rsid w:val="00CF277A"/>
    <w:rsid w:val="00CF2FBF"/>
    <w:rsid w:val="00CF31AE"/>
    <w:rsid w:val="00CF33BA"/>
    <w:rsid w:val="00CF394D"/>
    <w:rsid w:val="00CF3976"/>
    <w:rsid w:val="00CF3F01"/>
    <w:rsid w:val="00CF4079"/>
    <w:rsid w:val="00CF43E3"/>
    <w:rsid w:val="00CF46D0"/>
    <w:rsid w:val="00CF46E1"/>
    <w:rsid w:val="00CF470F"/>
    <w:rsid w:val="00CF4743"/>
    <w:rsid w:val="00CF4FF0"/>
    <w:rsid w:val="00CF50A9"/>
    <w:rsid w:val="00CF516D"/>
    <w:rsid w:val="00CF542D"/>
    <w:rsid w:val="00CF61A3"/>
    <w:rsid w:val="00CF66DE"/>
    <w:rsid w:val="00CF6848"/>
    <w:rsid w:val="00CF6AF3"/>
    <w:rsid w:val="00CF6C9A"/>
    <w:rsid w:val="00CF6E82"/>
    <w:rsid w:val="00CF6F14"/>
    <w:rsid w:val="00CF6F64"/>
    <w:rsid w:val="00CF7A5C"/>
    <w:rsid w:val="00CF7CCF"/>
    <w:rsid w:val="00CF7FC8"/>
    <w:rsid w:val="00D00419"/>
    <w:rsid w:val="00D00522"/>
    <w:rsid w:val="00D00B22"/>
    <w:rsid w:val="00D00C15"/>
    <w:rsid w:val="00D00CA2"/>
    <w:rsid w:val="00D011DE"/>
    <w:rsid w:val="00D017EE"/>
    <w:rsid w:val="00D0182B"/>
    <w:rsid w:val="00D0186E"/>
    <w:rsid w:val="00D01C73"/>
    <w:rsid w:val="00D01E6B"/>
    <w:rsid w:val="00D02369"/>
    <w:rsid w:val="00D02C36"/>
    <w:rsid w:val="00D02E17"/>
    <w:rsid w:val="00D03E71"/>
    <w:rsid w:val="00D0407B"/>
    <w:rsid w:val="00D04BA3"/>
    <w:rsid w:val="00D04FC8"/>
    <w:rsid w:val="00D05393"/>
    <w:rsid w:val="00D05962"/>
    <w:rsid w:val="00D05A13"/>
    <w:rsid w:val="00D05FD4"/>
    <w:rsid w:val="00D06088"/>
    <w:rsid w:val="00D0675C"/>
    <w:rsid w:val="00D06800"/>
    <w:rsid w:val="00D06923"/>
    <w:rsid w:val="00D06B22"/>
    <w:rsid w:val="00D06C97"/>
    <w:rsid w:val="00D06DED"/>
    <w:rsid w:val="00D0703C"/>
    <w:rsid w:val="00D0735B"/>
    <w:rsid w:val="00D078A9"/>
    <w:rsid w:val="00D078C9"/>
    <w:rsid w:val="00D0794F"/>
    <w:rsid w:val="00D07DCA"/>
    <w:rsid w:val="00D07DFE"/>
    <w:rsid w:val="00D1014E"/>
    <w:rsid w:val="00D105EB"/>
    <w:rsid w:val="00D1099B"/>
    <w:rsid w:val="00D11255"/>
    <w:rsid w:val="00D11668"/>
    <w:rsid w:val="00D1168A"/>
    <w:rsid w:val="00D11873"/>
    <w:rsid w:val="00D11C58"/>
    <w:rsid w:val="00D11C73"/>
    <w:rsid w:val="00D11EEE"/>
    <w:rsid w:val="00D11FAE"/>
    <w:rsid w:val="00D12440"/>
    <w:rsid w:val="00D12487"/>
    <w:rsid w:val="00D126E6"/>
    <w:rsid w:val="00D128DA"/>
    <w:rsid w:val="00D12B75"/>
    <w:rsid w:val="00D12CF8"/>
    <w:rsid w:val="00D12E9B"/>
    <w:rsid w:val="00D132BF"/>
    <w:rsid w:val="00D13880"/>
    <w:rsid w:val="00D13BBC"/>
    <w:rsid w:val="00D13CCD"/>
    <w:rsid w:val="00D14204"/>
    <w:rsid w:val="00D14231"/>
    <w:rsid w:val="00D142BC"/>
    <w:rsid w:val="00D14C26"/>
    <w:rsid w:val="00D14D67"/>
    <w:rsid w:val="00D153CD"/>
    <w:rsid w:val="00D156B2"/>
    <w:rsid w:val="00D15B1E"/>
    <w:rsid w:val="00D15D9D"/>
    <w:rsid w:val="00D1624D"/>
    <w:rsid w:val="00D16A31"/>
    <w:rsid w:val="00D16AC4"/>
    <w:rsid w:val="00D16BA8"/>
    <w:rsid w:val="00D16C64"/>
    <w:rsid w:val="00D174E5"/>
    <w:rsid w:val="00D17D76"/>
    <w:rsid w:val="00D17F37"/>
    <w:rsid w:val="00D20171"/>
    <w:rsid w:val="00D2024B"/>
    <w:rsid w:val="00D202D3"/>
    <w:rsid w:val="00D20420"/>
    <w:rsid w:val="00D20667"/>
    <w:rsid w:val="00D20EA9"/>
    <w:rsid w:val="00D20F77"/>
    <w:rsid w:val="00D2109E"/>
    <w:rsid w:val="00D215E6"/>
    <w:rsid w:val="00D2171B"/>
    <w:rsid w:val="00D217CE"/>
    <w:rsid w:val="00D22148"/>
    <w:rsid w:val="00D22D2B"/>
    <w:rsid w:val="00D2322E"/>
    <w:rsid w:val="00D23556"/>
    <w:rsid w:val="00D2390D"/>
    <w:rsid w:val="00D23972"/>
    <w:rsid w:val="00D23B89"/>
    <w:rsid w:val="00D23BDF"/>
    <w:rsid w:val="00D23CE2"/>
    <w:rsid w:val="00D23EAA"/>
    <w:rsid w:val="00D24F47"/>
    <w:rsid w:val="00D2592C"/>
    <w:rsid w:val="00D26199"/>
    <w:rsid w:val="00D261FB"/>
    <w:rsid w:val="00D26283"/>
    <w:rsid w:val="00D263B5"/>
    <w:rsid w:val="00D26586"/>
    <w:rsid w:val="00D268F4"/>
    <w:rsid w:val="00D269DE"/>
    <w:rsid w:val="00D26DBE"/>
    <w:rsid w:val="00D2706E"/>
    <w:rsid w:val="00D27124"/>
    <w:rsid w:val="00D27808"/>
    <w:rsid w:val="00D27C31"/>
    <w:rsid w:val="00D27DF2"/>
    <w:rsid w:val="00D27F01"/>
    <w:rsid w:val="00D30B57"/>
    <w:rsid w:val="00D30B60"/>
    <w:rsid w:val="00D30C46"/>
    <w:rsid w:val="00D30C9F"/>
    <w:rsid w:val="00D30DBA"/>
    <w:rsid w:val="00D30F15"/>
    <w:rsid w:val="00D30FC7"/>
    <w:rsid w:val="00D31040"/>
    <w:rsid w:val="00D3114A"/>
    <w:rsid w:val="00D31484"/>
    <w:rsid w:val="00D31B9F"/>
    <w:rsid w:val="00D31BEA"/>
    <w:rsid w:val="00D32105"/>
    <w:rsid w:val="00D32120"/>
    <w:rsid w:val="00D32446"/>
    <w:rsid w:val="00D329ED"/>
    <w:rsid w:val="00D32B6E"/>
    <w:rsid w:val="00D32DA4"/>
    <w:rsid w:val="00D33313"/>
    <w:rsid w:val="00D33410"/>
    <w:rsid w:val="00D33AB3"/>
    <w:rsid w:val="00D33AFC"/>
    <w:rsid w:val="00D33C0C"/>
    <w:rsid w:val="00D33D07"/>
    <w:rsid w:val="00D33FF2"/>
    <w:rsid w:val="00D33FF8"/>
    <w:rsid w:val="00D3410B"/>
    <w:rsid w:val="00D344C9"/>
    <w:rsid w:val="00D34538"/>
    <w:rsid w:val="00D3461F"/>
    <w:rsid w:val="00D34B62"/>
    <w:rsid w:val="00D34FE1"/>
    <w:rsid w:val="00D351E7"/>
    <w:rsid w:val="00D353FF"/>
    <w:rsid w:val="00D35BE8"/>
    <w:rsid w:val="00D3609F"/>
    <w:rsid w:val="00D3610A"/>
    <w:rsid w:val="00D3646C"/>
    <w:rsid w:val="00D3668C"/>
    <w:rsid w:val="00D366E7"/>
    <w:rsid w:val="00D366ED"/>
    <w:rsid w:val="00D369EA"/>
    <w:rsid w:val="00D36C8E"/>
    <w:rsid w:val="00D36ED5"/>
    <w:rsid w:val="00D37C2D"/>
    <w:rsid w:val="00D37DFC"/>
    <w:rsid w:val="00D37EA0"/>
    <w:rsid w:val="00D40274"/>
    <w:rsid w:val="00D403D9"/>
    <w:rsid w:val="00D404CE"/>
    <w:rsid w:val="00D40E25"/>
    <w:rsid w:val="00D40E78"/>
    <w:rsid w:val="00D41009"/>
    <w:rsid w:val="00D41031"/>
    <w:rsid w:val="00D41901"/>
    <w:rsid w:val="00D419AC"/>
    <w:rsid w:val="00D41BD5"/>
    <w:rsid w:val="00D41CD0"/>
    <w:rsid w:val="00D420DA"/>
    <w:rsid w:val="00D421D9"/>
    <w:rsid w:val="00D422E4"/>
    <w:rsid w:val="00D429DA"/>
    <w:rsid w:val="00D42B71"/>
    <w:rsid w:val="00D42B88"/>
    <w:rsid w:val="00D4347A"/>
    <w:rsid w:val="00D435FC"/>
    <w:rsid w:val="00D43888"/>
    <w:rsid w:val="00D43E9E"/>
    <w:rsid w:val="00D440D2"/>
    <w:rsid w:val="00D44232"/>
    <w:rsid w:val="00D4429F"/>
    <w:rsid w:val="00D44336"/>
    <w:rsid w:val="00D448BD"/>
    <w:rsid w:val="00D44A5C"/>
    <w:rsid w:val="00D44A68"/>
    <w:rsid w:val="00D4551B"/>
    <w:rsid w:val="00D45581"/>
    <w:rsid w:val="00D45C69"/>
    <w:rsid w:val="00D45ED8"/>
    <w:rsid w:val="00D466E5"/>
    <w:rsid w:val="00D467C7"/>
    <w:rsid w:val="00D4688E"/>
    <w:rsid w:val="00D46899"/>
    <w:rsid w:val="00D46B9E"/>
    <w:rsid w:val="00D46C9C"/>
    <w:rsid w:val="00D46F2D"/>
    <w:rsid w:val="00D471EF"/>
    <w:rsid w:val="00D471F9"/>
    <w:rsid w:val="00D475CC"/>
    <w:rsid w:val="00D477E2"/>
    <w:rsid w:val="00D47C14"/>
    <w:rsid w:val="00D501B2"/>
    <w:rsid w:val="00D502B4"/>
    <w:rsid w:val="00D5044A"/>
    <w:rsid w:val="00D5082A"/>
    <w:rsid w:val="00D50C12"/>
    <w:rsid w:val="00D50F95"/>
    <w:rsid w:val="00D5102A"/>
    <w:rsid w:val="00D512CE"/>
    <w:rsid w:val="00D513F0"/>
    <w:rsid w:val="00D5146D"/>
    <w:rsid w:val="00D51565"/>
    <w:rsid w:val="00D5163E"/>
    <w:rsid w:val="00D51AAF"/>
    <w:rsid w:val="00D51CBB"/>
    <w:rsid w:val="00D51F84"/>
    <w:rsid w:val="00D51F90"/>
    <w:rsid w:val="00D520D5"/>
    <w:rsid w:val="00D52200"/>
    <w:rsid w:val="00D525A6"/>
    <w:rsid w:val="00D5294C"/>
    <w:rsid w:val="00D530A8"/>
    <w:rsid w:val="00D5342F"/>
    <w:rsid w:val="00D53539"/>
    <w:rsid w:val="00D53768"/>
    <w:rsid w:val="00D53C63"/>
    <w:rsid w:val="00D541D1"/>
    <w:rsid w:val="00D54256"/>
    <w:rsid w:val="00D54613"/>
    <w:rsid w:val="00D54B87"/>
    <w:rsid w:val="00D54C59"/>
    <w:rsid w:val="00D54D88"/>
    <w:rsid w:val="00D55115"/>
    <w:rsid w:val="00D5521C"/>
    <w:rsid w:val="00D552BA"/>
    <w:rsid w:val="00D554E6"/>
    <w:rsid w:val="00D55723"/>
    <w:rsid w:val="00D55AF5"/>
    <w:rsid w:val="00D55B68"/>
    <w:rsid w:val="00D55C37"/>
    <w:rsid w:val="00D55E77"/>
    <w:rsid w:val="00D56330"/>
    <w:rsid w:val="00D563C2"/>
    <w:rsid w:val="00D56450"/>
    <w:rsid w:val="00D56544"/>
    <w:rsid w:val="00D56561"/>
    <w:rsid w:val="00D5660E"/>
    <w:rsid w:val="00D56C31"/>
    <w:rsid w:val="00D56CD7"/>
    <w:rsid w:val="00D56D65"/>
    <w:rsid w:val="00D56E86"/>
    <w:rsid w:val="00D572B2"/>
    <w:rsid w:val="00D57440"/>
    <w:rsid w:val="00D578C5"/>
    <w:rsid w:val="00D57927"/>
    <w:rsid w:val="00D57C20"/>
    <w:rsid w:val="00D57F0A"/>
    <w:rsid w:val="00D60032"/>
    <w:rsid w:val="00D600BE"/>
    <w:rsid w:val="00D60207"/>
    <w:rsid w:val="00D60321"/>
    <w:rsid w:val="00D60BCB"/>
    <w:rsid w:val="00D60CB2"/>
    <w:rsid w:val="00D60DD4"/>
    <w:rsid w:val="00D610A5"/>
    <w:rsid w:val="00D6154D"/>
    <w:rsid w:val="00D6157E"/>
    <w:rsid w:val="00D61834"/>
    <w:rsid w:val="00D61B0F"/>
    <w:rsid w:val="00D61C1E"/>
    <w:rsid w:val="00D620D9"/>
    <w:rsid w:val="00D62141"/>
    <w:rsid w:val="00D62243"/>
    <w:rsid w:val="00D62334"/>
    <w:rsid w:val="00D6278F"/>
    <w:rsid w:val="00D628DE"/>
    <w:rsid w:val="00D62949"/>
    <w:rsid w:val="00D62C7C"/>
    <w:rsid w:val="00D62DEC"/>
    <w:rsid w:val="00D63BAD"/>
    <w:rsid w:val="00D63C5F"/>
    <w:rsid w:val="00D64071"/>
    <w:rsid w:val="00D640A3"/>
    <w:rsid w:val="00D6410E"/>
    <w:rsid w:val="00D64176"/>
    <w:rsid w:val="00D64280"/>
    <w:rsid w:val="00D642FA"/>
    <w:rsid w:val="00D6433E"/>
    <w:rsid w:val="00D64346"/>
    <w:rsid w:val="00D6447E"/>
    <w:rsid w:val="00D647F9"/>
    <w:rsid w:val="00D6485C"/>
    <w:rsid w:val="00D64CB8"/>
    <w:rsid w:val="00D64D13"/>
    <w:rsid w:val="00D65404"/>
    <w:rsid w:val="00D6575A"/>
    <w:rsid w:val="00D65837"/>
    <w:rsid w:val="00D65AAD"/>
    <w:rsid w:val="00D66022"/>
    <w:rsid w:val="00D66065"/>
    <w:rsid w:val="00D662E2"/>
    <w:rsid w:val="00D668FD"/>
    <w:rsid w:val="00D66B74"/>
    <w:rsid w:val="00D66DAA"/>
    <w:rsid w:val="00D7010A"/>
    <w:rsid w:val="00D7040B"/>
    <w:rsid w:val="00D70893"/>
    <w:rsid w:val="00D70938"/>
    <w:rsid w:val="00D70F5E"/>
    <w:rsid w:val="00D70F87"/>
    <w:rsid w:val="00D7123A"/>
    <w:rsid w:val="00D71259"/>
    <w:rsid w:val="00D71C26"/>
    <w:rsid w:val="00D71D45"/>
    <w:rsid w:val="00D72EBF"/>
    <w:rsid w:val="00D73209"/>
    <w:rsid w:val="00D73347"/>
    <w:rsid w:val="00D73A3C"/>
    <w:rsid w:val="00D73A6B"/>
    <w:rsid w:val="00D73B96"/>
    <w:rsid w:val="00D73DAD"/>
    <w:rsid w:val="00D73DE0"/>
    <w:rsid w:val="00D73E0D"/>
    <w:rsid w:val="00D740A5"/>
    <w:rsid w:val="00D740FC"/>
    <w:rsid w:val="00D74461"/>
    <w:rsid w:val="00D7480B"/>
    <w:rsid w:val="00D74AF7"/>
    <w:rsid w:val="00D74EA0"/>
    <w:rsid w:val="00D7505F"/>
    <w:rsid w:val="00D7568F"/>
    <w:rsid w:val="00D75843"/>
    <w:rsid w:val="00D758A0"/>
    <w:rsid w:val="00D758A1"/>
    <w:rsid w:val="00D75CD8"/>
    <w:rsid w:val="00D75E85"/>
    <w:rsid w:val="00D761CB"/>
    <w:rsid w:val="00D76899"/>
    <w:rsid w:val="00D76A4B"/>
    <w:rsid w:val="00D76C32"/>
    <w:rsid w:val="00D76DDA"/>
    <w:rsid w:val="00D76E83"/>
    <w:rsid w:val="00D771C9"/>
    <w:rsid w:val="00D776BC"/>
    <w:rsid w:val="00D776EF"/>
    <w:rsid w:val="00D778C8"/>
    <w:rsid w:val="00D77B6A"/>
    <w:rsid w:val="00D77C05"/>
    <w:rsid w:val="00D800A1"/>
    <w:rsid w:val="00D801DE"/>
    <w:rsid w:val="00D8036A"/>
    <w:rsid w:val="00D80AB8"/>
    <w:rsid w:val="00D80C93"/>
    <w:rsid w:val="00D80CCB"/>
    <w:rsid w:val="00D80EC2"/>
    <w:rsid w:val="00D812D3"/>
    <w:rsid w:val="00D81307"/>
    <w:rsid w:val="00D8150F"/>
    <w:rsid w:val="00D817FD"/>
    <w:rsid w:val="00D81AF1"/>
    <w:rsid w:val="00D81E9C"/>
    <w:rsid w:val="00D81F02"/>
    <w:rsid w:val="00D820F3"/>
    <w:rsid w:val="00D8228D"/>
    <w:rsid w:val="00D829AC"/>
    <w:rsid w:val="00D83401"/>
    <w:rsid w:val="00D838CD"/>
    <w:rsid w:val="00D83B14"/>
    <w:rsid w:val="00D83EE4"/>
    <w:rsid w:val="00D83F5B"/>
    <w:rsid w:val="00D84268"/>
    <w:rsid w:val="00D84464"/>
    <w:rsid w:val="00D846C5"/>
    <w:rsid w:val="00D84825"/>
    <w:rsid w:val="00D84BF5"/>
    <w:rsid w:val="00D84C06"/>
    <w:rsid w:val="00D84F0F"/>
    <w:rsid w:val="00D853C3"/>
    <w:rsid w:val="00D8588D"/>
    <w:rsid w:val="00D85C44"/>
    <w:rsid w:val="00D86343"/>
    <w:rsid w:val="00D864CB"/>
    <w:rsid w:val="00D866AB"/>
    <w:rsid w:val="00D86B37"/>
    <w:rsid w:val="00D86ED1"/>
    <w:rsid w:val="00D87154"/>
    <w:rsid w:val="00D8757E"/>
    <w:rsid w:val="00D8778A"/>
    <w:rsid w:val="00D87F82"/>
    <w:rsid w:val="00D91009"/>
    <w:rsid w:val="00D9120D"/>
    <w:rsid w:val="00D9126A"/>
    <w:rsid w:val="00D912DF"/>
    <w:rsid w:val="00D9160F"/>
    <w:rsid w:val="00D9163E"/>
    <w:rsid w:val="00D919CC"/>
    <w:rsid w:val="00D91C54"/>
    <w:rsid w:val="00D91E52"/>
    <w:rsid w:val="00D91F8C"/>
    <w:rsid w:val="00D921E5"/>
    <w:rsid w:val="00D92265"/>
    <w:rsid w:val="00D9230B"/>
    <w:rsid w:val="00D923B9"/>
    <w:rsid w:val="00D92558"/>
    <w:rsid w:val="00D92559"/>
    <w:rsid w:val="00D92633"/>
    <w:rsid w:val="00D92CBC"/>
    <w:rsid w:val="00D92FD3"/>
    <w:rsid w:val="00D931F2"/>
    <w:rsid w:val="00D936E8"/>
    <w:rsid w:val="00D93C02"/>
    <w:rsid w:val="00D93D5E"/>
    <w:rsid w:val="00D940B3"/>
    <w:rsid w:val="00D941FC"/>
    <w:rsid w:val="00D948A0"/>
    <w:rsid w:val="00D94BA1"/>
    <w:rsid w:val="00D94BB0"/>
    <w:rsid w:val="00D94FF3"/>
    <w:rsid w:val="00D957C0"/>
    <w:rsid w:val="00D95979"/>
    <w:rsid w:val="00D95ACF"/>
    <w:rsid w:val="00D95BF0"/>
    <w:rsid w:val="00D95BFF"/>
    <w:rsid w:val="00D95D99"/>
    <w:rsid w:val="00D95F44"/>
    <w:rsid w:val="00D96193"/>
    <w:rsid w:val="00D9653C"/>
    <w:rsid w:val="00D96780"/>
    <w:rsid w:val="00D96DD2"/>
    <w:rsid w:val="00D97DCE"/>
    <w:rsid w:val="00D97E86"/>
    <w:rsid w:val="00D97FD5"/>
    <w:rsid w:val="00DA00AA"/>
    <w:rsid w:val="00DA0FC0"/>
    <w:rsid w:val="00DA132A"/>
    <w:rsid w:val="00DA1D80"/>
    <w:rsid w:val="00DA2046"/>
    <w:rsid w:val="00DA23D2"/>
    <w:rsid w:val="00DA25F8"/>
    <w:rsid w:val="00DA29C4"/>
    <w:rsid w:val="00DA2B47"/>
    <w:rsid w:val="00DA2CD7"/>
    <w:rsid w:val="00DA2D90"/>
    <w:rsid w:val="00DA3335"/>
    <w:rsid w:val="00DA3462"/>
    <w:rsid w:val="00DA392D"/>
    <w:rsid w:val="00DA3A76"/>
    <w:rsid w:val="00DA3B43"/>
    <w:rsid w:val="00DA3BE7"/>
    <w:rsid w:val="00DA3EEC"/>
    <w:rsid w:val="00DA3F00"/>
    <w:rsid w:val="00DA43CA"/>
    <w:rsid w:val="00DA43D6"/>
    <w:rsid w:val="00DA492A"/>
    <w:rsid w:val="00DA4A0C"/>
    <w:rsid w:val="00DA4D11"/>
    <w:rsid w:val="00DA5287"/>
    <w:rsid w:val="00DA55AC"/>
    <w:rsid w:val="00DA56A4"/>
    <w:rsid w:val="00DA5755"/>
    <w:rsid w:val="00DA59A6"/>
    <w:rsid w:val="00DA5A53"/>
    <w:rsid w:val="00DA5CA9"/>
    <w:rsid w:val="00DA5E7E"/>
    <w:rsid w:val="00DA5EB0"/>
    <w:rsid w:val="00DA611E"/>
    <w:rsid w:val="00DA64EB"/>
    <w:rsid w:val="00DA6BC3"/>
    <w:rsid w:val="00DA6BDD"/>
    <w:rsid w:val="00DA714A"/>
    <w:rsid w:val="00DA71AF"/>
    <w:rsid w:val="00DA727D"/>
    <w:rsid w:val="00DA73A7"/>
    <w:rsid w:val="00DA7765"/>
    <w:rsid w:val="00DA7A85"/>
    <w:rsid w:val="00DA7AD2"/>
    <w:rsid w:val="00DA7BC7"/>
    <w:rsid w:val="00DA7D8E"/>
    <w:rsid w:val="00DA7E4C"/>
    <w:rsid w:val="00DA7E98"/>
    <w:rsid w:val="00DB0487"/>
    <w:rsid w:val="00DB0564"/>
    <w:rsid w:val="00DB05C8"/>
    <w:rsid w:val="00DB081D"/>
    <w:rsid w:val="00DB0F48"/>
    <w:rsid w:val="00DB0FA2"/>
    <w:rsid w:val="00DB1083"/>
    <w:rsid w:val="00DB1239"/>
    <w:rsid w:val="00DB1312"/>
    <w:rsid w:val="00DB1539"/>
    <w:rsid w:val="00DB1657"/>
    <w:rsid w:val="00DB1F98"/>
    <w:rsid w:val="00DB2551"/>
    <w:rsid w:val="00DB2706"/>
    <w:rsid w:val="00DB286C"/>
    <w:rsid w:val="00DB2DC2"/>
    <w:rsid w:val="00DB3318"/>
    <w:rsid w:val="00DB3560"/>
    <w:rsid w:val="00DB35C7"/>
    <w:rsid w:val="00DB39DE"/>
    <w:rsid w:val="00DB3D52"/>
    <w:rsid w:val="00DB3E93"/>
    <w:rsid w:val="00DB40C0"/>
    <w:rsid w:val="00DB4102"/>
    <w:rsid w:val="00DB42C3"/>
    <w:rsid w:val="00DB4322"/>
    <w:rsid w:val="00DB4F9D"/>
    <w:rsid w:val="00DB5512"/>
    <w:rsid w:val="00DB5863"/>
    <w:rsid w:val="00DB5A21"/>
    <w:rsid w:val="00DB5A6E"/>
    <w:rsid w:val="00DB5BEA"/>
    <w:rsid w:val="00DB5CAA"/>
    <w:rsid w:val="00DB5DEB"/>
    <w:rsid w:val="00DB5EE5"/>
    <w:rsid w:val="00DB6231"/>
    <w:rsid w:val="00DB62A6"/>
    <w:rsid w:val="00DB6500"/>
    <w:rsid w:val="00DB6598"/>
    <w:rsid w:val="00DB6798"/>
    <w:rsid w:val="00DB68FF"/>
    <w:rsid w:val="00DB6FA9"/>
    <w:rsid w:val="00DB71FD"/>
    <w:rsid w:val="00DB7427"/>
    <w:rsid w:val="00DB749A"/>
    <w:rsid w:val="00DB777F"/>
    <w:rsid w:val="00DB79CC"/>
    <w:rsid w:val="00DB7E8C"/>
    <w:rsid w:val="00DC049B"/>
    <w:rsid w:val="00DC0534"/>
    <w:rsid w:val="00DC0715"/>
    <w:rsid w:val="00DC074E"/>
    <w:rsid w:val="00DC0856"/>
    <w:rsid w:val="00DC0E5C"/>
    <w:rsid w:val="00DC0F93"/>
    <w:rsid w:val="00DC12FB"/>
    <w:rsid w:val="00DC1384"/>
    <w:rsid w:val="00DC13D4"/>
    <w:rsid w:val="00DC1479"/>
    <w:rsid w:val="00DC1624"/>
    <w:rsid w:val="00DC1763"/>
    <w:rsid w:val="00DC1D22"/>
    <w:rsid w:val="00DC1F1F"/>
    <w:rsid w:val="00DC2188"/>
    <w:rsid w:val="00DC22B7"/>
    <w:rsid w:val="00DC257F"/>
    <w:rsid w:val="00DC2898"/>
    <w:rsid w:val="00DC28A6"/>
    <w:rsid w:val="00DC28EC"/>
    <w:rsid w:val="00DC2BA7"/>
    <w:rsid w:val="00DC392F"/>
    <w:rsid w:val="00DC39A3"/>
    <w:rsid w:val="00DC3B0D"/>
    <w:rsid w:val="00DC3C8A"/>
    <w:rsid w:val="00DC3E1F"/>
    <w:rsid w:val="00DC452B"/>
    <w:rsid w:val="00DC4B72"/>
    <w:rsid w:val="00DC4C3C"/>
    <w:rsid w:val="00DC4CCD"/>
    <w:rsid w:val="00DC4D82"/>
    <w:rsid w:val="00DC4E9C"/>
    <w:rsid w:val="00DC522A"/>
    <w:rsid w:val="00DC522F"/>
    <w:rsid w:val="00DC574D"/>
    <w:rsid w:val="00DC588E"/>
    <w:rsid w:val="00DC5E66"/>
    <w:rsid w:val="00DC6419"/>
    <w:rsid w:val="00DC65D8"/>
    <w:rsid w:val="00DC6A90"/>
    <w:rsid w:val="00DC6A94"/>
    <w:rsid w:val="00DC6B82"/>
    <w:rsid w:val="00DC7073"/>
    <w:rsid w:val="00DC765F"/>
    <w:rsid w:val="00DC7722"/>
    <w:rsid w:val="00DC7890"/>
    <w:rsid w:val="00DC7E92"/>
    <w:rsid w:val="00DD01A3"/>
    <w:rsid w:val="00DD02C4"/>
    <w:rsid w:val="00DD0877"/>
    <w:rsid w:val="00DD08B9"/>
    <w:rsid w:val="00DD0C93"/>
    <w:rsid w:val="00DD0D46"/>
    <w:rsid w:val="00DD128A"/>
    <w:rsid w:val="00DD12B1"/>
    <w:rsid w:val="00DD12B5"/>
    <w:rsid w:val="00DD13F6"/>
    <w:rsid w:val="00DD1422"/>
    <w:rsid w:val="00DD1926"/>
    <w:rsid w:val="00DD1947"/>
    <w:rsid w:val="00DD1992"/>
    <w:rsid w:val="00DD1A59"/>
    <w:rsid w:val="00DD1CA1"/>
    <w:rsid w:val="00DD1ED7"/>
    <w:rsid w:val="00DD242B"/>
    <w:rsid w:val="00DD2FE5"/>
    <w:rsid w:val="00DD3184"/>
    <w:rsid w:val="00DD3401"/>
    <w:rsid w:val="00DD3430"/>
    <w:rsid w:val="00DD3480"/>
    <w:rsid w:val="00DD3565"/>
    <w:rsid w:val="00DD35E2"/>
    <w:rsid w:val="00DD476F"/>
    <w:rsid w:val="00DD49D3"/>
    <w:rsid w:val="00DD4F4D"/>
    <w:rsid w:val="00DD50F2"/>
    <w:rsid w:val="00DD598B"/>
    <w:rsid w:val="00DD5BBE"/>
    <w:rsid w:val="00DD6396"/>
    <w:rsid w:val="00DD63B0"/>
    <w:rsid w:val="00DD6715"/>
    <w:rsid w:val="00DD686B"/>
    <w:rsid w:val="00DD6962"/>
    <w:rsid w:val="00DD6C70"/>
    <w:rsid w:val="00DD6CED"/>
    <w:rsid w:val="00DD6DA2"/>
    <w:rsid w:val="00DD7004"/>
    <w:rsid w:val="00DD7153"/>
    <w:rsid w:val="00DD761C"/>
    <w:rsid w:val="00DD76AF"/>
    <w:rsid w:val="00DD7B13"/>
    <w:rsid w:val="00DD7DF3"/>
    <w:rsid w:val="00DE0171"/>
    <w:rsid w:val="00DE01E6"/>
    <w:rsid w:val="00DE0333"/>
    <w:rsid w:val="00DE0558"/>
    <w:rsid w:val="00DE1039"/>
    <w:rsid w:val="00DE151C"/>
    <w:rsid w:val="00DE1E5B"/>
    <w:rsid w:val="00DE21CF"/>
    <w:rsid w:val="00DE24CC"/>
    <w:rsid w:val="00DE279F"/>
    <w:rsid w:val="00DE27ED"/>
    <w:rsid w:val="00DE2D4B"/>
    <w:rsid w:val="00DE3083"/>
    <w:rsid w:val="00DE3DC5"/>
    <w:rsid w:val="00DE3E7C"/>
    <w:rsid w:val="00DE3F63"/>
    <w:rsid w:val="00DE42E8"/>
    <w:rsid w:val="00DE464E"/>
    <w:rsid w:val="00DE4664"/>
    <w:rsid w:val="00DE47CE"/>
    <w:rsid w:val="00DE480D"/>
    <w:rsid w:val="00DE492B"/>
    <w:rsid w:val="00DE4B0C"/>
    <w:rsid w:val="00DE4D34"/>
    <w:rsid w:val="00DE4D74"/>
    <w:rsid w:val="00DE516B"/>
    <w:rsid w:val="00DE53E4"/>
    <w:rsid w:val="00DE59DC"/>
    <w:rsid w:val="00DE5E26"/>
    <w:rsid w:val="00DE5E4B"/>
    <w:rsid w:val="00DE5F92"/>
    <w:rsid w:val="00DE603C"/>
    <w:rsid w:val="00DE61AA"/>
    <w:rsid w:val="00DE629B"/>
    <w:rsid w:val="00DE6C76"/>
    <w:rsid w:val="00DE7012"/>
    <w:rsid w:val="00DE7521"/>
    <w:rsid w:val="00DE7D03"/>
    <w:rsid w:val="00DF02EC"/>
    <w:rsid w:val="00DF0D33"/>
    <w:rsid w:val="00DF0E63"/>
    <w:rsid w:val="00DF1280"/>
    <w:rsid w:val="00DF1300"/>
    <w:rsid w:val="00DF1ADA"/>
    <w:rsid w:val="00DF1DE2"/>
    <w:rsid w:val="00DF1F6F"/>
    <w:rsid w:val="00DF1FD6"/>
    <w:rsid w:val="00DF249B"/>
    <w:rsid w:val="00DF26D0"/>
    <w:rsid w:val="00DF2B37"/>
    <w:rsid w:val="00DF2DDB"/>
    <w:rsid w:val="00DF3195"/>
    <w:rsid w:val="00DF32AF"/>
    <w:rsid w:val="00DF3307"/>
    <w:rsid w:val="00DF3492"/>
    <w:rsid w:val="00DF3A17"/>
    <w:rsid w:val="00DF3A6C"/>
    <w:rsid w:val="00DF3CA7"/>
    <w:rsid w:val="00DF4091"/>
    <w:rsid w:val="00DF4158"/>
    <w:rsid w:val="00DF440F"/>
    <w:rsid w:val="00DF4430"/>
    <w:rsid w:val="00DF452A"/>
    <w:rsid w:val="00DF4920"/>
    <w:rsid w:val="00DF4C07"/>
    <w:rsid w:val="00DF4DEA"/>
    <w:rsid w:val="00DF4F19"/>
    <w:rsid w:val="00DF5157"/>
    <w:rsid w:val="00DF5270"/>
    <w:rsid w:val="00DF5897"/>
    <w:rsid w:val="00DF6014"/>
    <w:rsid w:val="00DF6154"/>
    <w:rsid w:val="00DF6824"/>
    <w:rsid w:val="00DF7226"/>
    <w:rsid w:val="00DF74B6"/>
    <w:rsid w:val="00DF7644"/>
    <w:rsid w:val="00DF7C0A"/>
    <w:rsid w:val="00E00018"/>
    <w:rsid w:val="00E004D1"/>
    <w:rsid w:val="00E008F1"/>
    <w:rsid w:val="00E00A07"/>
    <w:rsid w:val="00E00A87"/>
    <w:rsid w:val="00E00EFF"/>
    <w:rsid w:val="00E019EA"/>
    <w:rsid w:val="00E01AE0"/>
    <w:rsid w:val="00E01D33"/>
    <w:rsid w:val="00E0243C"/>
    <w:rsid w:val="00E028E6"/>
    <w:rsid w:val="00E02C20"/>
    <w:rsid w:val="00E03016"/>
    <w:rsid w:val="00E032C1"/>
    <w:rsid w:val="00E03637"/>
    <w:rsid w:val="00E036F6"/>
    <w:rsid w:val="00E039C0"/>
    <w:rsid w:val="00E0459E"/>
    <w:rsid w:val="00E046C1"/>
    <w:rsid w:val="00E0472C"/>
    <w:rsid w:val="00E047AB"/>
    <w:rsid w:val="00E047FA"/>
    <w:rsid w:val="00E049EC"/>
    <w:rsid w:val="00E04D95"/>
    <w:rsid w:val="00E04EE6"/>
    <w:rsid w:val="00E04FFA"/>
    <w:rsid w:val="00E05A43"/>
    <w:rsid w:val="00E05A80"/>
    <w:rsid w:val="00E05B03"/>
    <w:rsid w:val="00E05C6E"/>
    <w:rsid w:val="00E05D11"/>
    <w:rsid w:val="00E062DF"/>
    <w:rsid w:val="00E069D6"/>
    <w:rsid w:val="00E06AF4"/>
    <w:rsid w:val="00E06F1C"/>
    <w:rsid w:val="00E072FB"/>
    <w:rsid w:val="00E073CB"/>
    <w:rsid w:val="00E07686"/>
    <w:rsid w:val="00E07E45"/>
    <w:rsid w:val="00E1007C"/>
    <w:rsid w:val="00E102BD"/>
    <w:rsid w:val="00E1039D"/>
    <w:rsid w:val="00E103F8"/>
    <w:rsid w:val="00E104DE"/>
    <w:rsid w:val="00E106BF"/>
    <w:rsid w:val="00E1074E"/>
    <w:rsid w:val="00E10CDA"/>
    <w:rsid w:val="00E1144E"/>
    <w:rsid w:val="00E11DCD"/>
    <w:rsid w:val="00E11EB8"/>
    <w:rsid w:val="00E11FDD"/>
    <w:rsid w:val="00E12172"/>
    <w:rsid w:val="00E125EE"/>
    <w:rsid w:val="00E12775"/>
    <w:rsid w:val="00E12A5A"/>
    <w:rsid w:val="00E12DAD"/>
    <w:rsid w:val="00E136AE"/>
    <w:rsid w:val="00E136E0"/>
    <w:rsid w:val="00E139D0"/>
    <w:rsid w:val="00E13AA4"/>
    <w:rsid w:val="00E14366"/>
    <w:rsid w:val="00E143F1"/>
    <w:rsid w:val="00E145E0"/>
    <w:rsid w:val="00E14913"/>
    <w:rsid w:val="00E14D55"/>
    <w:rsid w:val="00E14E81"/>
    <w:rsid w:val="00E150B1"/>
    <w:rsid w:val="00E15352"/>
    <w:rsid w:val="00E154A1"/>
    <w:rsid w:val="00E15B4D"/>
    <w:rsid w:val="00E1626E"/>
    <w:rsid w:val="00E164E8"/>
    <w:rsid w:val="00E1654E"/>
    <w:rsid w:val="00E167D4"/>
    <w:rsid w:val="00E17384"/>
    <w:rsid w:val="00E175FF"/>
    <w:rsid w:val="00E17C3F"/>
    <w:rsid w:val="00E17CFB"/>
    <w:rsid w:val="00E20008"/>
    <w:rsid w:val="00E202F9"/>
    <w:rsid w:val="00E2038B"/>
    <w:rsid w:val="00E203C4"/>
    <w:rsid w:val="00E20661"/>
    <w:rsid w:val="00E20775"/>
    <w:rsid w:val="00E20862"/>
    <w:rsid w:val="00E20AD1"/>
    <w:rsid w:val="00E20B2D"/>
    <w:rsid w:val="00E20E6F"/>
    <w:rsid w:val="00E214FB"/>
    <w:rsid w:val="00E216A5"/>
    <w:rsid w:val="00E21CCC"/>
    <w:rsid w:val="00E21F88"/>
    <w:rsid w:val="00E21FD8"/>
    <w:rsid w:val="00E224C9"/>
    <w:rsid w:val="00E226D4"/>
    <w:rsid w:val="00E22888"/>
    <w:rsid w:val="00E229F7"/>
    <w:rsid w:val="00E22A10"/>
    <w:rsid w:val="00E22EE3"/>
    <w:rsid w:val="00E23179"/>
    <w:rsid w:val="00E23224"/>
    <w:rsid w:val="00E23232"/>
    <w:rsid w:val="00E232B2"/>
    <w:rsid w:val="00E237E4"/>
    <w:rsid w:val="00E23851"/>
    <w:rsid w:val="00E23ACC"/>
    <w:rsid w:val="00E23ADB"/>
    <w:rsid w:val="00E23D67"/>
    <w:rsid w:val="00E2446F"/>
    <w:rsid w:val="00E250DB"/>
    <w:rsid w:val="00E259BD"/>
    <w:rsid w:val="00E25F49"/>
    <w:rsid w:val="00E2617B"/>
    <w:rsid w:val="00E26295"/>
    <w:rsid w:val="00E264F5"/>
    <w:rsid w:val="00E268FA"/>
    <w:rsid w:val="00E2690E"/>
    <w:rsid w:val="00E26EEC"/>
    <w:rsid w:val="00E270B2"/>
    <w:rsid w:val="00E272FE"/>
    <w:rsid w:val="00E27AA2"/>
    <w:rsid w:val="00E27D44"/>
    <w:rsid w:val="00E27E5C"/>
    <w:rsid w:val="00E30388"/>
    <w:rsid w:val="00E30505"/>
    <w:rsid w:val="00E30517"/>
    <w:rsid w:val="00E3070A"/>
    <w:rsid w:val="00E30A72"/>
    <w:rsid w:val="00E30AB7"/>
    <w:rsid w:val="00E31371"/>
    <w:rsid w:val="00E31506"/>
    <w:rsid w:val="00E3169E"/>
    <w:rsid w:val="00E317D0"/>
    <w:rsid w:val="00E31E91"/>
    <w:rsid w:val="00E3222F"/>
    <w:rsid w:val="00E32551"/>
    <w:rsid w:val="00E327EE"/>
    <w:rsid w:val="00E32D3A"/>
    <w:rsid w:val="00E32E0E"/>
    <w:rsid w:val="00E3355E"/>
    <w:rsid w:val="00E33592"/>
    <w:rsid w:val="00E3370B"/>
    <w:rsid w:val="00E337FB"/>
    <w:rsid w:val="00E33802"/>
    <w:rsid w:val="00E33814"/>
    <w:rsid w:val="00E339C6"/>
    <w:rsid w:val="00E33B1B"/>
    <w:rsid w:val="00E33BB9"/>
    <w:rsid w:val="00E33D96"/>
    <w:rsid w:val="00E33E4D"/>
    <w:rsid w:val="00E3457A"/>
    <w:rsid w:val="00E34F08"/>
    <w:rsid w:val="00E35F47"/>
    <w:rsid w:val="00E360A5"/>
    <w:rsid w:val="00E362BC"/>
    <w:rsid w:val="00E36D92"/>
    <w:rsid w:val="00E377BF"/>
    <w:rsid w:val="00E37C25"/>
    <w:rsid w:val="00E40362"/>
    <w:rsid w:val="00E40760"/>
    <w:rsid w:val="00E40DAE"/>
    <w:rsid w:val="00E40DB6"/>
    <w:rsid w:val="00E41479"/>
    <w:rsid w:val="00E41504"/>
    <w:rsid w:val="00E416D6"/>
    <w:rsid w:val="00E41A3E"/>
    <w:rsid w:val="00E41D2F"/>
    <w:rsid w:val="00E41DE5"/>
    <w:rsid w:val="00E41F7A"/>
    <w:rsid w:val="00E42FF3"/>
    <w:rsid w:val="00E431B3"/>
    <w:rsid w:val="00E432AE"/>
    <w:rsid w:val="00E4356E"/>
    <w:rsid w:val="00E435AD"/>
    <w:rsid w:val="00E43632"/>
    <w:rsid w:val="00E436E8"/>
    <w:rsid w:val="00E43926"/>
    <w:rsid w:val="00E43F1E"/>
    <w:rsid w:val="00E43F41"/>
    <w:rsid w:val="00E43FBE"/>
    <w:rsid w:val="00E441F2"/>
    <w:rsid w:val="00E44F3C"/>
    <w:rsid w:val="00E452D0"/>
    <w:rsid w:val="00E4543C"/>
    <w:rsid w:val="00E45A9D"/>
    <w:rsid w:val="00E45BB6"/>
    <w:rsid w:val="00E460A1"/>
    <w:rsid w:val="00E46669"/>
    <w:rsid w:val="00E46809"/>
    <w:rsid w:val="00E46814"/>
    <w:rsid w:val="00E46CC9"/>
    <w:rsid w:val="00E47419"/>
    <w:rsid w:val="00E47428"/>
    <w:rsid w:val="00E477CA"/>
    <w:rsid w:val="00E47878"/>
    <w:rsid w:val="00E47B8B"/>
    <w:rsid w:val="00E47D5F"/>
    <w:rsid w:val="00E47D96"/>
    <w:rsid w:val="00E50315"/>
    <w:rsid w:val="00E503DA"/>
    <w:rsid w:val="00E509DA"/>
    <w:rsid w:val="00E50E59"/>
    <w:rsid w:val="00E50FF0"/>
    <w:rsid w:val="00E510B5"/>
    <w:rsid w:val="00E51548"/>
    <w:rsid w:val="00E515A3"/>
    <w:rsid w:val="00E516B4"/>
    <w:rsid w:val="00E51817"/>
    <w:rsid w:val="00E51A1C"/>
    <w:rsid w:val="00E51ABD"/>
    <w:rsid w:val="00E51E23"/>
    <w:rsid w:val="00E520AE"/>
    <w:rsid w:val="00E52CCE"/>
    <w:rsid w:val="00E52F76"/>
    <w:rsid w:val="00E5315C"/>
    <w:rsid w:val="00E53370"/>
    <w:rsid w:val="00E538E0"/>
    <w:rsid w:val="00E53A4B"/>
    <w:rsid w:val="00E5447C"/>
    <w:rsid w:val="00E54984"/>
    <w:rsid w:val="00E54A13"/>
    <w:rsid w:val="00E54D33"/>
    <w:rsid w:val="00E55AEB"/>
    <w:rsid w:val="00E55CD3"/>
    <w:rsid w:val="00E56DD2"/>
    <w:rsid w:val="00E56E29"/>
    <w:rsid w:val="00E56FA2"/>
    <w:rsid w:val="00E5711F"/>
    <w:rsid w:val="00E572CE"/>
    <w:rsid w:val="00E5765B"/>
    <w:rsid w:val="00E57A3C"/>
    <w:rsid w:val="00E57A89"/>
    <w:rsid w:val="00E57B43"/>
    <w:rsid w:val="00E6000E"/>
    <w:rsid w:val="00E602C9"/>
    <w:rsid w:val="00E6043C"/>
    <w:rsid w:val="00E604AF"/>
    <w:rsid w:val="00E60578"/>
    <w:rsid w:val="00E60774"/>
    <w:rsid w:val="00E608B7"/>
    <w:rsid w:val="00E60D6F"/>
    <w:rsid w:val="00E60F80"/>
    <w:rsid w:val="00E6190A"/>
    <w:rsid w:val="00E61DAC"/>
    <w:rsid w:val="00E624DA"/>
    <w:rsid w:val="00E6275D"/>
    <w:rsid w:val="00E629F9"/>
    <w:rsid w:val="00E62A6C"/>
    <w:rsid w:val="00E62AF2"/>
    <w:rsid w:val="00E62B5D"/>
    <w:rsid w:val="00E62D6E"/>
    <w:rsid w:val="00E6306D"/>
    <w:rsid w:val="00E630F7"/>
    <w:rsid w:val="00E632B7"/>
    <w:rsid w:val="00E639CE"/>
    <w:rsid w:val="00E63AF2"/>
    <w:rsid w:val="00E63DE2"/>
    <w:rsid w:val="00E6412A"/>
    <w:rsid w:val="00E64286"/>
    <w:rsid w:val="00E64763"/>
    <w:rsid w:val="00E64C11"/>
    <w:rsid w:val="00E64C47"/>
    <w:rsid w:val="00E64CDD"/>
    <w:rsid w:val="00E65998"/>
    <w:rsid w:val="00E65E6B"/>
    <w:rsid w:val="00E6640D"/>
    <w:rsid w:val="00E6682F"/>
    <w:rsid w:val="00E701D0"/>
    <w:rsid w:val="00E705E5"/>
    <w:rsid w:val="00E70B0C"/>
    <w:rsid w:val="00E71DF1"/>
    <w:rsid w:val="00E722EF"/>
    <w:rsid w:val="00E723D3"/>
    <w:rsid w:val="00E7242A"/>
    <w:rsid w:val="00E7245A"/>
    <w:rsid w:val="00E7298B"/>
    <w:rsid w:val="00E72ABE"/>
    <w:rsid w:val="00E72BCC"/>
    <w:rsid w:val="00E73065"/>
    <w:rsid w:val="00E7306F"/>
    <w:rsid w:val="00E73697"/>
    <w:rsid w:val="00E73E01"/>
    <w:rsid w:val="00E73E28"/>
    <w:rsid w:val="00E74008"/>
    <w:rsid w:val="00E74038"/>
    <w:rsid w:val="00E7476B"/>
    <w:rsid w:val="00E74844"/>
    <w:rsid w:val="00E748E3"/>
    <w:rsid w:val="00E749A0"/>
    <w:rsid w:val="00E749FA"/>
    <w:rsid w:val="00E74B5A"/>
    <w:rsid w:val="00E74C98"/>
    <w:rsid w:val="00E74DDD"/>
    <w:rsid w:val="00E7524F"/>
    <w:rsid w:val="00E7556D"/>
    <w:rsid w:val="00E756FA"/>
    <w:rsid w:val="00E756FB"/>
    <w:rsid w:val="00E75BCB"/>
    <w:rsid w:val="00E75F9B"/>
    <w:rsid w:val="00E76141"/>
    <w:rsid w:val="00E76270"/>
    <w:rsid w:val="00E76316"/>
    <w:rsid w:val="00E76ED7"/>
    <w:rsid w:val="00E77040"/>
    <w:rsid w:val="00E772BF"/>
    <w:rsid w:val="00E773D4"/>
    <w:rsid w:val="00E7780B"/>
    <w:rsid w:val="00E7797B"/>
    <w:rsid w:val="00E77C66"/>
    <w:rsid w:val="00E77E91"/>
    <w:rsid w:val="00E8016D"/>
    <w:rsid w:val="00E80487"/>
    <w:rsid w:val="00E806D2"/>
    <w:rsid w:val="00E80B75"/>
    <w:rsid w:val="00E810EC"/>
    <w:rsid w:val="00E8117B"/>
    <w:rsid w:val="00E81490"/>
    <w:rsid w:val="00E81F9F"/>
    <w:rsid w:val="00E81FFC"/>
    <w:rsid w:val="00E82551"/>
    <w:rsid w:val="00E826C8"/>
    <w:rsid w:val="00E828DA"/>
    <w:rsid w:val="00E82B9F"/>
    <w:rsid w:val="00E82C7D"/>
    <w:rsid w:val="00E82DB1"/>
    <w:rsid w:val="00E82F56"/>
    <w:rsid w:val="00E83280"/>
    <w:rsid w:val="00E832C9"/>
    <w:rsid w:val="00E83414"/>
    <w:rsid w:val="00E83469"/>
    <w:rsid w:val="00E83587"/>
    <w:rsid w:val="00E83613"/>
    <w:rsid w:val="00E83E6E"/>
    <w:rsid w:val="00E83EE9"/>
    <w:rsid w:val="00E843C5"/>
    <w:rsid w:val="00E844C3"/>
    <w:rsid w:val="00E84A59"/>
    <w:rsid w:val="00E84E78"/>
    <w:rsid w:val="00E850F7"/>
    <w:rsid w:val="00E85483"/>
    <w:rsid w:val="00E859CA"/>
    <w:rsid w:val="00E86057"/>
    <w:rsid w:val="00E861F7"/>
    <w:rsid w:val="00E86647"/>
    <w:rsid w:val="00E86BA9"/>
    <w:rsid w:val="00E86DAE"/>
    <w:rsid w:val="00E87565"/>
    <w:rsid w:val="00E877D8"/>
    <w:rsid w:val="00E879F0"/>
    <w:rsid w:val="00E87ADC"/>
    <w:rsid w:val="00E87AE6"/>
    <w:rsid w:val="00E87DCE"/>
    <w:rsid w:val="00E87F95"/>
    <w:rsid w:val="00E90199"/>
    <w:rsid w:val="00E90433"/>
    <w:rsid w:val="00E90F08"/>
    <w:rsid w:val="00E913F0"/>
    <w:rsid w:val="00E91514"/>
    <w:rsid w:val="00E915E1"/>
    <w:rsid w:val="00E919F0"/>
    <w:rsid w:val="00E91A48"/>
    <w:rsid w:val="00E91BF2"/>
    <w:rsid w:val="00E91DDE"/>
    <w:rsid w:val="00E91E61"/>
    <w:rsid w:val="00E91EFC"/>
    <w:rsid w:val="00E92054"/>
    <w:rsid w:val="00E920B8"/>
    <w:rsid w:val="00E92155"/>
    <w:rsid w:val="00E9232D"/>
    <w:rsid w:val="00E9239D"/>
    <w:rsid w:val="00E92479"/>
    <w:rsid w:val="00E924C7"/>
    <w:rsid w:val="00E92E29"/>
    <w:rsid w:val="00E92F0A"/>
    <w:rsid w:val="00E930FC"/>
    <w:rsid w:val="00E93168"/>
    <w:rsid w:val="00E9346A"/>
    <w:rsid w:val="00E93A7A"/>
    <w:rsid w:val="00E93B3D"/>
    <w:rsid w:val="00E93D80"/>
    <w:rsid w:val="00E942A2"/>
    <w:rsid w:val="00E94307"/>
    <w:rsid w:val="00E94762"/>
    <w:rsid w:val="00E94CE0"/>
    <w:rsid w:val="00E94DEC"/>
    <w:rsid w:val="00E95129"/>
    <w:rsid w:val="00E951E4"/>
    <w:rsid w:val="00E952D6"/>
    <w:rsid w:val="00E9543A"/>
    <w:rsid w:val="00E95441"/>
    <w:rsid w:val="00E954F5"/>
    <w:rsid w:val="00E95754"/>
    <w:rsid w:val="00E95859"/>
    <w:rsid w:val="00E95B52"/>
    <w:rsid w:val="00E95D01"/>
    <w:rsid w:val="00E9627E"/>
    <w:rsid w:val="00E963F1"/>
    <w:rsid w:val="00E9694A"/>
    <w:rsid w:val="00E96B89"/>
    <w:rsid w:val="00E96C84"/>
    <w:rsid w:val="00E96EB3"/>
    <w:rsid w:val="00E96FBC"/>
    <w:rsid w:val="00E9738B"/>
    <w:rsid w:val="00E97507"/>
    <w:rsid w:val="00EA0281"/>
    <w:rsid w:val="00EA04AD"/>
    <w:rsid w:val="00EA0BD3"/>
    <w:rsid w:val="00EA0BFA"/>
    <w:rsid w:val="00EA0E04"/>
    <w:rsid w:val="00EA0E05"/>
    <w:rsid w:val="00EA0E10"/>
    <w:rsid w:val="00EA10A2"/>
    <w:rsid w:val="00EA126D"/>
    <w:rsid w:val="00EA1469"/>
    <w:rsid w:val="00EA1B4A"/>
    <w:rsid w:val="00EA1E52"/>
    <w:rsid w:val="00EA1F8B"/>
    <w:rsid w:val="00EA2271"/>
    <w:rsid w:val="00EA22E2"/>
    <w:rsid w:val="00EA23B9"/>
    <w:rsid w:val="00EA2730"/>
    <w:rsid w:val="00EA300C"/>
    <w:rsid w:val="00EA3145"/>
    <w:rsid w:val="00EA32DE"/>
    <w:rsid w:val="00EA3601"/>
    <w:rsid w:val="00EA3BE7"/>
    <w:rsid w:val="00EA3D67"/>
    <w:rsid w:val="00EA3DB9"/>
    <w:rsid w:val="00EA44CA"/>
    <w:rsid w:val="00EA4601"/>
    <w:rsid w:val="00EA475F"/>
    <w:rsid w:val="00EA4877"/>
    <w:rsid w:val="00EA4AC2"/>
    <w:rsid w:val="00EA4AFB"/>
    <w:rsid w:val="00EA4E08"/>
    <w:rsid w:val="00EA5029"/>
    <w:rsid w:val="00EA5171"/>
    <w:rsid w:val="00EA530D"/>
    <w:rsid w:val="00EA5335"/>
    <w:rsid w:val="00EA6039"/>
    <w:rsid w:val="00EA6506"/>
    <w:rsid w:val="00EA6A3E"/>
    <w:rsid w:val="00EA7051"/>
    <w:rsid w:val="00EA708C"/>
    <w:rsid w:val="00EA7A7E"/>
    <w:rsid w:val="00EA7AF2"/>
    <w:rsid w:val="00EA7C2F"/>
    <w:rsid w:val="00EA7CE6"/>
    <w:rsid w:val="00EA7D7F"/>
    <w:rsid w:val="00EA7D93"/>
    <w:rsid w:val="00EA7E15"/>
    <w:rsid w:val="00EA7E9E"/>
    <w:rsid w:val="00EA7EF5"/>
    <w:rsid w:val="00EA7F1F"/>
    <w:rsid w:val="00EA7F74"/>
    <w:rsid w:val="00EB0073"/>
    <w:rsid w:val="00EB04AF"/>
    <w:rsid w:val="00EB0587"/>
    <w:rsid w:val="00EB05DC"/>
    <w:rsid w:val="00EB061D"/>
    <w:rsid w:val="00EB077E"/>
    <w:rsid w:val="00EB164B"/>
    <w:rsid w:val="00EB16A8"/>
    <w:rsid w:val="00EB1705"/>
    <w:rsid w:val="00EB185C"/>
    <w:rsid w:val="00EB1AD4"/>
    <w:rsid w:val="00EB2435"/>
    <w:rsid w:val="00EB269A"/>
    <w:rsid w:val="00EB270B"/>
    <w:rsid w:val="00EB28B8"/>
    <w:rsid w:val="00EB29BC"/>
    <w:rsid w:val="00EB2B2A"/>
    <w:rsid w:val="00EB2FA8"/>
    <w:rsid w:val="00EB338E"/>
    <w:rsid w:val="00EB3495"/>
    <w:rsid w:val="00EB35D4"/>
    <w:rsid w:val="00EB3619"/>
    <w:rsid w:val="00EB3953"/>
    <w:rsid w:val="00EB3AAB"/>
    <w:rsid w:val="00EB3CE0"/>
    <w:rsid w:val="00EB3DB0"/>
    <w:rsid w:val="00EB4042"/>
    <w:rsid w:val="00EB40F0"/>
    <w:rsid w:val="00EB410B"/>
    <w:rsid w:val="00EB4155"/>
    <w:rsid w:val="00EB42C8"/>
    <w:rsid w:val="00EB49D5"/>
    <w:rsid w:val="00EB4A13"/>
    <w:rsid w:val="00EB4D86"/>
    <w:rsid w:val="00EB52C5"/>
    <w:rsid w:val="00EB534C"/>
    <w:rsid w:val="00EB546A"/>
    <w:rsid w:val="00EB55D2"/>
    <w:rsid w:val="00EB57E7"/>
    <w:rsid w:val="00EB5ADE"/>
    <w:rsid w:val="00EB5CC3"/>
    <w:rsid w:val="00EB60EA"/>
    <w:rsid w:val="00EB6440"/>
    <w:rsid w:val="00EB6698"/>
    <w:rsid w:val="00EB6C27"/>
    <w:rsid w:val="00EB6C53"/>
    <w:rsid w:val="00EB77A5"/>
    <w:rsid w:val="00EB7832"/>
    <w:rsid w:val="00EB7B15"/>
    <w:rsid w:val="00EB7B45"/>
    <w:rsid w:val="00EB7C50"/>
    <w:rsid w:val="00EB7C77"/>
    <w:rsid w:val="00EB7D89"/>
    <w:rsid w:val="00EB7E4D"/>
    <w:rsid w:val="00EB7FE8"/>
    <w:rsid w:val="00EC01DE"/>
    <w:rsid w:val="00EC03EF"/>
    <w:rsid w:val="00EC0A9B"/>
    <w:rsid w:val="00EC0BF0"/>
    <w:rsid w:val="00EC10BB"/>
    <w:rsid w:val="00EC117E"/>
    <w:rsid w:val="00EC183D"/>
    <w:rsid w:val="00EC1B6D"/>
    <w:rsid w:val="00EC1D83"/>
    <w:rsid w:val="00EC1E45"/>
    <w:rsid w:val="00EC2D48"/>
    <w:rsid w:val="00EC2E21"/>
    <w:rsid w:val="00EC3255"/>
    <w:rsid w:val="00EC331F"/>
    <w:rsid w:val="00EC33B6"/>
    <w:rsid w:val="00EC36DD"/>
    <w:rsid w:val="00EC3B1C"/>
    <w:rsid w:val="00EC3C31"/>
    <w:rsid w:val="00EC44C6"/>
    <w:rsid w:val="00EC4AAD"/>
    <w:rsid w:val="00EC4C33"/>
    <w:rsid w:val="00EC4D77"/>
    <w:rsid w:val="00EC4D7B"/>
    <w:rsid w:val="00EC4E2E"/>
    <w:rsid w:val="00EC4F37"/>
    <w:rsid w:val="00EC54F9"/>
    <w:rsid w:val="00EC555C"/>
    <w:rsid w:val="00EC5A0B"/>
    <w:rsid w:val="00EC5A47"/>
    <w:rsid w:val="00EC5D48"/>
    <w:rsid w:val="00EC5F1A"/>
    <w:rsid w:val="00EC6193"/>
    <w:rsid w:val="00EC6337"/>
    <w:rsid w:val="00EC6D68"/>
    <w:rsid w:val="00EC7183"/>
    <w:rsid w:val="00EC71AB"/>
    <w:rsid w:val="00EC7B2C"/>
    <w:rsid w:val="00EC7ED8"/>
    <w:rsid w:val="00EC7FB8"/>
    <w:rsid w:val="00ED022F"/>
    <w:rsid w:val="00ED09E1"/>
    <w:rsid w:val="00ED0D29"/>
    <w:rsid w:val="00ED0DE8"/>
    <w:rsid w:val="00ED0EB9"/>
    <w:rsid w:val="00ED0F2B"/>
    <w:rsid w:val="00ED1447"/>
    <w:rsid w:val="00ED159D"/>
    <w:rsid w:val="00ED19B6"/>
    <w:rsid w:val="00ED1A39"/>
    <w:rsid w:val="00ED20F7"/>
    <w:rsid w:val="00ED24AE"/>
    <w:rsid w:val="00ED26EB"/>
    <w:rsid w:val="00ED2FF1"/>
    <w:rsid w:val="00ED3207"/>
    <w:rsid w:val="00ED32E7"/>
    <w:rsid w:val="00ED32FA"/>
    <w:rsid w:val="00ED3534"/>
    <w:rsid w:val="00ED35B9"/>
    <w:rsid w:val="00ED367B"/>
    <w:rsid w:val="00ED38D7"/>
    <w:rsid w:val="00ED3B7D"/>
    <w:rsid w:val="00ED3E6E"/>
    <w:rsid w:val="00ED3EB9"/>
    <w:rsid w:val="00ED4253"/>
    <w:rsid w:val="00ED461E"/>
    <w:rsid w:val="00ED5122"/>
    <w:rsid w:val="00ED54F7"/>
    <w:rsid w:val="00ED58F2"/>
    <w:rsid w:val="00ED5D40"/>
    <w:rsid w:val="00ED6621"/>
    <w:rsid w:val="00ED782C"/>
    <w:rsid w:val="00EE08BC"/>
    <w:rsid w:val="00EE09EA"/>
    <w:rsid w:val="00EE0A49"/>
    <w:rsid w:val="00EE0E09"/>
    <w:rsid w:val="00EE0EF9"/>
    <w:rsid w:val="00EE12DA"/>
    <w:rsid w:val="00EE14B3"/>
    <w:rsid w:val="00EE15CA"/>
    <w:rsid w:val="00EE182C"/>
    <w:rsid w:val="00EE18BB"/>
    <w:rsid w:val="00EE1CDA"/>
    <w:rsid w:val="00EE1F5D"/>
    <w:rsid w:val="00EE2255"/>
    <w:rsid w:val="00EE23E0"/>
    <w:rsid w:val="00EE24B7"/>
    <w:rsid w:val="00EE24E0"/>
    <w:rsid w:val="00EE2AAB"/>
    <w:rsid w:val="00EE2F97"/>
    <w:rsid w:val="00EE3203"/>
    <w:rsid w:val="00EE33A6"/>
    <w:rsid w:val="00EE375F"/>
    <w:rsid w:val="00EE3DCB"/>
    <w:rsid w:val="00EE43C7"/>
    <w:rsid w:val="00EE46C1"/>
    <w:rsid w:val="00EE496C"/>
    <w:rsid w:val="00EE4B7C"/>
    <w:rsid w:val="00EE4B9E"/>
    <w:rsid w:val="00EE4E3B"/>
    <w:rsid w:val="00EE5112"/>
    <w:rsid w:val="00EE62B4"/>
    <w:rsid w:val="00EE632A"/>
    <w:rsid w:val="00EE636D"/>
    <w:rsid w:val="00EE66B1"/>
    <w:rsid w:val="00EE6CC0"/>
    <w:rsid w:val="00EE732F"/>
    <w:rsid w:val="00EE75D6"/>
    <w:rsid w:val="00EE7D91"/>
    <w:rsid w:val="00EE7ECE"/>
    <w:rsid w:val="00EF0225"/>
    <w:rsid w:val="00EF05A6"/>
    <w:rsid w:val="00EF061D"/>
    <w:rsid w:val="00EF082A"/>
    <w:rsid w:val="00EF0E50"/>
    <w:rsid w:val="00EF118F"/>
    <w:rsid w:val="00EF1287"/>
    <w:rsid w:val="00EF1333"/>
    <w:rsid w:val="00EF1668"/>
    <w:rsid w:val="00EF1AEC"/>
    <w:rsid w:val="00EF1B8F"/>
    <w:rsid w:val="00EF20FD"/>
    <w:rsid w:val="00EF2746"/>
    <w:rsid w:val="00EF2786"/>
    <w:rsid w:val="00EF2A1F"/>
    <w:rsid w:val="00EF2C3D"/>
    <w:rsid w:val="00EF34CD"/>
    <w:rsid w:val="00EF386B"/>
    <w:rsid w:val="00EF3A28"/>
    <w:rsid w:val="00EF3A3D"/>
    <w:rsid w:val="00EF3A4A"/>
    <w:rsid w:val="00EF3CB9"/>
    <w:rsid w:val="00EF3D43"/>
    <w:rsid w:val="00EF4337"/>
    <w:rsid w:val="00EF447D"/>
    <w:rsid w:val="00EF493B"/>
    <w:rsid w:val="00EF4CE5"/>
    <w:rsid w:val="00EF4F32"/>
    <w:rsid w:val="00EF5009"/>
    <w:rsid w:val="00EF5326"/>
    <w:rsid w:val="00EF5392"/>
    <w:rsid w:val="00EF5861"/>
    <w:rsid w:val="00EF5B7C"/>
    <w:rsid w:val="00EF6141"/>
    <w:rsid w:val="00EF650F"/>
    <w:rsid w:val="00EF6607"/>
    <w:rsid w:val="00EF691C"/>
    <w:rsid w:val="00EF693B"/>
    <w:rsid w:val="00EF6BC3"/>
    <w:rsid w:val="00EF6EF5"/>
    <w:rsid w:val="00EF73ED"/>
    <w:rsid w:val="00EF7583"/>
    <w:rsid w:val="00EF7614"/>
    <w:rsid w:val="00EF767A"/>
    <w:rsid w:val="00EF7878"/>
    <w:rsid w:val="00EF7904"/>
    <w:rsid w:val="00EF7CE8"/>
    <w:rsid w:val="00F000F0"/>
    <w:rsid w:val="00F00122"/>
    <w:rsid w:val="00F00180"/>
    <w:rsid w:val="00F00497"/>
    <w:rsid w:val="00F005AF"/>
    <w:rsid w:val="00F006E4"/>
    <w:rsid w:val="00F0080F"/>
    <w:rsid w:val="00F00923"/>
    <w:rsid w:val="00F00C9D"/>
    <w:rsid w:val="00F01165"/>
    <w:rsid w:val="00F01484"/>
    <w:rsid w:val="00F0166B"/>
    <w:rsid w:val="00F017CB"/>
    <w:rsid w:val="00F0188E"/>
    <w:rsid w:val="00F0197D"/>
    <w:rsid w:val="00F01A58"/>
    <w:rsid w:val="00F01EA8"/>
    <w:rsid w:val="00F0238F"/>
    <w:rsid w:val="00F023A1"/>
    <w:rsid w:val="00F024CA"/>
    <w:rsid w:val="00F024E9"/>
    <w:rsid w:val="00F026AE"/>
    <w:rsid w:val="00F027FF"/>
    <w:rsid w:val="00F0301D"/>
    <w:rsid w:val="00F0324C"/>
    <w:rsid w:val="00F032CD"/>
    <w:rsid w:val="00F032DF"/>
    <w:rsid w:val="00F03466"/>
    <w:rsid w:val="00F0388F"/>
    <w:rsid w:val="00F03891"/>
    <w:rsid w:val="00F03C67"/>
    <w:rsid w:val="00F04211"/>
    <w:rsid w:val="00F04551"/>
    <w:rsid w:val="00F04568"/>
    <w:rsid w:val="00F04C98"/>
    <w:rsid w:val="00F04D51"/>
    <w:rsid w:val="00F04F3E"/>
    <w:rsid w:val="00F0522E"/>
    <w:rsid w:val="00F05A49"/>
    <w:rsid w:val="00F05C50"/>
    <w:rsid w:val="00F05EED"/>
    <w:rsid w:val="00F06B61"/>
    <w:rsid w:val="00F06C9F"/>
    <w:rsid w:val="00F06F02"/>
    <w:rsid w:val="00F07846"/>
    <w:rsid w:val="00F07CEE"/>
    <w:rsid w:val="00F10437"/>
    <w:rsid w:val="00F10465"/>
    <w:rsid w:val="00F10864"/>
    <w:rsid w:val="00F108F5"/>
    <w:rsid w:val="00F10D5A"/>
    <w:rsid w:val="00F11189"/>
    <w:rsid w:val="00F1162A"/>
    <w:rsid w:val="00F1165E"/>
    <w:rsid w:val="00F11B9B"/>
    <w:rsid w:val="00F11CF5"/>
    <w:rsid w:val="00F124CB"/>
    <w:rsid w:val="00F12551"/>
    <w:rsid w:val="00F12B3D"/>
    <w:rsid w:val="00F12D63"/>
    <w:rsid w:val="00F1403E"/>
    <w:rsid w:val="00F1415B"/>
    <w:rsid w:val="00F1476B"/>
    <w:rsid w:val="00F149F8"/>
    <w:rsid w:val="00F14FB8"/>
    <w:rsid w:val="00F15860"/>
    <w:rsid w:val="00F1698C"/>
    <w:rsid w:val="00F16BB1"/>
    <w:rsid w:val="00F17076"/>
    <w:rsid w:val="00F17A8F"/>
    <w:rsid w:val="00F20046"/>
    <w:rsid w:val="00F206FE"/>
    <w:rsid w:val="00F20F5B"/>
    <w:rsid w:val="00F21048"/>
    <w:rsid w:val="00F210AB"/>
    <w:rsid w:val="00F211CB"/>
    <w:rsid w:val="00F21484"/>
    <w:rsid w:val="00F215C3"/>
    <w:rsid w:val="00F21857"/>
    <w:rsid w:val="00F218EF"/>
    <w:rsid w:val="00F21A0B"/>
    <w:rsid w:val="00F22444"/>
    <w:rsid w:val="00F227B6"/>
    <w:rsid w:val="00F22C96"/>
    <w:rsid w:val="00F22F7B"/>
    <w:rsid w:val="00F23256"/>
    <w:rsid w:val="00F2357F"/>
    <w:rsid w:val="00F23BD0"/>
    <w:rsid w:val="00F23C70"/>
    <w:rsid w:val="00F23FCA"/>
    <w:rsid w:val="00F240AE"/>
    <w:rsid w:val="00F240CB"/>
    <w:rsid w:val="00F24275"/>
    <w:rsid w:val="00F244C0"/>
    <w:rsid w:val="00F2456B"/>
    <w:rsid w:val="00F2489F"/>
    <w:rsid w:val="00F24A57"/>
    <w:rsid w:val="00F24D1C"/>
    <w:rsid w:val="00F24F4D"/>
    <w:rsid w:val="00F24FA0"/>
    <w:rsid w:val="00F250CE"/>
    <w:rsid w:val="00F250F2"/>
    <w:rsid w:val="00F25157"/>
    <w:rsid w:val="00F257A4"/>
    <w:rsid w:val="00F25EB4"/>
    <w:rsid w:val="00F2617C"/>
    <w:rsid w:val="00F2635E"/>
    <w:rsid w:val="00F26421"/>
    <w:rsid w:val="00F2643A"/>
    <w:rsid w:val="00F26585"/>
    <w:rsid w:val="00F267B6"/>
    <w:rsid w:val="00F26886"/>
    <w:rsid w:val="00F2699C"/>
    <w:rsid w:val="00F26AF5"/>
    <w:rsid w:val="00F27E0C"/>
    <w:rsid w:val="00F27EF4"/>
    <w:rsid w:val="00F27F4C"/>
    <w:rsid w:val="00F3002F"/>
    <w:rsid w:val="00F30031"/>
    <w:rsid w:val="00F30353"/>
    <w:rsid w:val="00F308C0"/>
    <w:rsid w:val="00F30BE8"/>
    <w:rsid w:val="00F30EE4"/>
    <w:rsid w:val="00F30FF2"/>
    <w:rsid w:val="00F31375"/>
    <w:rsid w:val="00F3137D"/>
    <w:rsid w:val="00F316ED"/>
    <w:rsid w:val="00F318E7"/>
    <w:rsid w:val="00F31F17"/>
    <w:rsid w:val="00F3236F"/>
    <w:rsid w:val="00F32374"/>
    <w:rsid w:val="00F325FB"/>
    <w:rsid w:val="00F32F0E"/>
    <w:rsid w:val="00F32F3E"/>
    <w:rsid w:val="00F3372E"/>
    <w:rsid w:val="00F3383E"/>
    <w:rsid w:val="00F34057"/>
    <w:rsid w:val="00F34286"/>
    <w:rsid w:val="00F342E5"/>
    <w:rsid w:val="00F346BC"/>
    <w:rsid w:val="00F34FC9"/>
    <w:rsid w:val="00F3521B"/>
    <w:rsid w:val="00F35561"/>
    <w:rsid w:val="00F35865"/>
    <w:rsid w:val="00F35E92"/>
    <w:rsid w:val="00F3651B"/>
    <w:rsid w:val="00F36919"/>
    <w:rsid w:val="00F3698C"/>
    <w:rsid w:val="00F369F3"/>
    <w:rsid w:val="00F36A25"/>
    <w:rsid w:val="00F36EC2"/>
    <w:rsid w:val="00F36ED8"/>
    <w:rsid w:val="00F370CB"/>
    <w:rsid w:val="00F370E3"/>
    <w:rsid w:val="00F3743A"/>
    <w:rsid w:val="00F3757D"/>
    <w:rsid w:val="00F377A2"/>
    <w:rsid w:val="00F37922"/>
    <w:rsid w:val="00F37A1D"/>
    <w:rsid w:val="00F37AEF"/>
    <w:rsid w:val="00F37BDD"/>
    <w:rsid w:val="00F408DF"/>
    <w:rsid w:val="00F40CD5"/>
    <w:rsid w:val="00F4125D"/>
    <w:rsid w:val="00F417B8"/>
    <w:rsid w:val="00F42211"/>
    <w:rsid w:val="00F42349"/>
    <w:rsid w:val="00F4262F"/>
    <w:rsid w:val="00F426A0"/>
    <w:rsid w:val="00F42910"/>
    <w:rsid w:val="00F42A4D"/>
    <w:rsid w:val="00F42BEE"/>
    <w:rsid w:val="00F42C2B"/>
    <w:rsid w:val="00F439C5"/>
    <w:rsid w:val="00F43EB5"/>
    <w:rsid w:val="00F4402C"/>
    <w:rsid w:val="00F44175"/>
    <w:rsid w:val="00F4449D"/>
    <w:rsid w:val="00F44833"/>
    <w:rsid w:val="00F44E03"/>
    <w:rsid w:val="00F45FA3"/>
    <w:rsid w:val="00F4629D"/>
    <w:rsid w:val="00F462EB"/>
    <w:rsid w:val="00F465C1"/>
    <w:rsid w:val="00F4678D"/>
    <w:rsid w:val="00F467B0"/>
    <w:rsid w:val="00F4683E"/>
    <w:rsid w:val="00F46B49"/>
    <w:rsid w:val="00F46C9F"/>
    <w:rsid w:val="00F46E40"/>
    <w:rsid w:val="00F46F8B"/>
    <w:rsid w:val="00F47132"/>
    <w:rsid w:val="00F47728"/>
    <w:rsid w:val="00F4776E"/>
    <w:rsid w:val="00F47AFE"/>
    <w:rsid w:val="00F47CBA"/>
    <w:rsid w:val="00F50020"/>
    <w:rsid w:val="00F502B6"/>
    <w:rsid w:val="00F50671"/>
    <w:rsid w:val="00F50691"/>
    <w:rsid w:val="00F50849"/>
    <w:rsid w:val="00F50A74"/>
    <w:rsid w:val="00F5115A"/>
    <w:rsid w:val="00F513BA"/>
    <w:rsid w:val="00F51447"/>
    <w:rsid w:val="00F514EF"/>
    <w:rsid w:val="00F516F4"/>
    <w:rsid w:val="00F524CD"/>
    <w:rsid w:val="00F52756"/>
    <w:rsid w:val="00F52A47"/>
    <w:rsid w:val="00F52A4B"/>
    <w:rsid w:val="00F52C6C"/>
    <w:rsid w:val="00F52FA8"/>
    <w:rsid w:val="00F5388A"/>
    <w:rsid w:val="00F538CD"/>
    <w:rsid w:val="00F54192"/>
    <w:rsid w:val="00F542D8"/>
    <w:rsid w:val="00F54302"/>
    <w:rsid w:val="00F546DB"/>
    <w:rsid w:val="00F548C8"/>
    <w:rsid w:val="00F54E13"/>
    <w:rsid w:val="00F55331"/>
    <w:rsid w:val="00F55A8C"/>
    <w:rsid w:val="00F55AC5"/>
    <w:rsid w:val="00F5679C"/>
    <w:rsid w:val="00F568FF"/>
    <w:rsid w:val="00F56918"/>
    <w:rsid w:val="00F56B25"/>
    <w:rsid w:val="00F56F7D"/>
    <w:rsid w:val="00F570BA"/>
    <w:rsid w:val="00F570D9"/>
    <w:rsid w:val="00F57262"/>
    <w:rsid w:val="00F5765A"/>
    <w:rsid w:val="00F57704"/>
    <w:rsid w:val="00F577F9"/>
    <w:rsid w:val="00F578D5"/>
    <w:rsid w:val="00F57927"/>
    <w:rsid w:val="00F57BE9"/>
    <w:rsid w:val="00F57C72"/>
    <w:rsid w:val="00F57E66"/>
    <w:rsid w:val="00F57F35"/>
    <w:rsid w:val="00F6021A"/>
    <w:rsid w:val="00F60232"/>
    <w:rsid w:val="00F60A34"/>
    <w:rsid w:val="00F60C26"/>
    <w:rsid w:val="00F60D0D"/>
    <w:rsid w:val="00F61158"/>
    <w:rsid w:val="00F61235"/>
    <w:rsid w:val="00F612CF"/>
    <w:rsid w:val="00F61564"/>
    <w:rsid w:val="00F61701"/>
    <w:rsid w:val="00F61902"/>
    <w:rsid w:val="00F61FDE"/>
    <w:rsid w:val="00F622E3"/>
    <w:rsid w:val="00F62377"/>
    <w:rsid w:val="00F628C5"/>
    <w:rsid w:val="00F62EEC"/>
    <w:rsid w:val="00F63289"/>
    <w:rsid w:val="00F63CC4"/>
    <w:rsid w:val="00F63D79"/>
    <w:rsid w:val="00F63D8A"/>
    <w:rsid w:val="00F6404E"/>
    <w:rsid w:val="00F6433C"/>
    <w:rsid w:val="00F6460D"/>
    <w:rsid w:val="00F6474A"/>
    <w:rsid w:val="00F64966"/>
    <w:rsid w:val="00F64F9F"/>
    <w:rsid w:val="00F6583A"/>
    <w:rsid w:val="00F65D92"/>
    <w:rsid w:val="00F660B8"/>
    <w:rsid w:val="00F664C3"/>
    <w:rsid w:val="00F664DA"/>
    <w:rsid w:val="00F669E3"/>
    <w:rsid w:val="00F675DD"/>
    <w:rsid w:val="00F6789D"/>
    <w:rsid w:val="00F67988"/>
    <w:rsid w:val="00F67A85"/>
    <w:rsid w:val="00F7037F"/>
    <w:rsid w:val="00F70384"/>
    <w:rsid w:val="00F70559"/>
    <w:rsid w:val="00F70C09"/>
    <w:rsid w:val="00F70FF9"/>
    <w:rsid w:val="00F71026"/>
    <w:rsid w:val="00F71042"/>
    <w:rsid w:val="00F710A0"/>
    <w:rsid w:val="00F71889"/>
    <w:rsid w:val="00F71976"/>
    <w:rsid w:val="00F71A99"/>
    <w:rsid w:val="00F71C4F"/>
    <w:rsid w:val="00F71EA2"/>
    <w:rsid w:val="00F71F79"/>
    <w:rsid w:val="00F72106"/>
    <w:rsid w:val="00F721A1"/>
    <w:rsid w:val="00F724E3"/>
    <w:rsid w:val="00F727AA"/>
    <w:rsid w:val="00F7286A"/>
    <w:rsid w:val="00F729CA"/>
    <w:rsid w:val="00F72C94"/>
    <w:rsid w:val="00F72D42"/>
    <w:rsid w:val="00F732A0"/>
    <w:rsid w:val="00F7368C"/>
    <w:rsid w:val="00F73D87"/>
    <w:rsid w:val="00F73D95"/>
    <w:rsid w:val="00F73E55"/>
    <w:rsid w:val="00F73F43"/>
    <w:rsid w:val="00F74609"/>
    <w:rsid w:val="00F74664"/>
    <w:rsid w:val="00F746E1"/>
    <w:rsid w:val="00F74791"/>
    <w:rsid w:val="00F74A7A"/>
    <w:rsid w:val="00F74A7E"/>
    <w:rsid w:val="00F74CEF"/>
    <w:rsid w:val="00F74D26"/>
    <w:rsid w:val="00F74DA4"/>
    <w:rsid w:val="00F74E5A"/>
    <w:rsid w:val="00F7564B"/>
    <w:rsid w:val="00F7566D"/>
    <w:rsid w:val="00F75DC3"/>
    <w:rsid w:val="00F76337"/>
    <w:rsid w:val="00F763DF"/>
    <w:rsid w:val="00F7651D"/>
    <w:rsid w:val="00F766F0"/>
    <w:rsid w:val="00F76B74"/>
    <w:rsid w:val="00F77405"/>
    <w:rsid w:val="00F7746B"/>
    <w:rsid w:val="00F7791A"/>
    <w:rsid w:val="00F7792A"/>
    <w:rsid w:val="00F77C47"/>
    <w:rsid w:val="00F77CFA"/>
    <w:rsid w:val="00F80566"/>
    <w:rsid w:val="00F80957"/>
    <w:rsid w:val="00F80D8F"/>
    <w:rsid w:val="00F81311"/>
    <w:rsid w:val="00F813BB"/>
    <w:rsid w:val="00F81507"/>
    <w:rsid w:val="00F81625"/>
    <w:rsid w:val="00F818F8"/>
    <w:rsid w:val="00F81C47"/>
    <w:rsid w:val="00F81D8F"/>
    <w:rsid w:val="00F81E0E"/>
    <w:rsid w:val="00F81E87"/>
    <w:rsid w:val="00F81F25"/>
    <w:rsid w:val="00F81F57"/>
    <w:rsid w:val="00F8222F"/>
    <w:rsid w:val="00F82682"/>
    <w:rsid w:val="00F8270B"/>
    <w:rsid w:val="00F82852"/>
    <w:rsid w:val="00F82CD8"/>
    <w:rsid w:val="00F831B2"/>
    <w:rsid w:val="00F83301"/>
    <w:rsid w:val="00F837A7"/>
    <w:rsid w:val="00F837DD"/>
    <w:rsid w:val="00F84232"/>
    <w:rsid w:val="00F842F9"/>
    <w:rsid w:val="00F84415"/>
    <w:rsid w:val="00F84849"/>
    <w:rsid w:val="00F8486E"/>
    <w:rsid w:val="00F849D7"/>
    <w:rsid w:val="00F84A2F"/>
    <w:rsid w:val="00F84BAB"/>
    <w:rsid w:val="00F84C94"/>
    <w:rsid w:val="00F84DDB"/>
    <w:rsid w:val="00F850EB"/>
    <w:rsid w:val="00F854D5"/>
    <w:rsid w:val="00F855CB"/>
    <w:rsid w:val="00F856C8"/>
    <w:rsid w:val="00F85744"/>
    <w:rsid w:val="00F85AF6"/>
    <w:rsid w:val="00F85C4A"/>
    <w:rsid w:val="00F85F4B"/>
    <w:rsid w:val="00F85F9B"/>
    <w:rsid w:val="00F863EB"/>
    <w:rsid w:val="00F86538"/>
    <w:rsid w:val="00F866E8"/>
    <w:rsid w:val="00F8683A"/>
    <w:rsid w:val="00F86B20"/>
    <w:rsid w:val="00F86C43"/>
    <w:rsid w:val="00F86E03"/>
    <w:rsid w:val="00F87160"/>
    <w:rsid w:val="00F8718E"/>
    <w:rsid w:val="00F87201"/>
    <w:rsid w:val="00F87317"/>
    <w:rsid w:val="00F879C6"/>
    <w:rsid w:val="00F87CB7"/>
    <w:rsid w:val="00F87D07"/>
    <w:rsid w:val="00F87D7F"/>
    <w:rsid w:val="00F87E13"/>
    <w:rsid w:val="00F87E81"/>
    <w:rsid w:val="00F90036"/>
    <w:rsid w:val="00F90184"/>
    <w:rsid w:val="00F901EE"/>
    <w:rsid w:val="00F90391"/>
    <w:rsid w:val="00F9046C"/>
    <w:rsid w:val="00F90BEE"/>
    <w:rsid w:val="00F90C86"/>
    <w:rsid w:val="00F90EC3"/>
    <w:rsid w:val="00F90FD6"/>
    <w:rsid w:val="00F910E4"/>
    <w:rsid w:val="00F915AB"/>
    <w:rsid w:val="00F9174D"/>
    <w:rsid w:val="00F91906"/>
    <w:rsid w:val="00F91CA2"/>
    <w:rsid w:val="00F91DAB"/>
    <w:rsid w:val="00F91DAC"/>
    <w:rsid w:val="00F91FBE"/>
    <w:rsid w:val="00F92174"/>
    <w:rsid w:val="00F923DB"/>
    <w:rsid w:val="00F92725"/>
    <w:rsid w:val="00F9344F"/>
    <w:rsid w:val="00F93477"/>
    <w:rsid w:val="00F93A3D"/>
    <w:rsid w:val="00F93C3E"/>
    <w:rsid w:val="00F93D13"/>
    <w:rsid w:val="00F93EB0"/>
    <w:rsid w:val="00F93EE6"/>
    <w:rsid w:val="00F94003"/>
    <w:rsid w:val="00F94284"/>
    <w:rsid w:val="00F94303"/>
    <w:rsid w:val="00F94412"/>
    <w:rsid w:val="00F94737"/>
    <w:rsid w:val="00F9473D"/>
    <w:rsid w:val="00F948D1"/>
    <w:rsid w:val="00F9495D"/>
    <w:rsid w:val="00F94A66"/>
    <w:rsid w:val="00F94F50"/>
    <w:rsid w:val="00F95013"/>
    <w:rsid w:val="00F950BC"/>
    <w:rsid w:val="00F951BD"/>
    <w:rsid w:val="00F958CD"/>
    <w:rsid w:val="00F95D49"/>
    <w:rsid w:val="00F95EF0"/>
    <w:rsid w:val="00F9632D"/>
    <w:rsid w:val="00F9644F"/>
    <w:rsid w:val="00F965D9"/>
    <w:rsid w:val="00F968CC"/>
    <w:rsid w:val="00F96C7A"/>
    <w:rsid w:val="00F96E7C"/>
    <w:rsid w:val="00F975B5"/>
    <w:rsid w:val="00F97D07"/>
    <w:rsid w:val="00F97DEE"/>
    <w:rsid w:val="00FA04BE"/>
    <w:rsid w:val="00FA0509"/>
    <w:rsid w:val="00FA0E7C"/>
    <w:rsid w:val="00FA1177"/>
    <w:rsid w:val="00FA15C6"/>
    <w:rsid w:val="00FA1CBF"/>
    <w:rsid w:val="00FA1D8F"/>
    <w:rsid w:val="00FA2002"/>
    <w:rsid w:val="00FA2526"/>
    <w:rsid w:val="00FA2AB0"/>
    <w:rsid w:val="00FA357A"/>
    <w:rsid w:val="00FA3855"/>
    <w:rsid w:val="00FA397A"/>
    <w:rsid w:val="00FA3C84"/>
    <w:rsid w:val="00FA3F33"/>
    <w:rsid w:val="00FA3F45"/>
    <w:rsid w:val="00FA4A32"/>
    <w:rsid w:val="00FA4EDE"/>
    <w:rsid w:val="00FA50E8"/>
    <w:rsid w:val="00FA517D"/>
    <w:rsid w:val="00FA526F"/>
    <w:rsid w:val="00FA52BE"/>
    <w:rsid w:val="00FA53C1"/>
    <w:rsid w:val="00FA54C0"/>
    <w:rsid w:val="00FA5527"/>
    <w:rsid w:val="00FA5871"/>
    <w:rsid w:val="00FA5887"/>
    <w:rsid w:val="00FA589E"/>
    <w:rsid w:val="00FA58B1"/>
    <w:rsid w:val="00FA5962"/>
    <w:rsid w:val="00FA5995"/>
    <w:rsid w:val="00FA5C6B"/>
    <w:rsid w:val="00FA5F3B"/>
    <w:rsid w:val="00FA6120"/>
    <w:rsid w:val="00FA6225"/>
    <w:rsid w:val="00FA656D"/>
    <w:rsid w:val="00FA6686"/>
    <w:rsid w:val="00FA6A4D"/>
    <w:rsid w:val="00FA6A8C"/>
    <w:rsid w:val="00FA6BCC"/>
    <w:rsid w:val="00FA6C40"/>
    <w:rsid w:val="00FA70DF"/>
    <w:rsid w:val="00FA7152"/>
    <w:rsid w:val="00FA7A20"/>
    <w:rsid w:val="00FA7AA6"/>
    <w:rsid w:val="00FA7C04"/>
    <w:rsid w:val="00FB0058"/>
    <w:rsid w:val="00FB007D"/>
    <w:rsid w:val="00FB0443"/>
    <w:rsid w:val="00FB0B9F"/>
    <w:rsid w:val="00FB0E3B"/>
    <w:rsid w:val="00FB114F"/>
    <w:rsid w:val="00FB11A4"/>
    <w:rsid w:val="00FB1352"/>
    <w:rsid w:val="00FB15D5"/>
    <w:rsid w:val="00FB1694"/>
    <w:rsid w:val="00FB18E8"/>
    <w:rsid w:val="00FB19D8"/>
    <w:rsid w:val="00FB22E5"/>
    <w:rsid w:val="00FB2864"/>
    <w:rsid w:val="00FB2E28"/>
    <w:rsid w:val="00FB2F94"/>
    <w:rsid w:val="00FB381C"/>
    <w:rsid w:val="00FB3CBD"/>
    <w:rsid w:val="00FB3CD6"/>
    <w:rsid w:val="00FB4065"/>
    <w:rsid w:val="00FB4760"/>
    <w:rsid w:val="00FB47B5"/>
    <w:rsid w:val="00FB4E96"/>
    <w:rsid w:val="00FB52FD"/>
    <w:rsid w:val="00FB5628"/>
    <w:rsid w:val="00FB57A7"/>
    <w:rsid w:val="00FB5A6F"/>
    <w:rsid w:val="00FB6401"/>
    <w:rsid w:val="00FB68CE"/>
    <w:rsid w:val="00FB6B9D"/>
    <w:rsid w:val="00FB6CF9"/>
    <w:rsid w:val="00FB6F9E"/>
    <w:rsid w:val="00FB72CB"/>
    <w:rsid w:val="00FB7649"/>
    <w:rsid w:val="00FB77BB"/>
    <w:rsid w:val="00FB7A9C"/>
    <w:rsid w:val="00FB7E18"/>
    <w:rsid w:val="00FC022F"/>
    <w:rsid w:val="00FC0AB4"/>
    <w:rsid w:val="00FC0B9B"/>
    <w:rsid w:val="00FC0E12"/>
    <w:rsid w:val="00FC10EB"/>
    <w:rsid w:val="00FC1859"/>
    <w:rsid w:val="00FC1A3C"/>
    <w:rsid w:val="00FC2022"/>
    <w:rsid w:val="00FC2075"/>
    <w:rsid w:val="00FC22FE"/>
    <w:rsid w:val="00FC23FA"/>
    <w:rsid w:val="00FC254B"/>
    <w:rsid w:val="00FC2742"/>
    <w:rsid w:val="00FC27DB"/>
    <w:rsid w:val="00FC2FD4"/>
    <w:rsid w:val="00FC330F"/>
    <w:rsid w:val="00FC37F0"/>
    <w:rsid w:val="00FC398D"/>
    <w:rsid w:val="00FC3B1A"/>
    <w:rsid w:val="00FC3BBC"/>
    <w:rsid w:val="00FC3EEB"/>
    <w:rsid w:val="00FC3F24"/>
    <w:rsid w:val="00FC4278"/>
    <w:rsid w:val="00FC42A4"/>
    <w:rsid w:val="00FC4423"/>
    <w:rsid w:val="00FC47D1"/>
    <w:rsid w:val="00FC4BD6"/>
    <w:rsid w:val="00FC4CA4"/>
    <w:rsid w:val="00FC4D8B"/>
    <w:rsid w:val="00FC545C"/>
    <w:rsid w:val="00FC54BA"/>
    <w:rsid w:val="00FC553E"/>
    <w:rsid w:val="00FC5958"/>
    <w:rsid w:val="00FC60B6"/>
    <w:rsid w:val="00FC65A0"/>
    <w:rsid w:val="00FC6A07"/>
    <w:rsid w:val="00FC6B41"/>
    <w:rsid w:val="00FC7308"/>
    <w:rsid w:val="00FC77B4"/>
    <w:rsid w:val="00FC7896"/>
    <w:rsid w:val="00FC7F93"/>
    <w:rsid w:val="00FD02FC"/>
    <w:rsid w:val="00FD091C"/>
    <w:rsid w:val="00FD0936"/>
    <w:rsid w:val="00FD0CF6"/>
    <w:rsid w:val="00FD10D2"/>
    <w:rsid w:val="00FD111E"/>
    <w:rsid w:val="00FD14E4"/>
    <w:rsid w:val="00FD1748"/>
    <w:rsid w:val="00FD250B"/>
    <w:rsid w:val="00FD2804"/>
    <w:rsid w:val="00FD282A"/>
    <w:rsid w:val="00FD2A71"/>
    <w:rsid w:val="00FD2F55"/>
    <w:rsid w:val="00FD305B"/>
    <w:rsid w:val="00FD33B3"/>
    <w:rsid w:val="00FD3905"/>
    <w:rsid w:val="00FD4124"/>
    <w:rsid w:val="00FD452A"/>
    <w:rsid w:val="00FD4620"/>
    <w:rsid w:val="00FD48FE"/>
    <w:rsid w:val="00FD4C17"/>
    <w:rsid w:val="00FD4CC0"/>
    <w:rsid w:val="00FD5502"/>
    <w:rsid w:val="00FD59BB"/>
    <w:rsid w:val="00FD5C8B"/>
    <w:rsid w:val="00FD5CFE"/>
    <w:rsid w:val="00FD6318"/>
    <w:rsid w:val="00FD6556"/>
    <w:rsid w:val="00FD6A3D"/>
    <w:rsid w:val="00FD6F9D"/>
    <w:rsid w:val="00FD7001"/>
    <w:rsid w:val="00FD7240"/>
    <w:rsid w:val="00FD72D9"/>
    <w:rsid w:val="00FD73AE"/>
    <w:rsid w:val="00FD78EF"/>
    <w:rsid w:val="00FD793F"/>
    <w:rsid w:val="00FD7977"/>
    <w:rsid w:val="00FD7A7E"/>
    <w:rsid w:val="00FD7C67"/>
    <w:rsid w:val="00FD7D1F"/>
    <w:rsid w:val="00FD7F6A"/>
    <w:rsid w:val="00FE04B6"/>
    <w:rsid w:val="00FE05E5"/>
    <w:rsid w:val="00FE0657"/>
    <w:rsid w:val="00FE0851"/>
    <w:rsid w:val="00FE1086"/>
    <w:rsid w:val="00FE10CE"/>
    <w:rsid w:val="00FE20AB"/>
    <w:rsid w:val="00FE22FE"/>
    <w:rsid w:val="00FE2955"/>
    <w:rsid w:val="00FE2B7B"/>
    <w:rsid w:val="00FE3100"/>
    <w:rsid w:val="00FE3439"/>
    <w:rsid w:val="00FE3768"/>
    <w:rsid w:val="00FE4705"/>
    <w:rsid w:val="00FE4D1E"/>
    <w:rsid w:val="00FE4DF8"/>
    <w:rsid w:val="00FE5172"/>
    <w:rsid w:val="00FE5410"/>
    <w:rsid w:val="00FE5977"/>
    <w:rsid w:val="00FE5D0A"/>
    <w:rsid w:val="00FE5D5A"/>
    <w:rsid w:val="00FE627C"/>
    <w:rsid w:val="00FE6798"/>
    <w:rsid w:val="00FE6A02"/>
    <w:rsid w:val="00FE6DEC"/>
    <w:rsid w:val="00FE6F35"/>
    <w:rsid w:val="00FE74E2"/>
    <w:rsid w:val="00FE74FC"/>
    <w:rsid w:val="00FE761D"/>
    <w:rsid w:val="00FE76FA"/>
    <w:rsid w:val="00FE7903"/>
    <w:rsid w:val="00FE798A"/>
    <w:rsid w:val="00FE7C3E"/>
    <w:rsid w:val="00FE7C51"/>
    <w:rsid w:val="00FE7E6E"/>
    <w:rsid w:val="00FE7F00"/>
    <w:rsid w:val="00FF01C5"/>
    <w:rsid w:val="00FF0224"/>
    <w:rsid w:val="00FF0502"/>
    <w:rsid w:val="00FF0BBB"/>
    <w:rsid w:val="00FF1455"/>
    <w:rsid w:val="00FF1716"/>
    <w:rsid w:val="00FF1862"/>
    <w:rsid w:val="00FF1A6C"/>
    <w:rsid w:val="00FF1D5F"/>
    <w:rsid w:val="00FF2077"/>
    <w:rsid w:val="00FF20A8"/>
    <w:rsid w:val="00FF2524"/>
    <w:rsid w:val="00FF283C"/>
    <w:rsid w:val="00FF2A88"/>
    <w:rsid w:val="00FF2D99"/>
    <w:rsid w:val="00FF3398"/>
    <w:rsid w:val="00FF37C5"/>
    <w:rsid w:val="00FF3A12"/>
    <w:rsid w:val="00FF3CFC"/>
    <w:rsid w:val="00FF41E9"/>
    <w:rsid w:val="00FF43AF"/>
    <w:rsid w:val="00FF44AE"/>
    <w:rsid w:val="00FF48E0"/>
    <w:rsid w:val="00FF4D22"/>
    <w:rsid w:val="00FF4FCD"/>
    <w:rsid w:val="00FF5026"/>
    <w:rsid w:val="00FF5173"/>
    <w:rsid w:val="00FF51D0"/>
    <w:rsid w:val="00FF52CC"/>
    <w:rsid w:val="00FF52E3"/>
    <w:rsid w:val="00FF5EFE"/>
    <w:rsid w:val="00FF609A"/>
    <w:rsid w:val="00FF6A39"/>
    <w:rsid w:val="00FF6CF6"/>
    <w:rsid w:val="00FF707C"/>
    <w:rsid w:val="00FF73D5"/>
    <w:rsid w:val="00FF78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47D9E57"/>
  <w15:chartTrackingRefBased/>
  <w15:docId w15:val="{0E1C4CFC-E3D0-8443-AB74-6DCFA8DFC3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Mincho" w:eastAsia="SimSun" w:hAnsi="Mincho"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annotation text" w:uiPriority="99"/>
    <w:lsdException w:name="footer" w:uiPriority="99"/>
    <w:lsdException w:name="caption" w:qFormat="1"/>
    <w:lsdException w:name="annotation reference" w:uiPriority="99" w:qFormat="1"/>
    <w:lsdException w:name="Hyperlink" w:uiPriority="99"/>
    <w:lsdException w:name="Plain Text" w:uiPriority="99"/>
    <w:lsdException w:name="Normal (Web)" w:uiPriority="99"/>
    <w:lsdException w:name="HTML Definition" w:semiHidden="1" w:unhideWhenUsed="1"/>
    <w:lsdException w:name="HTML Keyboard" w:semiHidden="1" w:unhideWhenUsed="1"/>
    <w:lsdException w:name="HTML Preformatted" w:semiHidden="1" w:unhideWhenUsed="1"/>
    <w:lsdException w:name="HTML Typewriter"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qFormat="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632F6"/>
    <w:rPr>
      <w:rFonts w:ascii="Times New Roman" w:eastAsia="Times New Roman" w:hAnsi="Times New Roman"/>
      <w:sz w:val="24"/>
      <w:szCs w:val="24"/>
      <w:lang w:val="en-CN" w:eastAsia="zh-CN"/>
    </w:rPr>
  </w:style>
  <w:style w:type="paragraph" w:styleId="Heading1">
    <w:name w:val="heading 1"/>
    <w:next w:val="Normal"/>
    <w:link w:val="Heading1Char1"/>
    <w:qFormat/>
    <w:rsid w:val="009C2D12"/>
    <w:pPr>
      <w:keepNext/>
      <w:keepLines/>
      <w:numPr>
        <w:numId w:val="2"/>
      </w:numPr>
      <w:pBdr>
        <w:top w:val="single" w:sz="12" w:space="3" w:color="auto"/>
      </w:pBdr>
      <w:overflowPunct w:val="0"/>
      <w:autoSpaceDE w:val="0"/>
      <w:autoSpaceDN w:val="0"/>
      <w:adjustRightInd w:val="0"/>
      <w:spacing w:before="360" w:after="180"/>
      <w:ind w:left="567" w:hanging="567"/>
      <w:jc w:val="both"/>
      <w:textAlignment w:val="baseline"/>
      <w:outlineLvl w:val="0"/>
    </w:pPr>
    <w:rPr>
      <w:rFonts w:ascii="Arial" w:hAnsi="Arial"/>
      <w:sz w:val="36"/>
      <w:lang w:val="en-GB"/>
    </w:rPr>
  </w:style>
  <w:style w:type="paragraph" w:styleId="Heading2">
    <w:name w:val="heading 2"/>
    <w:basedOn w:val="Heading1"/>
    <w:next w:val="Normal"/>
    <w:link w:val="Heading2Char"/>
    <w:qFormat/>
    <w:rsid w:val="007B0E72"/>
    <w:pPr>
      <w:numPr>
        <w:ilvl w:val="1"/>
      </w:numPr>
      <w:pBdr>
        <w:top w:val="none" w:sz="0" w:space="0" w:color="auto"/>
      </w:pBdr>
      <w:tabs>
        <w:tab w:val="left" w:pos="567"/>
      </w:tabs>
      <w:ind w:left="567" w:hanging="567"/>
      <w:outlineLvl w:val="1"/>
    </w:pPr>
    <w:rPr>
      <w:rFonts w:eastAsia="Times New Roman"/>
      <w:sz w:val="24"/>
      <w:lang w:val="en-US" w:eastAsia="ja-JP" w:bidi="hi-IN"/>
    </w:rPr>
  </w:style>
  <w:style w:type="paragraph" w:styleId="Heading3">
    <w:name w:val="heading 3"/>
    <w:basedOn w:val="Heading2"/>
    <w:next w:val="Normal"/>
    <w:link w:val="Heading3Char"/>
    <w:qFormat/>
    <w:rsid w:val="0061723D"/>
    <w:pPr>
      <w:numPr>
        <w:ilvl w:val="2"/>
      </w:numPr>
      <w:spacing w:before="300"/>
      <w:outlineLvl w:val="2"/>
    </w:pPr>
    <w:rPr>
      <w:sz w:val="22"/>
    </w:rPr>
  </w:style>
  <w:style w:type="paragraph" w:styleId="Heading4">
    <w:name w:val="heading 4"/>
    <w:aliases w:val="h4"/>
    <w:basedOn w:val="Heading3"/>
    <w:next w:val="Normal"/>
    <w:link w:val="Heading4Char"/>
    <w:rsid w:val="00A63872"/>
    <w:pPr>
      <w:ind w:left="1418" w:hanging="1418"/>
      <w:outlineLvl w:val="3"/>
    </w:pPr>
    <w:rPr>
      <w:sz w:val="24"/>
    </w:rPr>
  </w:style>
  <w:style w:type="paragraph" w:styleId="Heading5">
    <w:name w:val="heading 5"/>
    <w:basedOn w:val="Heading4"/>
    <w:next w:val="Normal"/>
    <w:link w:val="Heading5Char"/>
    <w:rsid w:val="00A63872"/>
    <w:pPr>
      <w:ind w:left="1701" w:hanging="1701"/>
      <w:outlineLvl w:val="4"/>
    </w:pPr>
    <w:rPr>
      <w:sz w:val="22"/>
    </w:rPr>
  </w:style>
  <w:style w:type="paragraph" w:styleId="Heading6">
    <w:name w:val="heading 6"/>
    <w:basedOn w:val="H6"/>
    <w:next w:val="Normal"/>
    <w:rsid w:val="00A63872"/>
    <w:pPr>
      <w:outlineLvl w:val="5"/>
    </w:pPr>
  </w:style>
  <w:style w:type="paragraph" w:styleId="Heading7">
    <w:name w:val="heading 7"/>
    <w:basedOn w:val="H6"/>
    <w:next w:val="Normal"/>
    <w:rsid w:val="00A63872"/>
    <w:pPr>
      <w:outlineLvl w:val="6"/>
    </w:pPr>
  </w:style>
  <w:style w:type="paragraph" w:styleId="Heading8">
    <w:name w:val="heading 8"/>
    <w:basedOn w:val="Heading1"/>
    <w:next w:val="Normal"/>
    <w:rsid w:val="00A63872"/>
    <w:pPr>
      <w:ind w:left="0" w:firstLine="0"/>
      <w:outlineLvl w:val="7"/>
    </w:pPr>
  </w:style>
  <w:style w:type="paragraph" w:styleId="Heading9">
    <w:name w:val="heading 9"/>
    <w:basedOn w:val="Heading8"/>
    <w:next w:val="Normal"/>
    <w:rsid w:val="00A63872"/>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A63872"/>
    <w:pPr>
      <w:spacing w:before="180"/>
      <w:ind w:left="2693" w:hanging="2693"/>
    </w:pPr>
    <w:rPr>
      <w:b/>
    </w:rPr>
  </w:style>
  <w:style w:type="paragraph" w:styleId="TOC1">
    <w:name w:val="toc 1"/>
    <w:semiHidden/>
    <w:rsid w:val="00A63872"/>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rPr>
  </w:style>
  <w:style w:type="paragraph" w:customStyle="1" w:styleId="ZT">
    <w:name w:val="ZT"/>
    <w:rsid w:val="00A63872"/>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styleId="TOC5">
    <w:name w:val="toc 5"/>
    <w:basedOn w:val="TOC4"/>
    <w:semiHidden/>
    <w:rsid w:val="00A63872"/>
    <w:pPr>
      <w:ind w:left="1701" w:hanging="1701"/>
    </w:pPr>
  </w:style>
  <w:style w:type="paragraph" w:styleId="TOC4">
    <w:name w:val="toc 4"/>
    <w:basedOn w:val="TOC3"/>
    <w:semiHidden/>
    <w:rsid w:val="00A63872"/>
    <w:pPr>
      <w:ind w:left="1418" w:hanging="1418"/>
    </w:pPr>
  </w:style>
  <w:style w:type="paragraph" w:styleId="TOC3">
    <w:name w:val="toc 3"/>
    <w:basedOn w:val="TOC2"/>
    <w:semiHidden/>
    <w:rsid w:val="00A63872"/>
    <w:pPr>
      <w:ind w:left="1134" w:hanging="1134"/>
    </w:pPr>
  </w:style>
  <w:style w:type="paragraph" w:styleId="TOC2">
    <w:name w:val="toc 2"/>
    <w:basedOn w:val="TOC1"/>
    <w:semiHidden/>
    <w:rsid w:val="00A63872"/>
    <w:pPr>
      <w:keepNext w:val="0"/>
      <w:spacing w:before="0"/>
      <w:ind w:left="851" w:hanging="851"/>
    </w:pPr>
    <w:rPr>
      <w:sz w:val="20"/>
    </w:rPr>
  </w:style>
  <w:style w:type="paragraph" w:styleId="Index2">
    <w:name w:val="index 2"/>
    <w:basedOn w:val="Index1"/>
    <w:semiHidden/>
    <w:rsid w:val="00A63872"/>
    <w:pPr>
      <w:ind w:left="284"/>
    </w:pPr>
  </w:style>
  <w:style w:type="paragraph" w:styleId="Index1">
    <w:name w:val="index 1"/>
    <w:basedOn w:val="Normal"/>
    <w:semiHidden/>
    <w:rsid w:val="00A63872"/>
    <w:pPr>
      <w:keepLines/>
    </w:pPr>
    <w:rPr>
      <w:lang w:val="en-US"/>
    </w:rPr>
  </w:style>
  <w:style w:type="paragraph" w:customStyle="1" w:styleId="ZH">
    <w:name w:val="ZH"/>
    <w:rsid w:val="00A63872"/>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TT">
    <w:name w:val="TT"/>
    <w:basedOn w:val="Heading1"/>
    <w:next w:val="Normal"/>
    <w:rsid w:val="00A63872"/>
    <w:pPr>
      <w:outlineLvl w:val="9"/>
    </w:pPr>
  </w:style>
  <w:style w:type="paragraph" w:styleId="ListNumber2">
    <w:name w:val="List Number 2"/>
    <w:basedOn w:val="ListNumber"/>
    <w:rsid w:val="00A63872"/>
    <w:pPr>
      <w:ind w:left="851"/>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rsid w:val="00A63872"/>
    <w:pPr>
      <w:widowControl w:val="0"/>
      <w:overflowPunct w:val="0"/>
      <w:autoSpaceDE w:val="0"/>
      <w:autoSpaceDN w:val="0"/>
      <w:adjustRightInd w:val="0"/>
      <w:textAlignment w:val="baseline"/>
    </w:pPr>
    <w:rPr>
      <w:rFonts w:ascii="Arial" w:hAnsi="Arial"/>
      <w:b/>
      <w:noProof/>
      <w:sz w:val="18"/>
    </w:rPr>
  </w:style>
  <w:style w:type="character" w:styleId="FootnoteReference">
    <w:name w:val="footnote reference"/>
    <w:semiHidden/>
    <w:rsid w:val="00A63872"/>
    <w:rPr>
      <w:b/>
      <w:position w:val="6"/>
      <w:sz w:val="16"/>
    </w:rPr>
  </w:style>
  <w:style w:type="paragraph" w:styleId="FootnoteText">
    <w:name w:val="footnote text"/>
    <w:basedOn w:val="Normal"/>
    <w:semiHidden/>
    <w:rsid w:val="00A63872"/>
    <w:pPr>
      <w:keepLines/>
      <w:ind w:left="454" w:hanging="454"/>
    </w:pPr>
    <w:rPr>
      <w:sz w:val="16"/>
      <w:lang w:val="en-US"/>
    </w:rPr>
  </w:style>
  <w:style w:type="paragraph" w:customStyle="1" w:styleId="TAH">
    <w:name w:val="TAH"/>
    <w:basedOn w:val="TAC"/>
    <w:link w:val="TAHCar"/>
    <w:rsid w:val="00A63872"/>
    <w:rPr>
      <w:b/>
    </w:rPr>
  </w:style>
  <w:style w:type="paragraph" w:customStyle="1" w:styleId="TAC">
    <w:name w:val="TAC"/>
    <w:basedOn w:val="TAL"/>
    <w:link w:val="TACChar"/>
    <w:rsid w:val="00A63872"/>
    <w:pPr>
      <w:jc w:val="center"/>
    </w:pPr>
  </w:style>
  <w:style w:type="paragraph" w:customStyle="1" w:styleId="TF">
    <w:name w:val="TF"/>
    <w:basedOn w:val="TH"/>
    <w:rsid w:val="00A63872"/>
    <w:pPr>
      <w:keepNext w:val="0"/>
      <w:spacing w:before="0" w:after="240"/>
    </w:pPr>
  </w:style>
  <w:style w:type="paragraph" w:customStyle="1" w:styleId="NO">
    <w:name w:val="NO"/>
    <w:basedOn w:val="Normal"/>
    <w:rsid w:val="00A63872"/>
    <w:pPr>
      <w:keepLines/>
      <w:ind w:left="1135" w:hanging="851"/>
    </w:pPr>
    <w:rPr>
      <w:lang w:val="en-US"/>
    </w:rPr>
  </w:style>
  <w:style w:type="paragraph" w:styleId="TOC9">
    <w:name w:val="toc 9"/>
    <w:basedOn w:val="TOC8"/>
    <w:semiHidden/>
    <w:rsid w:val="00A63872"/>
    <w:pPr>
      <w:ind w:left="1418" w:hanging="1418"/>
    </w:pPr>
  </w:style>
  <w:style w:type="paragraph" w:customStyle="1" w:styleId="EX">
    <w:name w:val="EX"/>
    <w:basedOn w:val="Normal"/>
    <w:rsid w:val="00A63872"/>
    <w:pPr>
      <w:keepLines/>
      <w:ind w:left="1702" w:hanging="1418"/>
    </w:pPr>
    <w:rPr>
      <w:lang w:val="en-US"/>
    </w:rPr>
  </w:style>
  <w:style w:type="paragraph" w:customStyle="1" w:styleId="FP">
    <w:name w:val="FP"/>
    <w:basedOn w:val="Normal"/>
    <w:rsid w:val="00A63872"/>
    <w:rPr>
      <w:lang w:val="en-US"/>
    </w:rPr>
  </w:style>
  <w:style w:type="paragraph" w:customStyle="1" w:styleId="LD">
    <w:name w:val="LD"/>
    <w:rsid w:val="00A63872"/>
    <w:pPr>
      <w:keepNext/>
      <w:keepLines/>
      <w:overflowPunct w:val="0"/>
      <w:autoSpaceDE w:val="0"/>
      <w:autoSpaceDN w:val="0"/>
      <w:adjustRightInd w:val="0"/>
      <w:spacing w:line="180" w:lineRule="exact"/>
      <w:textAlignment w:val="baseline"/>
    </w:pPr>
    <w:rPr>
      <w:rFonts w:ascii="New York" w:hAnsi="New York"/>
      <w:noProof/>
    </w:rPr>
  </w:style>
  <w:style w:type="paragraph" w:customStyle="1" w:styleId="NW">
    <w:name w:val="NW"/>
    <w:basedOn w:val="NO"/>
    <w:rsid w:val="00A63872"/>
  </w:style>
  <w:style w:type="paragraph" w:customStyle="1" w:styleId="EW">
    <w:name w:val="EW"/>
    <w:basedOn w:val="EX"/>
    <w:rsid w:val="00A63872"/>
  </w:style>
  <w:style w:type="paragraph" w:styleId="TOC6">
    <w:name w:val="toc 6"/>
    <w:basedOn w:val="TOC5"/>
    <w:next w:val="Normal"/>
    <w:semiHidden/>
    <w:rsid w:val="00A63872"/>
    <w:pPr>
      <w:ind w:left="1985" w:hanging="1985"/>
    </w:pPr>
  </w:style>
  <w:style w:type="paragraph" w:styleId="TOC7">
    <w:name w:val="toc 7"/>
    <w:basedOn w:val="TOC6"/>
    <w:next w:val="Normal"/>
    <w:semiHidden/>
    <w:rsid w:val="00A63872"/>
    <w:pPr>
      <w:ind w:left="2268" w:hanging="2268"/>
    </w:pPr>
  </w:style>
  <w:style w:type="paragraph" w:styleId="ListBullet2">
    <w:name w:val="List Bullet 2"/>
    <w:basedOn w:val="ListBullet"/>
    <w:rsid w:val="00A63872"/>
    <w:pPr>
      <w:ind w:left="851"/>
    </w:pPr>
  </w:style>
  <w:style w:type="paragraph" w:styleId="ListBullet3">
    <w:name w:val="List Bullet 3"/>
    <w:basedOn w:val="ListBullet2"/>
    <w:rsid w:val="00A63872"/>
    <w:pPr>
      <w:ind w:left="1135"/>
    </w:pPr>
  </w:style>
  <w:style w:type="paragraph" w:styleId="ListNumber">
    <w:name w:val="List Number"/>
    <w:basedOn w:val="List"/>
    <w:rsid w:val="00A63872"/>
  </w:style>
  <w:style w:type="paragraph" w:customStyle="1" w:styleId="EQ">
    <w:name w:val="EQ"/>
    <w:basedOn w:val="Normal"/>
    <w:next w:val="Normal"/>
    <w:rsid w:val="00A63872"/>
    <w:pPr>
      <w:keepLines/>
      <w:tabs>
        <w:tab w:val="center" w:pos="4536"/>
        <w:tab w:val="right" w:pos="9072"/>
      </w:tabs>
    </w:pPr>
    <w:rPr>
      <w:noProof/>
      <w:lang w:val="en-US"/>
    </w:rPr>
  </w:style>
  <w:style w:type="paragraph" w:customStyle="1" w:styleId="TH">
    <w:name w:val="TH"/>
    <w:basedOn w:val="Normal"/>
    <w:link w:val="THChar"/>
    <w:qFormat/>
    <w:rsid w:val="00A63872"/>
    <w:pPr>
      <w:keepNext/>
      <w:keepLines/>
      <w:spacing w:before="60"/>
      <w:jc w:val="center"/>
    </w:pPr>
    <w:rPr>
      <w:rFonts w:ascii="Arial" w:hAnsi="Arial"/>
      <w:b/>
      <w:lang w:val="en-US"/>
    </w:rPr>
  </w:style>
  <w:style w:type="paragraph" w:customStyle="1" w:styleId="NF">
    <w:name w:val="NF"/>
    <w:basedOn w:val="NO"/>
    <w:rsid w:val="00A63872"/>
    <w:pPr>
      <w:keepNext/>
    </w:pPr>
    <w:rPr>
      <w:rFonts w:ascii="Arial" w:hAnsi="Arial"/>
      <w:sz w:val="18"/>
    </w:rPr>
  </w:style>
  <w:style w:type="paragraph" w:customStyle="1" w:styleId="PL">
    <w:name w:val="PL"/>
    <w:rsid w:val="00A6387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New York" w:hAnsi="New York"/>
      <w:noProof/>
      <w:sz w:val="16"/>
    </w:rPr>
  </w:style>
  <w:style w:type="paragraph" w:customStyle="1" w:styleId="TAR">
    <w:name w:val="TAR"/>
    <w:basedOn w:val="TAL"/>
    <w:rsid w:val="00A63872"/>
    <w:pPr>
      <w:jc w:val="right"/>
    </w:pPr>
  </w:style>
  <w:style w:type="paragraph" w:customStyle="1" w:styleId="H6">
    <w:name w:val="H6"/>
    <w:basedOn w:val="Heading5"/>
    <w:next w:val="Normal"/>
    <w:rsid w:val="00A63872"/>
    <w:pPr>
      <w:ind w:left="1985" w:hanging="1985"/>
      <w:outlineLvl w:val="9"/>
    </w:pPr>
    <w:rPr>
      <w:sz w:val="20"/>
    </w:rPr>
  </w:style>
  <w:style w:type="paragraph" w:customStyle="1" w:styleId="TAN">
    <w:name w:val="TAN"/>
    <w:basedOn w:val="TAL"/>
    <w:link w:val="TANChar"/>
    <w:rsid w:val="00A63872"/>
    <w:pPr>
      <w:ind w:left="851" w:hanging="851"/>
    </w:pPr>
  </w:style>
  <w:style w:type="paragraph" w:customStyle="1" w:styleId="TAL">
    <w:name w:val="TAL"/>
    <w:basedOn w:val="Normal"/>
    <w:link w:val="TALCar"/>
    <w:qFormat/>
    <w:rsid w:val="00A63872"/>
    <w:pPr>
      <w:keepNext/>
      <w:keepLines/>
    </w:pPr>
    <w:rPr>
      <w:rFonts w:ascii="Arial" w:hAnsi="Arial"/>
      <w:sz w:val="18"/>
      <w:lang w:val="en-US"/>
    </w:rPr>
  </w:style>
  <w:style w:type="paragraph" w:customStyle="1" w:styleId="ZA">
    <w:name w:val="ZA"/>
    <w:rsid w:val="00A63872"/>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A63872"/>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D">
    <w:name w:val="ZD"/>
    <w:rsid w:val="00A63872"/>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U">
    <w:name w:val="ZU"/>
    <w:rsid w:val="00A63872"/>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V">
    <w:name w:val="ZV"/>
    <w:basedOn w:val="ZU"/>
    <w:rsid w:val="00A63872"/>
    <w:pPr>
      <w:framePr w:wrap="notBeside" w:y="16161"/>
    </w:pPr>
  </w:style>
  <w:style w:type="character" w:customStyle="1" w:styleId="ZGSM">
    <w:name w:val="ZGSM"/>
    <w:rsid w:val="00A63872"/>
  </w:style>
  <w:style w:type="paragraph" w:styleId="List2">
    <w:name w:val="List 2"/>
    <w:basedOn w:val="List"/>
    <w:rsid w:val="00A63872"/>
    <w:pPr>
      <w:ind w:left="851"/>
    </w:pPr>
  </w:style>
  <w:style w:type="paragraph" w:customStyle="1" w:styleId="ZG">
    <w:name w:val="ZG"/>
    <w:rsid w:val="00A63872"/>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styleId="List3">
    <w:name w:val="List 3"/>
    <w:basedOn w:val="List2"/>
    <w:rsid w:val="00A63872"/>
    <w:pPr>
      <w:ind w:left="1135"/>
    </w:pPr>
  </w:style>
  <w:style w:type="paragraph" w:styleId="List4">
    <w:name w:val="List 4"/>
    <w:basedOn w:val="List3"/>
    <w:rsid w:val="00A63872"/>
    <w:pPr>
      <w:ind w:left="1418"/>
    </w:pPr>
  </w:style>
  <w:style w:type="paragraph" w:styleId="List5">
    <w:name w:val="List 5"/>
    <w:basedOn w:val="List4"/>
    <w:rsid w:val="00A63872"/>
    <w:pPr>
      <w:ind w:left="1702"/>
    </w:pPr>
  </w:style>
  <w:style w:type="paragraph" w:customStyle="1" w:styleId="EditorsNote">
    <w:name w:val="Editor's Note"/>
    <w:basedOn w:val="NO"/>
    <w:rsid w:val="00A63872"/>
    <w:rPr>
      <w:color w:val="FF0000"/>
    </w:rPr>
  </w:style>
  <w:style w:type="paragraph" w:styleId="List">
    <w:name w:val="List"/>
    <w:basedOn w:val="Normal"/>
    <w:rsid w:val="00A63872"/>
    <w:pPr>
      <w:ind w:left="568" w:hanging="284"/>
    </w:pPr>
    <w:rPr>
      <w:lang w:val="en-US"/>
    </w:rPr>
  </w:style>
  <w:style w:type="paragraph" w:styleId="ListBullet">
    <w:name w:val="List Bullet"/>
    <w:basedOn w:val="List"/>
    <w:rsid w:val="00A63872"/>
  </w:style>
  <w:style w:type="paragraph" w:styleId="ListBullet4">
    <w:name w:val="List Bullet 4"/>
    <w:basedOn w:val="ListBullet3"/>
    <w:rsid w:val="00A63872"/>
    <w:pPr>
      <w:ind w:left="1418"/>
    </w:pPr>
  </w:style>
  <w:style w:type="paragraph" w:styleId="ListBullet5">
    <w:name w:val="List Bullet 5"/>
    <w:basedOn w:val="ListBullet4"/>
    <w:rsid w:val="00A63872"/>
    <w:pPr>
      <w:ind w:left="1702"/>
    </w:pPr>
  </w:style>
  <w:style w:type="paragraph" w:customStyle="1" w:styleId="B1">
    <w:name w:val="B1"/>
    <w:basedOn w:val="List"/>
    <w:link w:val="B1Char1"/>
    <w:qFormat/>
    <w:rsid w:val="00A63872"/>
  </w:style>
  <w:style w:type="paragraph" w:customStyle="1" w:styleId="B2">
    <w:name w:val="B2"/>
    <w:basedOn w:val="List2"/>
    <w:link w:val="B2Char"/>
    <w:qFormat/>
    <w:rsid w:val="00A63872"/>
  </w:style>
  <w:style w:type="paragraph" w:customStyle="1" w:styleId="B3">
    <w:name w:val="B3"/>
    <w:basedOn w:val="List3"/>
    <w:rsid w:val="00A63872"/>
  </w:style>
  <w:style w:type="paragraph" w:customStyle="1" w:styleId="B4">
    <w:name w:val="B4"/>
    <w:basedOn w:val="List4"/>
    <w:rsid w:val="00A63872"/>
  </w:style>
  <w:style w:type="paragraph" w:customStyle="1" w:styleId="B5">
    <w:name w:val="B5"/>
    <w:basedOn w:val="List5"/>
    <w:rsid w:val="00A63872"/>
  </w:style>
  <w:style w:type="paragraph" w:styleId="Footer">
    <w:name w:val="footer"/>
    <w:basedOn w:val="Header"/>
    <w:link w:val="FooterChar"/>
    <w:uiPriority w:val="99"/>
    <w:rsid w:val="00A63872"/>
    <w:pPr>
      <w:jc w:val="center"/>
    </w:pPr>
    <w:rPr>
      <w:i/>
      <w:lang w:val="x-none" w:eastAsia="x-none"/>
    </w:rPr>
  </w:style>
  <w:style w:type="paragraph" w:customStyle="1" w:styleId="ZTD">
    <w:name w:val="ZTD"/>
    <w:basedOn w:val="ZB"/>
    <w:rsid w:val="00A63872"/>
    <w:pPr>
      <w:framePr w:hRule="auto" w:wrap="notBeside" w:y="852"/>
    </w:pPr>
    <w:rPr>
      <w:i w:val="0"/>
      <w:sz w:val="40"/>
    </w:rPr>
  </w:style>
  <w:style w:type="character" w:customStyle="1" w:styleId="MTEquationSection">
    <w:name w:val="MTEquationSection"/>
    <w:rPr>
      <w:rFonts w:ascii="Arial" w:hAnsi="Arial"/>
      <w:vanish w:val="0"/>
      <w:color w:val="FF0000"/>
      <w:sz w:val="24"/>
    </w:rPr>
  </w:style>
  <w:style w:type="paragraph" w:styleId="BodyText3">
    <w:name w:val="Body Text 3"/>
    <w:basedOn w:val="Normal"/>
    <w:rPr>
      <w:i/>
      <w:lang w:val="en-US"/>
    </w:rPr>
  </w:style>
  <w:style w:type="paragraph" w:styleId="DocumentMap">
    <w:name w:val="Document Map"/>
    <w:basedOn w:val="Normal"/>
    <w:semiHidden/>
    <w:pPr>
      <w:shd w:val="clear" w:color="auto" w:fill="000080"/>
    </w:pPr>
    <w:rPr>
      <w:rFonts w:ascii="New York" w:hAnsi="New York"/>
    </w:rPr>
  </w:style>
  <w:style w:type="paragraph" w:customStyle="1" w:styleId="Bulletedo1">
    <w:name w:val="Bulleted o 1"/>
    <w:basedOn w:val="Normal"/>
    <w:qFormat/>
    <w:pPr>
      <w:numPr>
        <w:numId w:val="1"/>
      </w:numPr>
    </w:pPr>
    <w:rPr>
      <w:lang w:val="en-US"/>
    </w:rPr>
  </w:style>
  <w:style w:type="paragraph" w:customStyle="1" w:styleId="text">
    <w:name w:val="text"/>
    <w:basedOn w:val="Normal"/>
    <w:pPr>
      <w:spacing w:after="240"/>
      <w:jc w:val="both"/>
    </w:pPr>
    <w:rPr>
      <w:rFonts w:eastAsia="SimSun"/>
      <w:lang w:val="en-US"/>
    </w:rPr>
  </w:style>
  <w:style w:type="paragraph" w:customStyle="1" w:styleId="Equation">
    <w:name w:val="Equation"/>
    <w:basedOn w:val="Normal"/>
    <w:next w:val="Normal"/>
    <w:pPr>
      <w:tabs>
        <w:tab w:val="right" w:pos="10206"/>
      </w:tabs>
      <w:spacing w:after="220"/>
      <w:ind w:left="1298"/>
    </w:pPr>
    <w:rPr>
      <w:rFonts w:ascii="Arial" w:hAnsi="Arial"/>
      <w:sz w:val="22"/>
      <w:lang w:val="en-US"/>
    </w:rPr>
  </w:style>
  <w:style w:type="paragraph" w:customStyle="1" w:styleId="00BodyText">
    <w:name w:val="00 BodyText"/>
    <w:basedOn w:val="Normal"/>
    <w:pPr>
      <w:spacing w:after="220"/>
    </w:pPr>
    <w:rPr>
      <w:rFonts w:ascii="Arial" w:hAnsi="Arial"/>
      <w:sz w:val="22"/>
      <w:lang w:val="en-US"/>
    </w:rPr>
  </w:style>
  <w:style w:type="paragraph" w:customStyle="1" w:styleId="11BodyText">
    <w:name w:val="11 BodyText"/>
    <w:basedOn w:val="Normal"/>
    <w:pPr>
      <w:spacing w:after="220"/>
      <w:ind w:left="1298"/>
    </w:pPr>
    <w:rPr>
      <w:rFonts w:ascii="Arial" w:hAnsi="Arial"/>
      <w:sz w:val="22"/>
      <w:lang w:val="en-US"/>
    </w:rPr>
  </w:style>
  <w:style w:type="paragraph" w:customStyle="1" w:styleId="table">
    <w:name w:val="table"/>
    <w:basedOn w:val="text"/>
    <w:next w:val="text"/>
    <w:pPr>
      <w:spacing w:after="0"/>
      <w:jc w:val="center"/>
    </w:pPr>
    <w:rPr>
      <w:sz w:val="20"/>
    </w:rPr>
  </w:style>
  <w:style w:type="paragraph" w:styleId="Caption">
    <w:name w:val="caption"/>
    <w:aliases w:val="cap,cap Char,Caption Char1 Char,cap Char Char1,Caption Char Char1 Char,cap Char2,3GPP Caption Table,cap1,cap2,cap11,Légende-figure,Légende-figure Char,Beschrifubg,Beschriftung Char,label,cap11 Char Char Char,captions,Beschriftung Char Char,Ca,C"/>
    <w:basedOn w:val="Normal"/>
    <w:next w:val="Normal"/>
    <w:link w:val="CaptionChar"/>
    <w:qFormat/>
    <w:rsid w:val="00913F9C"/>
    <w:pPr>
      <w:keepNext/>
      <w:spacing w:before="60" w:after="60"/>
    </w:pPr>
    <w:rPr>
      <w:b/>
      <w:bCs/>
      <w:sz w:val="16"/>
      <w:lang w:val="en-US"/>
    </w:rPr>
  </w:style>
  <w:style w:type="paragraph" w:customStyle="1" w:styleId="bodyCharCharChar">
    <w:name w:val="body Char Char Char"/>
    <w:basedOn w:val="Normal"/>
    <w:pPr>
      <w:tabs>
        <w:tab w:val="left" w:pos="2160"/>
      </w:tabs>
      <w:spacing w:before="120" w:after="120" w:line="280" w:lineRule="atLeast"/>
      <w:jc w:val="both"/>
    </w:pPr>
    <w:rPr>
      <w:rFonts w:ascii="v4.2.0" w:hAnsi="v4.2.0"/>
      <w:lang w:val="en-US"/>
    </w:rPr>
  </w:style>
  <w:style w:type="paragraph" w:styleId="BodyText">
    <w:name w:val="Body Text"/>
    <w:aliases w:val="bt"/>
    <w:basedOn w:val="Normal"/>
    <w:pPr>
      <w:spacing w:after="120"/>
      <w:jc w:val="both"/>
    </w:pPr>
    <w:rPr>
      <w:rFonts w:ascii="New York" w:hAnsi="New York"/>
      <w:lang w:val="en-US"/>
    </w:rPr>
  </w:style>
  <w:style w:type="paragraph" w:styleId="BodyText2">
    <w:name w:val="Body Text 2"/>
    <w:basedOn w:val="Normal"/>
    <w:pPr>
      <w:tabs>
        <w:tab w:val="left" w:pos="1985"/>
      </w:tabs>
      <w:jc w:val="both"/>
    </w:pPr>
    <w:rPr>
      <w:rFonts w:ascii="Arial" w:hAnsi="Arial"/>
      <w:sz w:val="22"/>
      <w:lang w:val="en-US"/>
    </w:rPr>
  </w:style>
  <w:style w:type="character" w:customStyle="1" w:styleId="Heading1Char">
    <w:name w:val="Heading 1 Char"/>
    <w:rPr>
      <w:rFonts w:ascii="Arial" w:hAnsi="Arial"/>
      <w:sz w:val="36"/>
      <w:lang w:val="en-GB" w:eastAsia="en-US" w:bidi="ar-SA"/>
    </w:rPr>
  </w:style>
  <w:style w:type="paragraph" w:customStyle="1" w:styleId="body">
    <w:name w:val="body"/>
    <w:basedOn w:val="Normal"/>
    <w:pPr>
      <w:tabs>
        <w:tab w:val="left" w:pos="2160"/>
      </w:tabs>
      <w:spacing w:before="120" w:after="120" w:line="280" w:lineRule="atLeast"/>
      <w:jc w:val="both"/>
    </w:pPr>
    <w:rPr>
      <w:rFonts w:ascii="v4.2.0" w:hAnsi="v4.2.0"/>
      <w:lang w:val="en-US"/>
    </w:rPr>
  </w:style>
  <w:style w:type="table" w:styleId="TableGrid">
    <w:name w:val="Table Grid"/>
    <w:basedOn w:val="TableNormal"/>
    <w:uiPriority w:val="59"/>
    <w:qFormat/>
    <w:rsid w:val="00272FEB"/>
    <w:pPr>
      <w:spacing w:before="120" w:line="280" w:lineRule="atLeast"/>
      <w:jc w:val="both"/>
    </w:pPr>
    <w:rPr>
      <w:rFonts w:ascii="v4.2.0" w:hAnsi="v4.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505E39"/>
  </w:style>
  <w:style w:type="character" w:styleId="CommentReference">
    <w:name w:val="annotation reference"/>
    <w:uiPriority w:val="99"/>
    <w:qFormat/>
    <w:rsid w:val="00A10B48"/>
    <w:rPr>
      <w:sz w:val="16"/>
      <w:szCs w:val="16"/>
    </w:rPr>
  </w:style>
  <w:style w:type="paragraph" w:styleId="CommentText">
    <w:name w:val="annotation text"/>
    <w:basedOn w:val="Normal"/>
    <w:link w:val="CommentTextChar"/>
    <w:uiPriority w:val="99"/>
    <w:rsid w:val="00A10B48"/>
    <w:rPr>
      <w:lang w:val="en-US" w:eastAsia="x-none"/>
    </w:rPr>
  </w:style>
  <w:style w:type="paragraph" w:styleId="CommentSubject">
    <w:name w:val="annotation subject"/>
    <w:basedOn w:val="CommentText"/>
    <w:next w:val="CommentText"/>
    <w:semiHidden/>
    <w:rsid w:val="00A10B48"/>
    <w:rPr>
      <w:b/>
      <w:bCs/>
    </w:rPr>
  </w:style>
  <w:style w:type="paragraph" w:styleId="BalloonText">
    <w:name w:val="Balloon Text"/>
    <w:basedOn w:val="Normal"/>
    <w:link w:val="BalloonTextChar"/>
    <w:uiPriority w:val="99"/>
    <w:semiHidden/>
    <w:rsid w:val="00A10B48"/>
    <w:rPr>
      <w:rFonts w:ascii="New York" w:hAnsi="New York" w:cs="New York"/>
      <w:sz w:val="16"/>
      <w:szCs w:val="16"/>
    </w:rPr>
  </w:style>
  <w:style w:type="paragraph" w:customStyle="1" w:styleId="CRCoverPage">
    <w:name w:val="CR Cover Page"/>
    <w:rsid w:val="00F6433C"/>
    <w:pPr>
      <w:spacing w:after="120"/>
    </w:pPr>
    <w:rPr>
      <w:rFonts w:ascii="Arial" w:eastAsia="MS Mincho" w:hAnsi="Arial"/>
      <w:lang w:val="en-GB"/>
    </w:rPr>
  </w:style>
  <w:style w:type="character" w:customStyle="1" w:styleId="Heading1Char1">
    <w:name w:val="Heading 1 Char1"/>
    <w:link w:val="Heading1"/>
    <w:rsid w:val="009C2D12"/>
    <w:rPr>
      <w:rFonts w:ascii="Arial" w:hAnsi="Arial"/>
      <w:sz w:val="36"/>
      <w:lang w:val="en-GB"/>
    </w:rPr>
  </w:style>
  <w:style w:type="character" w:customStyle="1" w:styleId="Heading2Char">
    <w:name w:val="Heading 2 Char"/>
    <w:link w:val="Heading2"/>
    <w:rsid w:val="007B0E72"/>
    <w:rPr>
      <w:rFonts w:ascii="Arial" w:eastAsia="Times New Roman" w:hAnsi="Arial"/>
      <w:sz w:val="24"/>
      <w:lang w:eastAsia="ja-JP" w:bidi="hi-IN"/>
    </w:rPr>
  </w:style>
  <w:style w:type="character" w:customStyle="1" w:styleId="Heading3Char">
    <w:name w:val="Heading 3 Char"/>
    <w:link w:val="Heading3"/>
    <w:rsid w:val="0061723D"/>
    <w:rPr>
      <w:rFonts w:ascii="Arial" w:eastAsia="Times New Roman" w:hAnsi="Arial"/>
      <w:sz w:val="22"/>
      <w:lang w:eastAsia="ja-JP" w:bidi="hi-IN"/>
    </w:rPr>
  </w:style>
  <w:style w:type="character" w:customStyle="1" w:styleId="Heading4Char">
    <w:name w:val="Heading 4 Char"/>
    <w:aliases w:val="h4 Char"/>
    <w:link w:val="Heading4"/>
    <w:rsid w:val="00184F51"/>
    <w:rPr>
      <w:rFonts w:ascii="Arial" w:eastAsia="Times New Roman" w:hAnsi="Arial"/>
      <w:sz w:val="24"/>
      <w:lang w:eastAsia="ja-JP" w:bidi="hi-IN"/>
    </w:rPr>
  </w:style>
  <w:style w:type="character" w:customStyle="1" w:styleId="Heading5Char">
    <w:name w:val="Heading 5 Char"/>
    <w:link w:val="Heading5"/>
    <w:rsid w:val="00184F51"/>
    <w:rPr>
      <w:rFonts w:ascii="Arial" w:eastAsia="Times New Roman" w:hAnsi="Arial"/>
      <w:sz w:val="22"/>
      <w:lang w:eastAsia="ja-JP" w:bidi="hi-IN"/>
    </w:rPr>
  </w:style>
  <w:style w:type="character" w:customStyle="1" w:styleId="CharChar3">
    <w:name w:val="Char Char3"/>
    <w:rsid w:val="00D07DCA"/>
    <w:rPr>
      <w:rFonts w:ascii="Arial" w:hAnsi="Arial"/>
      <w:sz w:val="36"/>
      <w:lang w:val="en-GB" w:eastAsia="en-US" w:bidi="ar-SA"/>
    </w:rPr>
  </w:style>
  <w:style w:type="character" w:customStyle="1" w:styleId="CharChar2">
    <w:name w:val="Char Char2"/>
    <w:rsid w:val="00D07DCA"/>
    <w:rPr>
      <w:rFonts w:ascii="Arial" w:hAnsi="Arial"/>
      <w:sz w:val="32"/>
      <w:lang w:val="en-GB" w:eastAsia="en-US" w:bidi="ar-SA"/>
    </w:rPr>
  </w:style>
  <w:style w:type="character" w:customStyle="1" w:styleId="CharChar1">
    <w:name w:val="Char Char1"/>
    <w:rsid w:val="00D07DCA"/>
    <w:rPr>
      <w:rFonts w:ascii="Arial" w:hAnsi="Arial"/>
      <w:sz w:val="28"/>
      <w:lang w:val="en-GB" w:eastAsia="en-US" w:bidi="ar-SA"/>
    </w:rPr>
  </w:style>
  <w:style w:type="character" w:customStyle="1" w:styleId="h4CharChar">
    <w:name w:val="h4 Char Char"/>
    <w:rsid w:val="00D07DCA"/>
    <w:rPr>
      <w:rFonts w:ascii="Arial" w:hAnsi="Arial"/>
      <w:sz w:val="24"/>
      <w:lang w:val="en-GB" w:eastAsia="en-US" w:bidi="ar-SA"/>
    </w:rPr>
  </w:style>
  <w:style w:type="character" w:customStyle="1" w:styleId="CharChar">
    <w:name w:val="Char Char"/>
    <w:rsid w:val="00D07DCA"/>
    <w:rPr>
      <w:rFonts w:ascii="Arial" w:hAnsi="Arial"/>
      <w:sz w:val="22"/>
      <w:lang w:val="en-GB" w:eastAsia="en-US" w:bidi="ar-SA"/>
    </w:rPr>
  </w:style>
  <w:style w:type="paragraph" w:styleId="ListParagraph">
    <w:name w:val="List Paragraph"/>
    <w:aliases w:val="- Bullets,リスト段落,列出段落,Lista1,?? ??,?????,????,列出段落1,中等深浅网格 1 - 着色 21,列表段落,¥¡¡¡¡ì¬º¥¹¥È¶ÎÂä,ÁÐ³ö¶ÎÂä,列表段落1,—ño’i—Ž,¥ê¥¹¥È¶ÎÂä,1st level - Bullet List Paragraph,Lettre d'introduction,Paragrafo elenco,Normal bullet 2,Bullet list,목록단락"/>
    <w:basedOn w:val="Normal"/>
    <w:link w:val="ListParagraphChar"/>
    <w:uiPriority w:val="34"/>
    <w:qFormat/>
    <w:rsid w:val="00E57B43"/>
    <w:pPr>
      <w:numPr>
        <w:numId w:val="7"/>
      </w:numPr>
    </w:pPr>
    <w:rPr>
      <w:rFonts w:eastAsia="Calibri"/>
      <w:lang w:val="en-US" w:eastAsia="ja-JP" w:bidi="hi-IN"/>
    </w:rPr>
  </w:style>
  <w:style w:type="paragraph" w:customStyle="1" w:styleId="Reference">
    <w:name w:val="Reference"/>
    <w:basedOn w:val="EX"/>
    <w:rsid w:val="000A7C88"/>
    <w:pPr>
      <w:tabs>
        <w:tab w:val="num" w:pos="360"/>
      </w:tabs>
      <w:suppressAutoHyphens/>
      <w:ind w:left="0" w:firstLine="0"/>
    </w:pPr>
    <w:rPr>
      <w:lang w:eastAsia="ar-SA"/>
    </w:rPr>
  </w:style>
  <w:style w:type="paragraph" w:styleId="Subtitle">
    <w:name w:val="Subtitle"/>
    <w:basedOn w:val="Normal"/>
    <w:next w:val="Normal"/>
    <w:link w:val="SubtitleChar"/>
    <w:rsid w:val="005D609E"/>
    <w:pPr>
      <w:spacing w:after="60"/>
      <w:jc w:val="center"/>
      <w:outlineLvl w:val="1"/>
    </w:pPr>
    <w:rPr>
      <w:rFonts w:ascii="MS Mincho" w:hAnsi="MS Mincho"/>
      <w:lang w:val="en-US" w:eastAsia="x-none"/>
    </w:rPr>
  </w:style>
  <w:style w:type="character" w:customStyle="1" w:styleId="SubtitleChar">
    <w:name w:val="Subtitle Char"/>
    <w:link w:val="Subtitle"/>
    <w:rsid w:val="005D609E"/>
    <w:rPr>
      <w:rFonts w:ascii="MS Mincho" w:eastAsia="Times New Roman" w:hAnsi="MS Mincho" w:cs="Times New Roman"/>
      <w:sz w:val="24"/>
      <w:szCs w:val="24"/>
      <w:lang w:val="en-GB"/>
    </w:rPr>
  </w:style>
  <w:style w:type="paragraph" w:styleId="Revision">
    <w:name w:val="Revision"/>
    <w:hidden/>
    <w:uiPriority w:val="99"/>
    <w:semiHidden/>
    <w:rsid w:val="00F1403E"/>
    <w:rPr>
      <w:rFonts w:ascii="Times New Roman" w:hAnsi="Times New Roman"/>
      <w:lang w:val="en-GB"/>
    </w:rPr>
  </w:style>
  <w:style w:type="paragraph" w:styleId="NormalWeb">
    <w:name w:val="Normal (Web)"/>
    <w:basedOn w:val="Normal"/>
    <w:uiPriority w:val="99"/>
    <w:unhideWhenUsed/>
    <w:rsid w:val="00D80C93"/>
    <w:pPr>
      <w:spacing w:before="100" w:beforeAutospacing="1" w:after="100" w:afterAutospacing="1"/>
    </w:pPr>
    <w:rPr>
      <w:lang w:val="en-US"/>
    </w:rPr>
  </w:style>
  <w:style w:type="character" w:customStyle="1" w:styleId="CommentTextChar">
    <w:name w:val="Comment Text Char"/>
    <w:link w:val="CommentText"/>
    <w:uiPriority w:val="99"/>
    <w:rsid w:val="00552FF4"/>
    <w:rPr>
      <w:rFonts w:ascii="Times New Roman" w:hAnsi="Times New Roman"/>
      <w:lang w:val="en-GB"/>
    </w:rPr>
  </w:style>
  <w:style w:type="character" w:styleId="PlaceholderText">
    <w:name w:val="Placeholder Text"/>
    <w:uiPriority w:val="99"/>
    <w:semiHidden/>
    <w:rsid w:val="006601F9"/>
    <w:rPr>
      <w:color w:val="808080"/>
    </w:rPr>
  </w:style>
  <w:style w:type="character" w:styleId="Hyperlink">
    <w:name w:val="Hyperlink"/>
    <w:uiPriority w:val="99"/>
    <w:rsid w:val="00EE0E09"/>
    <w:rPr>
      <w:color w:val="0000FF"/>
      <w:u w:val="single"/>
    </w:rPr>
  </w:style>
  <w:style w:type="character" w:styleId="FollowedHyperlink">
    <w:name w:val="FollowedHyperlink"/>
    <w:rsid w:val="00EE0E09"/>
    <w:rPr>
      <w:color w:val="800080"/>
      <w:u w:val="single"/>
    </w:rPr>
  </w:style>
  <w:style w:type="table" w:styleId="DarkList-Accent6">
    <w:name w:val="Dark List Accent 6"/>
    <w:basedOn w:val="TableNormal"/>
    <w:uiPriority w:val="70"/>
    <w:rsid w:val="00D3668C"/>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customStyle="1" w:styleId="FooterChar">
    <w:name w:val="Footer Char"/>
    <w:link w:val="Footer"/>
    <w:uiPriority w:val="99"/>
    <w:rsid w:val="0002790C"/>
    <w:rPr>
      <w:rFonts w:ascii="Arial" w:hAnsi="Arial"/>
      <w:b/>
      <w:i/>
      <w:noProof/>
      <w:sz w:val="18"/>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locked/>
    <w:rsid w:val="00FE2955"/>
    <w:rPr>
      <w:rFonts w:ascii="Arial" w:hAnsi="Arial"/>
      <w:b/>
      <w:noProof/>
      <w:sz w:val="18"/>
      <w:lang w:val="en-US" w:eastAsia="en-US" w:bidi="ar-SA"/>
    </w:rPr>
  </w:style>
  <w:style w:type="character" w:customStyle="1" w:styleId="CaptionChar">
    <w:name w:val="Caption Char"/>
    <w:aliases w:val="cap Char1,cap Char Char,Caption Char1 Char Char,cap Char Char1 Char,Caption Char Char1 Char Char,cap Char2 Char,3GPP Caption Table Char,cap1 Char,cap2 Char,cap11 Char,Légende-figure Char1,Légende-figure Char Char,Beschrifubg Char,label Char"/>
    <w:link w:val="Caption"/>
    <w:locked/>
    <w:rsid w:val="00913F9C"/>
    <w:rPr>
      <w:rFonts w:ascii="Times New Roman" w:hAnsi="Times New Roman"/>
      <w:b/>
      <w:bCs/>
      <w:sz w:val="16"/>
      <w:lang w:val="en-GB" w:eastAsia="en-US"/>
    </w:rPr>
  </w:style>
  <w:style w:type="character" w:styleId="Emphasis">
    <w:name w:val="Emphasis"/>
    <w:rsid w:val="005243F4"/>
    <w:rPr>
      <w:i/>
      <w:iCs/>
    </w:rPr>
  </w:style>
  <w:style w:type="character" w:customStyle="1" w:styleId="TACChar">
    <w:name w:val="TAC Char"/>
    <w:link w:val="TAC"/>
    <w:rsid w:val="00654C1F"/>
    <w:rPr>
      <w:rFonts w:ascii="Arial" w:hAnsi="Arial"/>
      <w:sz w:val="18"/>
      <w:lang w:val="en-GB" w:eastAsia="en-US"/>
    </w:rPr>
  </w:style>
  <w:style w:type="character" w:customStyle="1" w:styleId="TALCar">
    <w:name w:val="TAL Car"/>
    <w:link w:val="TAL"/>
    <w:qFormat/>
    <w:rsid w:val="00564F02"/>
    <w:rPr>
      <w:rFonts w:ascii="Arial" w:hAnsi="Arial"/>
      <w:sz w:val="18"/>
      <w:lang w:val="en-GB"/>
    </w:rPr>
  </w:style>
  <w:style w:type="character" w:customStyle="1" w:styleId="TAHCar">
    <w:name w:val="TAH Car"/>
    <w:link w:val="TAH"/>
    <w:rsid w:val="00564F02"/>
    <w:rPr>
      <w:rFonts w:ascii="Arial" w:hAnsi="Arial"/>
      <w:b/>
      <w:sz w:val="18"/>
      <w:lang w:val="en-GB"/>
    </w:rPr>
  </w:style>
  <w:style w:type="character" w:customStyle="1" w:styleId="THChar">
    <w:name w:val="TH Char"/>
    <w:link w:val="TH"/>
    <w:qFormat/>
    <w:rsid w:val="00564F02"/>
    <w:rPr>
      <w:rFonts w:ascii="Arial" w:hAnsi="Arial"/>
      <w:b/>
      <w:lang w:val="en-GB"/>
    </w:rPr>
  </w:style>
  <w:style w:type="paragraph" w:styleId="ListNumber4">
    <w:name w:val="List Number 4"/>
    <w:basedOn w:val="Normal"/>
    <w:rsid w:val="00564F02"/>
    <w:pPr>
      <w:numPr>
        <w:numId w:val="3"/>
      </w:numPr>
      <w:tabs>
        <w:tab w:val="num" w:pos="1209"/>
      </w:tabs>
      <w:spacing w:after="180"/>
      <w:ind w:left="1209"/>
    </w:pPr>
    <w:rPr>
      <w:rFonts w:eastAsia="MS Mincho"/>
      <w:lang w:val="en-US" w:eastAsia="en-GB"/>
    </w:rPr>
  </w:style>
  <w:style w:type="character" w:customStyle="1" w:styleId="ListParagraphChar">
    <w:name w:val="List Paragraph Char"/>
    <w:aliases w:val="- Bullets Char,リスト段落 Char,列出段落 Char,Lista1 Char,?? ?? Char,????? Char,???? Char,列出段落1 Char,中等深浅网格 1 - 着色 21 Char,列表段落 Char,¥¡¡¡¡ì¬º¥¹¥È¶ÎÂä Char,ÁÐ³ö¶ÎÂä Char,列表段落1 Char,—ño’i—Ž Char,¥ê¥¹¥È¶ÎÂä Char,Lettre d'introduction Char"/>
    <w:link w:val="ListParagraph"/>
    <w:uiPriority w:val="34"/>
    <w:qFormat/>
    <w:locked/>
    <w:rsid w:val="00E57B43"/>
    <w:rPr>
      <w:rFonts w:ascii="Times New Roman" w:eastAsia="Calibri" w:hAnsi="Times New Roman"/>
      <w:sz w:val="24"/>
      <w:szCs w:val="24"/>
      <w:lang w:eastAsia="ja-JP" w:bidi="hi-IN"/>
    </w:rPr>
  </w:style>
  <w:style w:type="paragraph" w:styleId="PlainText">
    <w:name w:val="Plain Text"/>
    <w:basedOn w:val="Normal"/>
    <w:link w:val="PlainTextChar1"/>
    <w:uiPriority w:val="99"/>
    <w:unhideWhenUsed/>
    <w:rsid w:val="002E4C0E"/>
    <w:rPr>
      <w:rFonts w:ascii="Vrinda" w:eastAsia="Calibri" w:hAnsi="Vrinda"/>
      <w:sz w:val="21"/>
      <w:szCs w:val="21"/>
      <w:lang w:val="x-none" w:eastAsia="x-none"/>
    </w:rPr>
  </w:style>
  <w:style w:type="character" w:customStyle="1" w:styleId="PlainTextChar">
    <w:name w:val="Plain Text Char"/>
    <w:rsid w:val="002E4C0E"/>
    <w:rPr>
      <w:rFonts w:ascii="New York" w:hAnsi="New York" w:cs="New York"/>
      <w:lang w:val="en-GB"/>
    </w:rPr>
  </w:style>
  <w:style w:type="character" w:customStyle="1" w:styleId="PlainTextChar1">
    <w:name w:val="Plain Text Char1"/>
    <w:link w:val="PlainText"/>
    <w:uiPriority w:val="99"/>
    <w:rsid w:val="002E4C0E"/>
    <w:rPr>
      <w:rFonts w:ascii="Vrinda" w:eastAsia="Calibri" w:hAnsi="Vrinda"/>
      <w:sz w:val="21"/>
      <w:szCs w:val="21"/>
      <w:lang w:val="x-none" w:eastAsia="x-none"/>
    </w:rPr>
  </w:style>
  <w:style w:type="table" w:styleId="TableGrid1">
    <w:name w:val="Table Grid 1"/>
    <w:basedOn w:val="TableNormal"/>
    <w:rsid w:val="005F172A"/>
    <w:pPr>
      <w:overflowPunct w:val="0"/>
      <w:autoSpaceDE w:val="0"/>
      <w:autoSpaceDN w:val="0"/>
      <w:adjustRightInd w:val="0"/>
      <w:spacing w:before="120" w:after="120"/>
      <w:textAlignment w:val="baseline"/>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Elegant">
    <w:name w:val="Table Elegant"/>
    <w:basedOn w:val="TableNormal"/>
    <w:rsid w:val="00CC6B9F"/>
    <w:pPr>
      <w:overflowPunct w:val="0"/>
      <w:autoSpaceDE w:val="0"/>
      <w:autoSpaceDN w:val="0"/>
      <w:adjustRightInd w:val="0"/>
      <w:spacing w:before="120" w:after="120"/>
      <w:textAlignment w:val="baseline"/>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Char">
    <w:name w:val="Char"/>
    <w:rsid w:val="00320312"/>
    <w:pPr>
      <w:keepNext/>
      <w:numPr>
        <w:numId w:val="4"/>
      </w:numPr>
      <w:tabs>
        <w:tab w:val="left" w:pos="851"/>
      </w:tabs>
      <w:autoSpaceDE w:val="0"/>
      <w:autoSpaceDN w:val="0"/>
      <w:adjustRightInd w:val="0"/>
      <w:spacing w:before="60" w:after="60"/>
      <w:jc w:val="both"/>
    </w:pPr>
    <w:rPr>
      <w:rFonts w:ascii="Arial" w:hAnsi="Arial" w:cs="Arial"/>
      <w:color w:val="0000FF"/>
      <w:kern w:val="2"/>
      <w:lang w:eastAsia="zh-CN"/>
    </w:rPr>
  </w:style>
  <w:style w:type="character" w:customStyle="1" w:styleId="fontstyle01">
    <w:name w:val="fontstyle01"/>
    <w:rsid w:val="00633780"/>
    <w:rPr>
      <w:rFonts w:ascii="Calibri" w:hAnsi="Calibri" w:cs="Calibri" w:hint="default"/>
      <w:b w:val="0"/>
      <w:bCs w:val="0"/>
      <w:i w:val="0"/>
      <w:iCs w:val="0"/>
      <w:color w:val="000000"/>
      <w:sz w:val="18"/>
      <w:szCs w:val="18"/>
    </w:rPr>
  </w:style>
  <w:style w:type="character" w:customStyle="1" w:styleId="TANChar">
    <w:name w:val="TAN Char"/>
    <w:link w:val="TAN"/>
    <w:rsid w:val="0025304C"/>
    <w:rPr>
      <w:rFonts w:ascii="Arial" w:hAnsi="Arial"/>
      <w:sz w:val="18"/>
      <w:lang w:val="en-GB" w:eastAsia="en-US"/>
    </w:rPr>
  </w:style>
  <w:style w:type="paragraph" w:customStyle="1" w:styleId="CharCharCharCharChar">
    <w:name w:val="Char Char Char Char Char"/>
    <w:semiHidden/>
    <w:rsid w:val="0025304C"/>
    <w:pPr>
      <w:keepNext/>
      <w:numPr>
        <w:numId w:val="6"/>
      </w:numPr>
      <w:autoSpaceDE w:val="0"/>
      <w:autoSpaceDN w:val="0"/>
      <w:adjustRightInd w:val="0"/>
      <w:spacing w:before="60" w:after="60"/>
      <w:jc w:val="both"/>
    </w:pPr>
    <w:rPr>
      <w:rFonts w:ascii="Arial" w:hAnsi="Arial" w:cs="Arial"/>
      <w:color w:val="0000FF"/>
      <w:kern w:val="2"/>
      <w:lang w:eastAsia="zh-CN"/>
    </w:rPr>
  </w:style>
  <w:style w:type="paragraph" w:customStyle="1" w:styleId="NumberedList">
    <w:name w:val="Numbered List"/>
    <w:basedOn w:val="ListParagraph"/>
    <w:link w:val="NumberedListChar"/>
    <w:qFormat/>
    <w:rsid w:val="00E11FDD"/>
    <w:pPr>
      <w:tabs>
        <w:tab w:val="left" w:pos="720"/>
      </w:tabs>
      <w:overflowPunct w:val="0"/>
      <w:autoSpaceDE w:val="0"/>
      <w:autoSpaceDN w:val="0"/>
      <w:adjustRightInd w:val="0"/>
      <w:spacing w:after="180"/>
      <w:ind w:left="0"/>
      <w:textAlignment w:val="baseline"/>
    </w:pPr>
    <w:rPr>
      <w:rFonts w:eastAsia="SimSun"/>
      <w:sz w:val="20"/>
      <w:szCs w:val="20"/>
      <w:lang w:val="en-GB" w:eastAsia="en-GB"/>
    </w:rPr>
  </w:style>
  <w:style w:type="character" w:customStyle="1" w:styleId="NumberedListChar">
    <w:name w:val="Numbered List Char"/>
    <w:link w:val="NumberedList"/>
    <w:rsid w:val="00E11FDD"/>
    <w:rPr>
      <w:rFonts w:ascii="Times New Roman" w:hAnsi="Times New Roman"/>
      <w:lang w:val="en-GB" w:eastAsia="en-GB" w:bidi="hi-IN"/>
    </w:rPr>
  </w:style>
  <w:style w:type="character" w:customStyle="1" w:styleId="fontstyle21">
    <w:name w:val="fontstyle21"/>
    <w:rsid w:val="00263A20"/>
    <w:rPr>
      <w:rFonts w:ascii="SimSun" w:hAnsi="SimSun" w:hint="default"/>
      <w:b w:val="0"/>
      <w:bCs w:val="0"/>
      <w:i/>
      <w:iCs/>
      <w:color w:val="000000"/>
      <w:sz w:val="20"/>
      <w:szCs w:val="20"/>
    </w:rPr>
  </w:style>
  <w:style w:type="character" w:customStyle="1" w:styleId="UnresolvedMention1">
    <w:name w:val="Unresolved Mention1"/>
    <w:basedOn w:val="DefaultParagraphFont"/>
    <w:uiPriority w:val="99"/>
    <w:semiHidden/>
    <w:unhideWhenUsed/>
    <w:rsid w:val="0004781D"/>
    <w:rPr>
      <w:color w:val="808080"/>
      <w:shd w:val="clear" w:color="auto" w:fill="E6E6E6"/>
    </w:rPr>
  </w:style>
  <w:style w:type="character" w:customStyle="1" w:styleId="BodyTextChar1">
    <w:name w:val="Body Text Char1"/>
    <w:aliases w:val="bt Char1,Corps de texte Car Char1,Corps de texte Car1 Car Char1,Corps de texte Car Car Car Char1,Corps de texte Car1 Car Car Car Char1,Corps de texte Car Car Car Car Car Char1,Corps de texte Car1 Car Car Car Car Car Char1,bt Car Char1"/>
    <w:uiPriority w:val="99"/>
    <w:semiHidden/>
    <w:rsid w:val="00AE2057"/>
    <w:rPr>
      <w:rFonts w:ascii="Times New Roman" w:hAnsi="Times New Roman"/>
      <w:lang w:val="en-GB"/>
    </w:rPr>
  </w:style>
  <w:style w:type="character" w:customStyle="1" w:styleId="BalloonTextChar">
    <w:name w:val="Balloon Text Char"/>
    <w:basedOn w:val="DefaultParagraphFont"/>
    <w:link w:val="BalloonText"/>
    <w:uiPriority w:val="99"/>
    <w:semiHidden/>
    <w:rsid w:val="005F0324"/>
    <w:rPr>
      <w:rFonts w:ascii="New York" w:eastAsia="Times New Roman" w:hAnsi="New York" w:cs="New York"/>
      <w:sz w:val="16"/>
      <w:szCs w:val="16"/>
    </w:rPr>
  </w:style>
  <w:style w:type="paragraph" w:customStyle="1" w:styleId="Comments">
    <w:name w:val="Comments"/>
    <w:basedOn w:val="Normal"/>
    <w:link w:val="CommentsChar"/>
    <w:qFormat/>
    <w:rsid w:val="005F0324"/>
    <w:pPr>
      <w:spacing w:before="40"/>
    </w:pPr>
    <w:rPr>
      <w:rFonts w:ascii="Arial" w:eastAsia="MS Mincho" w:hAnsi="Arial"/>
      <w:i/>
      <w:sz w:val="18"/>
      <w:lang w:val="en-GB" w:eastAsia="en-GB"/>
    </w:rPr>
  </w:style>
  <w:style w:type="character" w:customStyle="1" w:styleId="CommentsChar">
    <w:name w:val="Comments Char"/>
    <w:link w:val="Comments"/>
    <w:rsid w:val="005F0324"/>
    <w:rPr>
      <w:rFonts w:ascii="Arial" w:eastAsia="MS Mincho" w:hAnsi="Arial"/>
      <w:i/>
      <w:sz w:val="18"/>
      <w:szCs w:val="24"/>
      <w:lang w:val="en-GB" w:eastAsia="en-GB"/>
    </w:rPr>
  </w:style>
  <w:style w:type="character" w:customStyle="1" w:styleId="apple-converted-space">
    <w:name w:val="apple-converted-space"/>
    <w:basedOn w:val="DefaultParagraphFont"/>
    <w:rsid w:val="000E47BC"/>
  </w:style>
  <w:style w:type="paragraph" w:customStyle="1" w:styleId="References">
    <w:name w:val="References"/>
    <w:basedOn w:val="Normal"/>
    <w:rsid w:val="00C03E72"/>
    <w:pPr>
      <w:numPr>
        <w:ilvl w:val="2"/>
        <w:numId w:val="9"/>
      </w:numPr>
      <w:tabs>
        <w:tab w:val="clear" w:pos="2481"/>
      </w:tabs>
      <w:ind w:left="1260" w:hanging="420"/>
    </w:pPr>
    <w:rPr>
      <w:sz w:val="20"/>
      <w:lang w:val="en-US"/>
    </w:rPr>
  </w:style>
  <w:style w:type="character" w:customStyle="1" w:styleId="ListParagraphChar1">
    <w:name w:val="List Paragraph Char1"/>
    <w:aliases w:val="- Bullets Char1,?? ?? Char1,????? Char1,???? Char1,Lista1 Char1,列出段落 Char1,목록 단락 Char1,リスト段落 Char1,列出段落1 Char1,中等深浅网格 1 - 着色 21 Char1,列表段落 Char1,¥¡¡¡¡ì¬º¥¹¥È¶ÎÂä Char1,ÁÐ³ö¶ÎÂä Char1,列表段落1 Char1,—ño’i—Ž Char1,¥ê¥¹¥È¶ÎÂä Char1"/>
    <w:uiPriority w:val="34"/>
    <w:qFormat/>
    <w:locked/>
    <w:rsid w:val="00240BC6"/>
    <w:rPr>
      <w:rFonts w:ascii="Times New Roman" w:eastAsia="Times New Roman" w:hAnsi="Times New Roman" w:cs="Times New Roman"/>
      <w:sz w:val="24"/>
      <w:szCs w:val="24"/>
    </w:rPr>
  </w:style>
  <w:style w:type="character" w:customStyle="1" w:styleId="B1Char1">
    <w:name w:val="B1 Char1"/>
    <w:link w:val="B1"/>
    <w:qFormat/>
    <w:rsid w:val="0025790F"/>
    <w:rPr>
      <w:rFonts w:ascii="Times New Roman" w:eastAsia="Times New Roman" w:hAnsi="Times New Roman"/>
      <w:sz w:val="24"/>
      <w:szCs w:val="24"/>
    </w:rPr>
  </w:style>
  <w:style w:type="character" w:customStyle="1" w:styleId="B2Char">
    <w:name w:val="B2 Char"/>
    <w:link w:val="B2"/>
    <w:qFormat/>
    <w:locked/>
    <w:rsid w:val="0025790F"/>
    <w:rPr>
      <w:rFonts w:ascii="Times New Roman" w:eastAsia="Times New Roman" w:hAnsi="Times New Roman"/>
      <w:sz w:val="24"/>
      <w:szCs w:val="24"/>
    </w:rPr>
  </w:style>
  <w:style w:type="paragraph" w:styleId="EndnoteText">
    <w:name w:val="endnote text"/>
    <w:basedOn w:val="Normal"/>
    <w:link w:val="EndnoteTextChar"/>
    <w:rsid w:val="00531B7F"/>
    <w:rPr>
      <w:sz w:val="20"/>
      <w:szCs w:val="20"/>
      <w:lang w:val="en-US"/>
    </w:rPr>
  </w:style>
  <w:style w:type="character" w:customStyle="1" w:styleId="EndnoteTextChar">
    <w:name w:val="Endnote Text Char"/>
    <w:basedOn w:val="DefaultParagraphFont"/>
    <w:link w:val="EndnoteText"/>
    <w:rsid w:val="00531B7F"/>
    <w:rPr>
      <w:rFonts w:ascii="Times New Roman" w:eastAsia="Times New Roman" w:hAnsi="Times New Roman"/>
      <w:lang w:eastAsia="zh-CN"/>
    </w:rPr>
  </w:style>
  <w:style w:type="character" w:styleId="EndnoteReference">
    <w:name w:val="endnote reference"/>
    <w:basedOn w:val="DefaultParagraphFont"/>
    <w:rsid w:val="00531B7F"/>
    <w:rPr>
      <w:vertAlign w:val="superscript"/>
    </w:rPr>
  </w:style>
  <w:style w:type="character" w:customStyle="1" w:styleId="UnresolvedMention2">
    <w:name w:val="Unresolved Mention2"/>
    <w:basedOn w:val="DefaultParagraphFont"/>
    <w:uiPriority w:val="99"/>
    <w:semiHidden/>
    <w:unhideWhenUsed/>
    <w:rsid w:val="00531B7F"/>
    <w:rPr>
      <w:color w:val="605E5C"/>
      <w:shd w:val="clear" w:color="auto" w:fill="E1DFDD"/>
    </w:rPr>
  </w:style>
  <w:style w:type="paragraph" w:customStyle="1" w:styleId="bullet1">
    <w:name w:val="bullet1"/>
    <w:basedOn w:val="text"/>
    <w:qFormat/>
    <w:rsid w:val="00D512CE"/>
    <w:pPr>
      <w:numPr>
        <w:numId w:val="35"/>
      </w:numPr>
      <w:spacing w:after="0"/>
      <w:jc w:val="left"/>
    </w:pPr>
    <w:rPr>
      <w:rFonts w:ascii="Calibri" w:hAnsi="Calibri"/>
      <w:kern w:val="2"/>
      <w:lang w:val="en-GB"/>
    </w:rPr>
  </w:style>
  <w:style w:type="paragraph" w:customStyle="1" w:styleId="bullet2">
    <w:name w:val="bullet2"/>
    <w:basedOn w:val="text"/>
    <w:link w:val="bullet2Char"/>
    <w:qFormat/>
    <w:rsid w:val="00D512CE"/>
    <w:pPr>
      <w:numPr>
        <w:ilvl w:val="1"/>
        <w:numId w:val="35"/>
      </w:numPr>
      <w:spacing w:after="0"/>
      <w:jc w:val="left"/>
    </w:pPr>
    <w:rPr>
      <w:rFonts w:ascii="Times" w:hAnsi="Times"/>
      <w:kern w:val="2"/>
      <w:lang w:val="en-GB"/>
    </w:rPr>
  </w:style>
  <w:style w:type="paragraph" w:customStyle="1" w:styleId="bullet3">
    <w:name w:val="bullet3"/>
    <w:basedOn w:val="text"/>
    <w:qFormat/>
    <w:rsid w:val="00D512CE"/>
    <w:pPr>
      <w:numPr>
        <w:ilvl w:val="2"/>
        <w:numId w:val="35"/>
      </w:numPr>
      <w:tabs>
        <w:tab w:val="num" w:pos="360"/>
      </w:tabs>
      <w:spacing w:after="0"/>
      <w:ind w:left="0" w:firstLine="0"/>
      <w:jc w:val="left"/>
    </w:pPr>
    <w:rPr>
      <w:rFonts w:ascii="Times" w:eastAsia="Batang" w:hAnsi="Times"/>
      <w:sz w:val="20"/>
      <w:lang w:val="en-GB" w:eastAsia="en-US"/>
    </w:rPr>
  </w:style>
  <w:style w:type="character" w:customStyle="1" w:styleId="bullet2Char">
    <w:name w:val="bullet2 Char"/>
    <w:link w:val="bullet2"/>
    <w:rsid w:val="00D512CE"/>
    <w:rPr>
      <w:rFonts w:ascii="Times" w:hAnsi="Times"/>
      <w:kern w:val="2"/>
      <w:sz w:val="24"/>
      <w:szCs w:val="24"/>
      <w:lang w:val="en-GB" w:eastAsia="zh-CN"/>
    </w:rPr>
  </w:style>
  <w:style w:type="paragraph" w:customStyle="1" w:styleId="bullet4">
    <w:name w:val="bullet4"/>
    <w:basedOn w:val="text"/>
    <w:qFormat/>
    <w:rsid w:val="00D512CE"/>
    <w:pPr>
      <w:numPr>
        <w:ilvl w:val="3"/>
        <w:numId w:val="35"/>
      </w:numPr>
      <w:tabs>
        <w:tab w:val="num" w:pos="360"/>
      </w:tabs>
      <w:spacing w:after="0"/>
      <w:ind w:left="0" w:firstLine="0"/>
      <w:jc w:val="left"/>
    </w:pPr>
    <w:rPr>
      <w:rFonts w:ascii="Times" w:eastAsia="Batang" w:hAnsi="Times"/>
      <w:sz w:val="2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143353">
      <w:bodyDiv w:val="1"/>
      <w:marLeft w:val="0"/>
      <w:marRight w:val="0"/>
      <w:marTop w:val="0"/>
      <w:marBottom w:val="0"/>
      <w:divBdr>
        <w:top w:val="none" w:sz="0" w:space="0" w:color="auto"/>
        <w:left w:val="none" w:sz="0" w:space="0" w:color="auto"/>
        <w:bottom w:val="none" w:sz="0" w:space="0" w:color="auto"/>
        <w:right w:val="none" w:sz="0" w:space="0" w:color="auto"/>
      </w:divBdr>
    </w:div>
    <w:div w:id="9533645">
      <w:bodyDiv w:val="1"/>
      <w:marLeft w:val="0"/>
      <w:marRight w:val="0"/>
      <w:marTop w:val="0"/>
      <w:marBottom w:val="0"/>
      <w:divBdr>
        <w:top w:val="none" w:sz="0" w:space="0" w:color="auto"/>
        <w:left w:val="none" w:sz="0" w:space="0" w:color="auto"/>
        <w:bottom w:val="none" w:sz="0" w:space="0" w:color="auto"/>
        <w:right w:val="none" w:sz="0" w:space="0" w:color="auto"/>
      </w:divBdr>
      <w:divsChild>
        <w:div w:id="1303383051">
          <w:marLeft w:val="0"/>
          <w:marRight w:val="0"/>
          <w:marTop w:val="0"/>
          <w:marBottom w:val="0"/>
          <w:divBdr>
            <w:top w:val="none" w:sz="0" w:space="0" w:color="auto"/>
            <w:left w:val="none" w:sz="0" w:space="0" w:color="auto"/>
            <w:bottom w:val="none" w:sz="0" w:space="0" w:color="auto"/>
            <w:right w:val="none" w:sz="0" w:space="0" w:color="auto"/>
          </w:divBdr>
        </w:div>
        <w:div w:id="221671750">
          <w:marLeft w:val="0"/>
          <w:marRight w:val="0"/>
          <w:marTop w:val="0"/>
          <w:marBottom w:val="0"/>
          <w:divBdr>
            <w:top w:val="none" w:sz="0" w:space="0" w:color="auto"/>
            <w:left w:val="none" w:sz="0" w:space="0" w:color="auto"/>
            <w:bottom w:val="none" w:sz="0" w:space="0" w:color="auto"/>
            <w:right w:val="none" w:sz="0" w:space="0" w:color="auto"/>
          </w:divBdr>
        </w:div>
        <w:div w:id="1060400013">
          <w:marLeft w:val="0"/>
          <w:marRight w:val="0"/>
          <w:marTop w:val="0"/>
          <w:marBottom w:val="0"/>
          <w:divBdr>
            <w:top w:val="none" w:sz="0" w:space="0" w:color="auto"/>
            <w:left w:val="none" w:sz="0" w:space="0" w:color="auto"/>
            <w:bottom w:val="none" w:sz="0" w:space="0" w:color="auto"/>
            <w:right w:val="none" w:sz="0" w:space="0" w:color="auto"/>
          </w:divBdr>
        </w:div>
        <w:div w:id="619457993">
          <w:marLeft w:val="0"/>
          <w:marRight w:val="0"/>
          <w:marTop w:val="0"/>
          <w:marBottom w:val="0"/>
          <w:divBdr>
            <w:top w:val="none" w:sz="0" w:space="0" w:color="auto"/>
            <w:left w:val="none" w:sz="0" w:space="0" w:color="auto"/>
            <w:bottom w:val="none" w:sz="0" w:space="0" w:color="auto"/>
            <w:right w:val="none" w:sz="0" w:space="0" w:color="auto"/>
          </w:divBdr>
        </w:div>
        <w:div w:id="27341561">
          <w:marLeft w:val="0"/>
          <w:marRight w:val="0"/>
          <w:marTop w:val="0"/>
          <w:marBottom w:val="0"/>
          <w:divBdr>
            <w:top w:val="none" w:sz="0" w:space="0" w:color="auto"/>
            <w:left w:val="none" w:sz="0" w:space="0" w:color="auto"/>
            <w:bottom w:val="none" w:sz="0" w:space="0" w:color="auto"/>
            <w:right w:val="none" w:sz="0" w:space="0" w:color="auto"/>
          </w:divBdr>
        </w:div>
        <w:div w:id="436563316">
          <w:marLeft w:val="0"/>
          <w:marRight w:val="0"/>
          <w:marTop w:val="0"/>
          <w:marBottom w:val="0"/>
          <w:divBdr>
            <w:top w:val="none" w:sz="0" w:space="0" w:color="auto"/>
            <w:left w:val="none" w:sz="0" w:space="0" w:color="auto"/>
            <w:bottom w:val="none" w:sz="0" w:space="0" w:color="auto"/>
            <w:right w:val="none" w:sz="0" w:space="0" w:color="auto"/>
          </w:divBdr>
        </w:div>
        <w:div w:id="721173726">
          <w:marLeft w:val="0"/>
          <w:marRight w:val="0"/>
          <w:marTop w:val="0"/>
          <w:marBottom w:val="0"/>
          <w:divBdr>
            <w:top w:val="none" w:sz="0" w:space="0" w:color="auto"/>
            <w:left w:val="none" w:sz="0" w:space="0" w:color="auto"/>
            <w:bottom w:val="none" w:sz="0" w:space="0" w:color="auto"/>
            <w:right w:val="none" w:sz="0" w:space="0" w:color="auto"/>
          </w:divBdr>
        </w:div>
        <w:div w:id="447160630">
          <w:marLeft w:val="0"/>
          <w:marRight w:val="0"/>
          <w:marTop w:val="0"/>
          <w:marBottom w:val="0"/>
          <w:divBdr>
            <w:top w:val="none" w:sz="0" w:space="0" w:color="auto"/>
            <w:left w:val="none" w:sz="0" w:space="0" w:color="auto"/>
            <w:bottom w:val="none" w:sz="0" w:space="0" w:color="auto"/>
            <w:right w:val="none" w:sz="0" w:space="0" w:color="auto"/>
          </w:divBdr>
        </w:div>
        <w:div w:id="718866415">
          <w:marLeft w:val="0"/>
          <w:marRight w:val="0"/>
          <w:marTop w:val="0"/>
          <w:marBottom w:val="0"/>
          <w:divBdr>
            <w:top w:val="none" w:sz="0" w:space="0" w:color="auto"/>
            <w:left w:val="none" w:sz="0" w:space="0" w:color="auto"/>
            <w:bottom w:val="none" w:sz="0" w:space="0" w:color="auto"/>
            <w:right w:val="none" w:sz="0" w:space="0" w:color="auto"/>
          </w:divBdr>
        </w:div>
        <w:div w:id="1450012167">
          <w:marLeft w:val="0"/>
          <w:marRight w:val="0"/>
          <w:marTop w:val="0"/>
          <w:marBottom w:val="0"/>
          <w:divBdr>
            <w:top w:val="none" w:sz="0" w:space="0" w:color="auto"/>
            <w:left w:val="none" w:sz="0" w:space="0" w:color="auto"/>
            <w:bottom w:val="none" w:sz="0" w:space="0" w:color="auto"/>
            <w:right w:val="none" w:sz="0" w:space="0" w:color="auto"/>
          </w:divBdr>
        </w:div>
        <w:div w:id="965895196">
          <w:marLeft w:val="0"/>
          <w:marRight w:val="0"/>
          <w:marTop w:val="0"/>
          <w:marBottom w:val="0"/>
          <w:divBdr>
            <w:top w:val="none" w:sz="0" w:space="0" w:color="auto"/>
            <w:left w:val="none" w:sz="0" w:space="0" w:color="auto"/>
            <w:bottom w:val="none" w:sz="0" w:space="0" w:color="auto"/>
            <w:right w:val="none" w:sz="0" w:space="0" w:color="auto"/>
          </w:divBdr>
        </w:div>
        <w:div w:id="952445845">
          <w:marLeft w:val="0"/>
          <w:marRight w:val="0"/>
          <w:marTop w:val="0"/>
          <w:marBottom w:val="0"/>
          <w:divBdr>
            <w:top w:val="none" w:sz="0" w:space="0" w:color="auto"/>
            <w:left w:val="none" w:sz="0" w:space="0" w:color="auto"/>
            <w:bottom w:val="none" w:sz="0" w:space="0" w:color="auto"/>
            <w:right w:val="none" w:sz="0" w:space="0" w:color="auto"/>
          </w:divBdr>
        </w:div>
      </w:divsChild>
    </w:div>
    <w:div w:id="16975471">
      <w:bodyDiv w:val="1"/>
      <w:marLeft w:val="0"/>
      <w:marRight w:val="0"/>
      <w:marTop w:val="0"/>
      <w:marBottom w:val="0"/>
      <w:divBdr>
        <w:top w:val="none" w:sz="0" w:space="0" w:color="auto"/>
        <w:left w:val="none" w:sz="0" w:space="0" w:color="auto"/>
        <w:bottom w:val="none" w:sz="0" w:space="0" w:color="auto"/>
        <w:right w:val="none" w:sz="0" w:space="0" w:color="auto"/>
      </w:divBdr>
    </w:div>
    <w:div w:id="17006071">
      <w:bodyDiv w:val="1"/>
      <w:marLeft w:val="0"/>
      <w:marRight w:val="0"/>
      <w:marTop w:val="0"/>
      <w:marBottom w:val="0"/>
      <w:divBdr>
        <w:top w:val="none" w:sz="0" w:space="0" w:color="auto"/>
        <w:left w:val="none" w:sz="0" w:space="0" w:color="auto"/>
        <w:bottom w:val="none" w:sz="0" w:space="0" w:color="auto"/>
        <w:right w:val="none" w:sz="0" w:space="0" w:color="auto"/>
      </w:divBdr>
      <w:divsChild>
        <w:div w:id="794787704">
          <w:marLeft w:val="547"/>
          <w:marRight w:val="0"/>
          <w:marTop w:val="240"/>
          <w:marBottom w:val="0"/>
          <w:divBdr>
            <w:top w:val="none" w:sz="0" w:space="0" w:color="auto"/>
            <w:left w:val="none" w:sz="0" w:space="0" w:color="auto"/>
            <w:bottom w:val="none" w:sz="0" w:space="0" w:color="auto"/>
            <w:right w:val="none" w:sz="0" w:space="0" w:color="auto"/>
          </w:divBdr>
        </w:div>
        <w:div w:id="1282223374">
          <w:marLeft w:val="1166"/>
          <w:marRight w:val="0"/>
          <w:marTop w:val="96"/>
          <w:marBottom w:val="0"/>
          <w:divBdr>
            <w:top w:val="none" w:sz="0" w:space="0" w:color="auto"/>
            <w:left w:val="none" w:sz="0" w:space="0" w:color="auto"/>
            <w:bottom w:val="none" w:sz="0" w:space="0" w:color="auto"/>
            <w:right w:val="none" w:sz="0" w:space="0" w:color="auto"/>
          </w:divBdr>
        </w:div>
        <w:div w:id="1372728237">
          <w:marLeft w:val="547"/>
          <w:marRight w:val="0"/>
          <w:marTop w:val="115"/>
          <w:marBottom w:val="0"/>
          <w:divBdr>
            <w:top w:val="none" w:sz="0" w:space="0" w:color="auto"/>
            <w:left w:val="none" w:sz="0" w:space="0" w:color="auto"/>
            <w:bottom w:val="none" w:sz="0" w:space="0" w:color="auto"/>
            <w:right w:val="none" w:sz="0" w:space="0" w:color="auto"/>
          </w:divBdr>
        </w:div>
        <w:div w:id="1603952231">
          <w:marLeft w:val="1166"/>
          <w:marRight w:val="0"/>
          <w:marTop w:val="96"/>
          <w:marBottom w:val="0"/>
          <w:divBdr>
            <w:top w:val="none" w:sz="0" w:space="0" w:color="auto"/>
            <w:left w:val="none" w:sz="0" w:space="0" w:color="auto"/>
            <w:bottom w:val="none" w:sz="0" w:space="0" w:color="auto"/>
            <w:right w:val="none" w:sz="0" w:space="0" w:color="auto"/>
          </w:divBdr>
        </w:div>
        <w:div w:id="1632443292">
          <w:marLeft w:val="1166"/>
          <w:marRight w:val="0"/>
          <w:marTop w:val="96"/>
          <w:marBottom w:val="0"/>
          <w:divBdr>
            <w:top w:val="none" w:sz="0" w:space="0" w:color="auto"/>
            <w:left w:val="none" w:sz="0" w:space="0" w:color="auto"/>
            <w:bottom w:val="none" w:sz="0" w:space="0" w:color="auto"/>
            <w:right w:val="none" w:sz="0" w:space="0" w:color="auto"/>
          </w:divBdr>
        </w:div>
        <w:div w:id="1975981387">
          <w:marLeft w:val="547"/>
          <w:marRight w:val="0"/>
          <w:marTop w:val="240"/>
          <w:marBottom w:val="0"/>
          <w:divBdr>
            <w:top w:val="none" w:sz="0" w:space="0" w:color="auto"/>
            <w:left w:val="none" w:sz="0" w:space="0" w:color="auto"/>
            <w:bottom w:val="none" w:sz="0" w:space="0" w:color="auto"/>
            <w:right w:val="none" w:sz="0" w:space="0" w:color="auto"/>
          </w:divBdr>
        </w:div>
        <w:div w:id="1977951965">
          <w:marLeft w:val="1166"/>
          <w:marRight w:val="0"/>
          <w:marTop w:val="96"/>
          <w:marBottom w:val="0"/>
          <w:divBdr>
            <w:top w:val="none" w:sz="0" w:space="0" w:color="auto"/>
            <w:left w:val="none" w:sz="0" w:space="0" w:color="auto"/>
            <w:bottom w:val="none" w:sz="0" w:space="0" w:color="auto"/>
            <w:right w:val="none" w:sz="0" w:space="0" w:color="auto"/>
          </w:divBdr>
        </w:div>
      </w:divsChild>
    </w:div>
    <w:div w:id="31810011">
      <w:bodyDiv w:val="1"/>
      <w:marLeft w:val="0"/>
      <w:marRight w:val="0"/>
      <w:marTop w:val="0"/>
      <w:marBottom w:val="0"/>
      <w:divBdr>
        <w:top w:val="none" w:sz="0" w:space="0" w:color="auto"/>
        <w:left w:val="none" w:sz="0" w:space="0" w:color="auto"/>
        <w:bottom w:val="none" w:sz="0" w:space="0" w:color="auto"/>
        <w:right w:val="none" w:sz="0" w:space="0" w:color="auto"/>
      </w:divBdr>
    </w:div>
    <w:div w:id="33696554">
      <w:bodyDiv w:val="1"/>
      <w:marLeft w:val="0"/>
      <w:marRight w:val="0"/>
      <w:marTop w:val="0"/>
      <w:marBottom w:val="0"/>
      <w:divBdr>
        <w:top w:val="none" w:sz="0" w:space="0" w:color="auto"/>
        <w:left w:val="none" w:sz="0" w:space="0" w:color="auto"/>
        <w:bottom w:val="none" w:sz="0" w:space="0" w:color="auto"/>
        <w:right w:val="none" w:sz="0" w:space="0" w:color="auto"/>
      </w:divBdr>
    </w:div>
    <w:div w:id="34938932">
      <w:bodyDiv w:val="1"/>
      <w:marLeft w:val="0"/>
      <w:marRight w:val="0"/>
      <w:marTop w:val="0"/>
      <w:marBottom w:val="0"/>
      <w:divBdr>
        <w:top w:val="none" w:sz="0" w:space="0" w:color="auto"/>
        <w:left w:val="none" w:sz="0" w:space="0" w:color="auto"/>
        <w:bottom w:val="none" w:sz="0" w:space="0" w:color="auto"/>
        <w:right w:val="none" w:sz="0" w:space="0" w:color="auto"/>
      </w:divBdr>
    </w:div>
    <w:div w:id="39013979">
      <w:bodyDiv w:val="1"/>
      <w:marLeft w:val="0"/>
      <w:marRight w:val="0"/>
      <w:marTop w:val="0"/>
      <w:marBottom w:val="0"/>
      <w:divBdr>
        <w:top w:val="none" w:sz="0" w:space="0" w:color="auto"/>
        <w:left w:val="none" w:sz="0" w:space="0" w:color="auto"/>
        <w:bottom w:val="none" w:sz="0" w:space="0" w:color="auto"/>
        <w:right w:val="none" w:sz="0" w:space="0" w:color="auto"/>
      </w:divBdr>
      <w:divsChild>
        <w:div w:id="95908969">
          <w:marLeft w:val="547"/>
          <w:marRight w:val="0"/>
          <w:marTop w:val="115"/>
          <w:marBottom w:val="0"/>
          <w:divBdr>
            <w:top w:val="none" w:sz="0" w:space="0" w:color="auto"/>
            <w:left w:val="none" w:sz="0" w:space="0" w:color="auto"/>
            <w:bottom w:val="none" w:sz="0" w:space="0" w:color="auto"/>
            <w:right w:val="none" w:sz="0" w:space="0" w:color="auto"/>
          </w:divBdr>
        </w:div>
      </w:divsChild>
    </w:div>
    <w:div w:id="41758145">
      <w:bodyDiv w:val="1"/>
      <w:marLeft w:val="0"/>
      <w:marRight w:val="0"/>
      <w:marTop w:val="0"/>
      <w:marBottom w:val="0"/>
      <w:divBdr>
        <w:top w:val="none" w:sz="0" w:space="0" w:color="auto"/>
        <w:left w:val="none" w:sz="0" w:space="0" w:color="auto"/>
        <w:bottom w:val="none" w:sz="0" w:space="0" w:color="auto"/>
        <w:right w:val="none" w:sz="0" w:space="0" w:color="auto"/>
      </w:divBdr>
      <w:divsChild>
        <w:div w:id="837119000">
          <w:marLeft w:val="1080"/>
          <w:marRight w:val="0"/>
          <w:marTop w:val="100"/>
          <w:marBottom w:val="0"/>
          <w:divBdr>
            <w:top w:val="none" w:sz="0" w:space="0" w:color="auto"/>
            <w:left w:val="none" w:sz="0" w:space="0" w:color="auto"/>
            <w:bottom w:val="none" w:sz="0" w:space="0" w:color="auto"/>
            <w:right w:val="none" w:sz="0" w:space="0" w:color="auto"/>
          </w:divBdr>
        </w:div>
        <w:div w:id="1934901362">
          <w:marLeft w:val="1080"/>
          <w:marRight w:val="0"/>
          <w:marTop w:val="100"/>
          <w:marBottom w:val="0"/>
          <w:divBdr>
            <w:top w:val="none" w:sz="0" w:space="0" w:color="auto"/>
            <w:left w:val="none" w:sz="0" w:space="0" w:color="auto"/>
            <w:bottom w:val="none" w:sz="0" w:space="0" w:color="auto"/>
            <w:right w:val="none" w:sz="0" w:space="0" w:color="auto"/>
          </w:divBdr>
        </w:div>
      </w:divsChild>
    </w:div>
    <w:div w:id="45760825">
      <w:bodyDiv w:val="1"/>
      <w:marLeft w:val="0"/>
      <w:marRight w:val="0"/>
      <w:marTop w:val="0"/>
      <w:marBottom w:val="0"/>
      <w:divBdr>
        <w:top w:val="none" w:sz="0" w:space="0" w:color="auto"/>
        <w:left w:val="none" w:sz="0" w:space="0" w:color="auto"/>
        <w:bottom w:val="none" w:sz="0" w:space="0" w:color="auto"/>
        <w:right w:val="none" w:sz="0" w:space="0" w:color="auto"/>
      </w:divBdr>
      <w:divsChild>
        <w:div w:id="291636236">
          <w:marLeft w:val="1166"/>
          <w:marRight w:val="0"/>
          <w:marTop w:val="96"/>
          <w:marBottom w:val="0"/>
          <w:divBdr>
            <w:top w:val="none" w:sz="0" w:space="0" w:color="auto"/>
            <w:left w:val="none" w:sz="0" w:space="0" w:color="auto"/>
            <w:bottom w:val="none" w:sz="0" w:space="0" w:color="auto"/>
            <w:right w:val="none" w:sz="0" w:space="0" w:color="auto"/>
          </w:divBdr>
        </w:div>
        <w:div w:id="1452285947">
          <w:marLeft w:val="1166"/>
          <w:marRight w:val="0"/>
          <w:marTop w:val="96"/>
          <w:marBottom w:val="0"/>
          <w:divBdr>
            <w:top w:val="none" w:sz="0" w:space="0" w:color="auto"/>
            <w:left w:val="none" w:sz="0" w:space="0" w:color="auto"/>
            <w:bottom w:val="none" w:sz="0" w:space="0" w:color="auto"/>
            <w:right w:val="none" w:sz="0" w:space="0" w:color="auto"/>
          </w:divBdr>
        </w:div>
        <w:div w:id="2047556725">
          <w:marLeft w:val="1166"/>
          <w:marRight w:val="0"/>
          <w:marTop w:val="96"/>
          <w:marBottom w:val="0"/>
          <w:divBdr>
            <w:top w:val="none" w:sz="0" w:space="0" w:color="auto"/>
            <w:left w:val="none" w:sz="0" w:space="0" w:color="auto"/>
            <w:bottom w:val="none" w:sz="0" w:space="0" w:color="auto"/>
            <w:right w:val="none" w:sz="0" w:space="0" w:color="auto"/>
          </w:divBdr>
        </w:div>
      </w:divsChild>
    </w:div>
    <w:div w:id="49816714">
      <w:bodyDiv w:val="1"/>
      <w:marLeft w:val="0"/>
      <w:marRight w:val="0"/>
      <w:marTop w:val="0"/>
      <w:marBottom w:val="0"/>
      <w:divBdr>
        <w:top w:val="none" w:sz="0" w:space="0" w:color="auto"/>
        <w:left w:val="none" w:sz="0" w:space="0" w:color="auto"/>
        <w:bottom w:val="none" w:sz="0" w:space="0" w:color="auto"/>
        <w:right w:val="none" w:sz="0" w:space="0" w:color="auto"/>
      </w:divBdr>
    </w:div>
    <w:div w:id="50233241">
      <w:bodyDiv w:val="1"/>
      <w:marLeft w:val="0"/>
      <w:marRight w:val="0"/>
      <w:marTop w:val="0"/>
      <w:marBottom w:val="0"/>
      <w:divBdr>
        <w:top w:val="none" w:sz="0" w:space="0" w:color="auto"/>
        <w:left w:val="none" w:sz="0" w:space="0" w:color="auto"/>
        <w:bottom w:val="none" w:sz="0" w:space="0" w:color="auto"/>
        <w:right w:val="none" w:sz="0" w:space="0" w:color="auto"/>
      </w:divBdr>
    </w:div>
    <w:div w:id="51125197">
      <w:bodyDiv w:val="1"/>
      <w:marLeft w:val="0"/>
      <w:marRight w:val="0"/>
      <w:marTop w:val="0"/>
      <w:marBottom w:val="0"/>
      <w:divBdr>
        <w:top w:val="none" w:sz="0" w:space="0" w:color="auto"/>
        <w:left w:val="none" w:sz="0" w:space="0" w:color="auto"/>
        <w:bottom w:val="none" w:sz="0" w:space="0" w:color="auto"/>
        <w:right w:val="none" w:sz="0" w:space="0" w:color="auto"/>
      </w:divBdr>
      <w:divsChild>
        <w:div w:id="145975919">
          <w:marLeft w:val="1166"/>
          <w:marRight w:val="0"/>
          <w:marTop w:val="115"/>
          <w:marBottom w:val="0"/>
          <w:divBdr>
            <w:top w:val="none" w:sz="0" w:space="0" w:color="auto"/>
            <w:left w:val="none" w:sz="0" w:space="0" w:color="auto"/>
            <w:bottom w:val="none" w:sz="0" w:space="0" w:color="auto"/>
            <w:right w:val="none" w:sz="0" w:space="0" w:color="auto"/>
          </w:divBdr>
        </w:div>
        <w:div w:id="465783001">
          <w:marLeft w:val="547"/>
          <w:marRight w:val="0"/>
          <w:marTop w:val="130"/>
          <w:marBottom w:val="0"/>
          <w:divBdr>
            <w:top w:val="none" w:sz="0" w:space="0" w:color="auto"/>
            <w:left w:val="none" w:sz="0" w:space="0" w:color="auto"/>
            <w:bottom w:val="none" w:sz="0" w:space="0" w:color="auto"/>
            <w:right w:val="none" w:sz="0" w:space="0" w:color="auto"/>
          </w:divBdr>
        </w:div>
        <w:div w:id="1048798858">
          <w:marLeft w:val="547"/>
          <w:marRight w:val="0"/>
          <w:marTop w:val="130"/>
          <w:marBottom w:val="0"/>
          <w:divBdr>
            <w:top w:val="none" w:sz="0" w:space="0" w:color="auto"/>
            <w:left w:val="none" w:sz="0" w:space="0" w:color="auto"/>
            <w:bottom w:val="none" w:sz="0" w:space="0" w:color="auto"/>
            <w:right w:val="none" w:sz="0" w:space="0" w:color="auto"/>
          </w:divBdr>
        </w:div>
        <w:div w:id="1183863140">
          <w:marLeft w:val="1166"/>
          <w:marRight w:val="0"/>
          <w:marTop w:val="115"/>
          <w:marBottom w:val="0"/>
          <w:divBdr>
            <w:top w:val="none" w:sz="0" w:space="0" w:color="auto"/>
            <w:left w:val="none" w:sz="0" w:space="0" w:color="auto"/>
            <w:bottom w:val="none" w:sz="0" w:space="0" w:color="auto"/>
            <w:right w:val="none" w:sz="0" w:space="0" w:color="auto"/>
          </w:divBdr>
        </w:div>
        <w:div w:id="1347944670">
          <w:marLeft w:val="1166"/>
          <w:marRight w:val="0"/>
          <w:marTop w:val="115"/>
          <w:marBottom w:val="0"/>
          <w:divBdr>
            <w:top w:val="none" w:sz="0" w:space="0" w:color="auto"/>
            <w:left w:val="none" w:sz="0" w:space="0" w:color="auto"/>
            <w:bottom w:val="none" w:sz="0" w:space="0" w:color="auto"/>
            <w:right w:val="none" w:sz="0" w:space="0" w:color="auto"/>
          </w:divBdr>
        </w:div>
        <w:div w:id="1810857036">
          <w:marLeft w:val="1166"/>
          <w:marRight w:val="0"/>
          <w:marTop w:val="115"/>
          <w:marBottom w:val="0"/>
          <w:divBdr>
            <w:top w:val="none" w:sz="0" w:space="0" w:color="auto"/>
            <w:left w:val="none" w:sz="0" w:space="0" w:color="auto"/>
            <w:bottom w:val="none" w:sz="0" w:space="0" w:color="auto"/>
            <w:right w:val="none" w:sz="0" w:space="0" w:color="auto"/>
          </w:divBdr>
        </w:div>
      </w:divsChild>
    </w:div>
    <w:div w:id="59522893">
      <w:bodyDiv w:val="1"/>
      <w:marLeft w:val="0"/>
      <w:marRight w:val="0"/>
      <w:marTop w:val="0"/>
      <w:marBottom w:val="0"/>
      <w:divBdr>
        <w:top w:val="none" w:sz="0" w:space="0" w:color="auto"/>
        <w:left w:val="none" w:sz="0" w:space="0" w:color="auto"/>
        <w:bottom w:val="none" w:sz="0" w:space="0" w:color="auto"/>
        <w:right w:val="none" w:sz="0" w:space="0" w:color="auto"/>
      </w:divBdr>
    </w:div>
    <w:div w:id="59717488">
      <w:bodyDiv w:val="1"/>
      <w:marLeft w:val="0"/>
      <w:marRight w:val="0"/>
      <w:marTop w:val="0"/>
      <w:marBottom w:val="0"/>
      <w:divBdr>
        <w:top w:val="none" w:sz="0" w:space="0" w:color="auto"/>
        <w:left w:val="none" w:sz="0" w:space="0" w:color="auto"/>
        <w:bottom w:val="none" w:sz="0" w:space="0" w:color="auto"/>
        <w:right w:val="none" w:sz="0" w:space="0" w:color="auto"/>
      </w:divBdr>
    </w:div>
    <w:div w:id="61415070">
      <w:bodyDiv w:val="1"/>
      <w:marLeft w:val="0"/>
      <w:marRight w:val="0"/>
      <w:marTop w:val="0"/>
      <w:marBottom w:val="0"/>
      <w:divBdr>
        <w:top w:val="none" w:sz="0" w:space="0" w:color="auto"/>
        <w:left w:val="none" w:sz="0" w:space="0" w:color="auto"/>
        <w:bottom w:val="none" w:sz="0" w:space="0" w:color="auto"/>
        <w:right w:val="none" w:sz="0" w:space="0" w:color="auto"/>
      </w:divBdr>
      <w:divsChild>
        <w:div w:id="293682321">
          <w:marLeft w:val="1166"/>
          <w:marRight w:val="0"/>
          <w:marTop w:val="96"/>
          <w:marBottom w:val="0"/>
          <w:divBdr>
            <w:top w:val="none" w:sz="0" w:space="0" w:color="auto"/>
            <w:left w:val="none" w:sz="0" w:space="0" w:color="auto"/>
            <w:bottom w:val="none" w:sz="0" w:space="0" w:color="auto"/>
            <w:right w:val="none" w:sz="0" w:space="0" w:color="auto"/>
          </w:divBdr>
        </w:div>
        <w:div w:id="842932359">
          <w:marLeft w:val="1800"/>
          <w:marRight w:val="0"/>
          <w:marTop w:val="86"/>
          <w:marBottom w:val="0"/>
          <w:divBdr>
            <w:top w:val="none" w:sz="0" w:space="0" w:color="auto"/>
            <w:left w:val="none" w:sz="0" w:space="0" w:color="auto"/>
            <w:bottom w:val="none" w:sz="0" w:space="0" w:color="auto"/>
            <w:right w:val="none" w:sz="0" w:space="0" w:color="auto"/>
          </w:divBdr>
        </w:div>
        <w:div w:id="1464811948">
          <w:marLeft w:val="1166"/>
          <w:marRight w:val="0"/>
          <w:marTop w:val="96"/>
          <w:marBottom w:val="0"/>
          <w:divBdr>
            <w:top w:val="none" w:sz="0" w:space="0" w:color="auto"/>
            <w:left w:val="none" w:sz="0" w:space="0" w:color="auto"/>
            <w:bottom w:val="none" w:sz="0" w:space="0" w:color="auto"/>
            <w:right w:val="none" w:sz="0" w:space="0" w:color="auto"/>
          </w:divBdr>
        </w:div>
        <w:div w:id="1527599364">
          <w:marLeft w:val="1166"/>
          <w:marRight w:val="0"/>
          <w:marTop w:val="96"/>
          <w:marBottom w:val="0"/>
          <w:divBdr>
            <w:top w:val="none" w:sz="0" w:space="0" w:color="auto"/>
            <w:left w:val="none" w:sz="0" w:space="0" w:color="auto"/>
            <w:bottom w:val="none" w:sz="0" w:space="0" w:color="auto"/>
            <w:right w:val="none" w:sz="0" w:space="0" w:color="auto"/>
          </w:divBdr>
        </w:div>
        <w:div w:id="1745831969">
          <w:marLeft w:val="1166"/>
          <w:marRight w:val="0"/>
          <w:marTop w:val="96"/>
          <w:marBottom w:val="0"/>
          <w:divBdr>
            <w:top w:val="none" w:sz="0" w:space="0" w:color="auto"/>
            <w:left w:val="none" w:sz="0" w:space="0" w:color="auto"/>
            <w:bottom w:val="none" w:sz="0" w:space="0" w:color="auto"/>
            <w:right w:val="none" w:sz="0" w:space="0" w:color="auto"/>
          </w:divBdr>
        </w:div>
        <w:div w:id="1773234983">
          <w:marLeft w:val="547"/>
          <w:marRight w:val="0"/>
          <w:marTop w:val="115"/>
          <w:marBottom w:val="0"/>
          <w:divBdr>
            <w:top w:val="none" w:sz="0" w:space="0" w:color="auto"/>
            <w:left w:val="none" w:sz="0" w:space="0" w:color="auto"/>
            <w:bottom w:val="none" w:sz="0" w:space="0" w:color="auto"/>
            <w:right w:val="none" w:sz="0" w:space="0" w:color="auto"/>
          </w:divBdr>
        </w:div>
        <w:div w:id="1909072652">
          <w:marLeft w:val="1800"/>
          <w:marRight w:val="0"/>
          <w:marTop w:val="86"/>
          <w:marBottom w:val="0"/>
          <w:divBdr>
            <w:top w:val="none" w:sz="0" w:space="0" w:color="auto"/>
            <w:left w:val="none" w:sz="0" w:space="0" w:color="auto"/>
            <w:bottom w:val="none" w:sz="0" w:space="0" w:color="auto"/>
            <w:right w:val="none" w:sz="0" w:space="0" w:color="auto"/>
          </w:divBdr>
        </w:div>
        <w:div w:id="1909340118">
          <w:marLeft w:val="547"/>
          <w:marRight w:val="0"/>
          <w:marTop w:val="115"/>
          <w:marBottom w:val="0"/>
          <w:divBdr>
            <w:top w:val="none" w:sz="0" w:space="0" w:color="auto"/>
            <w:left w:val="none" w:sz="0" w:space="0" w:color="auto"/>
            <w:bottom w:val="none" w:sz="0" w:space="0" w:color="auto"/>
            <w:right w:val="none" w:sz="0" w:space="0" w:color="auto"/>
          </w:divBdr>
        </w:div>
      </w:divsChild>
    </w:div>
    <w:div w:id="71853852">
      <w:bodyDiv w:val="1"/>
      <w:marLeft w:val="0"/>
      <w:marRight w:val="0"/>
      <w:marTop w:val="0"/>
      <w:marBottom w:val="0"/>
      <w:divBdr>
        <w:top w:val="none" w:sz="0" w:space="0" w:color="auto"/>
        <w:left w:val="none" w:sz="0" w:space="0" w:color="auto"/>
        <w:bottom w:val="none" w:sz="0" w:space="0" w:color="auto"/>
        <w:right w:val="none" w:sz="0" w:space="0" w:color="auto"/>
      </w:divBdr>
      <w:divsChild>
        <w:div w:id="128402625">
          <w:marLeft w:val="547"/>
          <w:marRight w:val="0"/>
          <w:marTop w:val="240"/>
          <w:marBottom w:val="0"/>
          <w:divBdr>
            <w:top w:val="none" w:sz="0" w:space="0" w:color="auto"/>
            <w:left w:val="none" w:sz="0" w:space="0" w:color="auto"/>
            <w:bottom w:val="none" w:sz="0" w:space="0" w:color="auto"/>
            <w:right w:val="none" w:sz="0" w:space="0" w:color="auto"/>
          </w:divBdr>
        </w:div>
        <w:div w:id="1269005501">
          <w:marLeft w:val="1166"/>
          <w:marRight w:val="0"/>
          <w:marTop w:val="86"/>
          <w:marBottom w:val="0"/>
          <w:divBdr>
            <w:top w:val="none" w:sz="0" w:space="0" w:color="auto"/>
            <w:left w:val="none" w:sz="0" w:space="0" w:color="auto"/>
            <w:bottom w:val="none" w:sz="0" w:space="0" w:color="auto"/>
            <w:right w:val="none" w:sz="0" w:space="0" w:color="auto"/>
          </w:divBdr>
        </w:div>
        <w:div w:id="1408916043">
          <w:marLeft w:val="1166"/>
          <w:marRight w:val="0"/>
          <w:marTop w:val="86"/>
          <w:marBottom w:val="0"/>
          <w:divBdr>
            <w:top w:val="none" w:sz="0" w:space="0" w:color="auto"/>
            <w:left w:val="none" w:sz="0" w:space="0" w:color="auto"/>
            <w:bottom w:val="none" w:sz="0" w:space="0" w:color="auto"/>
            <w:right w:val="none" w:sz="0" w:space="0" w:color="auto"/>
          </w:divBdr>
        </w:div>
        <w:div w:id="1727490329">
          <w:marLeft w:val="547"/>
          <w:marRight w:val="0"/>
          <w:marTop w:val="240"/>
          <w:marBottom w:val="0"/>
          <w:divBdr>
            <w:top w:val="none" w:sz="0" w:space="0" w:color="auto"/>
            <w:left w:val="none" w:sz="0" w:space="0" w:color="auto"/>
            <w:bottom w:val="none" w:sz="0" w:space="0" w:color="auto"/>
            <w:right w:val="none" w:sz="0" w:space="0" w:color="auto"/>
          </w:divBdr>
        </w:div>
        <w:div w:id="1878813648">
          <w:marLeft w:val="1166"/>
          <w:marRight w:val="0"/>
          <w:marTop w:val="86"/>
          <w:marBottom w:val="0"/>
          <w:divBdr>
            <w:top w:val="none" w:sz="0" w:space="0" w:color="auto"/>
            <w:left w:val="none" w:sz="0" w:space="0" w:color="auto"/>
            <w:bottom w:val="none" w:sz="0" w:space="0" w:color="auto"/>
            <w:right w:val="none" w:sz="0" w:space="0" w:color="auto"/>
          </w:divBdr>
        </w:div>
      </w:divsChild>
    </w:div>
    <w:div w:id="78405578">
      <w:bodyDiv w:val="1"/>
      <w:marLeft w:val="0"/>
      <w:marRight w:val="0"/>
      <w:marTop w:val="0"/>
      <w:marBottom w:val="0"/>
      <w:divBdr>
        <w:top w:val="none" w:sz="0" w:space="0" w:color="auto"/>
        <w:left w:val="none" w:sz="0" w:space="0" w:color="auto"/>
        <w:bottom w:val="none" w:sz="0" w:space="0" w:color="auto"/>
        <w:right w:val="none" w:sz="0" w:space="0" w:color="auto"/>
      </w:divBdr>
    </w:div>
    <w:div w:id="82186369">
      <w:bodyDiv w:val="1"/>
      <w:marLeft w:val="0"/>
      <w:marRight w:val="0"/>
      <w:marTop w:val="0"/>
      <w:marBottom w:val="0"/>
      <w:divBdr>
        <w:top w:val="none" w:sz="0" w:space="0" w:color="auto"/>
        <w:left w:val="none" w:sz="0" w:space="0" w:color="auto"/>
        <w:bottom w:val="none" w:sz="0" w:space="0" w:color="auto"/>
        <w:right w:val="none" w:sz="0" w:space="0" w:color="auto"/>
      </w:divBdr>
    </w:div>
    <w:div w:id="89742365">
      <w:bodyDiv w:val="1"/>
      <w:marLeft w:val="0"/>
      <w:marRight w:val="0"/>
      <w:marTop w:val="0"/>
      <w:marBottom w:val="0"/>
      <w:divBdr>
        <w:top w:val="none" w:sz="0" w:space="0" w:color="auto"/>
        <w:left w:val="none" w:sz="0" w:space="0" w:color="auto"/>
        <w:bottom w:val="none" w:sz="0" w:space="0" w:color="auto"/>
        <w:right w:val="none" w:sz="0" w:space="0" w:color="auto"/>
      </w:divBdr>
    </w:div>
    <w:div w:id="91780441">
      <w:bodyDiv w:val="1"/>
      <w:marLeft w:val="0"/>
      <w:marRight w:val="0"/>
      <w:marTop w:val="0"/>
      <w:marBottom w:val="0"/>
      <w:divBdr>
        <w:top w:val="none" w:sz="0" w:space="0" w:color="auto"/>
        <w:left w:val="none" w:sz="0" w:space="0" w:color="auto"/>
        <w:bottom w:val="none" w:sz="0" w:space="0" w:color="auto"/>
        <w:right w:val="none" w:sz="0" w:space="0" w:color="auto"/>
      </w:divBdr>
    </w:div>
    <w:div w:id="95633795">
      <w:bodyDiv w:val="1"/>
      <w:marLeft w:val="0"/>
      <w:marRight w:val="0"/>
      <w:marTop w:val="0"/>
      <w:marBottom w:val="0"/>
      <w:divBdr>
        <w:top w:val="none" w:sz="0" w:space="0" w:color="auto"/>
        <w:left w:val="none" w:sz="0" w:space="0" w:color="auto"/>
        <w:bottom w:val="none" w:sz="0" w:space="0" w:color="auto"/>
        <w:right w:val="none" w:sz="0" w:space="0" w:color="auto"/>
      </w:divBdr>
      <w:divsChild>
        <w:div w:id="1884558804">
          <w:marLeft w:val="547"/>
          <w:marRight w:val="0"/>
          <w:marTop w:val="115"/>
          <w:marBottom w:val="0"/>
          <w:divBdr>
            <w:top w:val="none" w:sz="0" w:space="0" w:color="auto"/>
            <w:left w:val="none" w:sz="0" w:space="0" w:color="auto"/>
            <w:bottom w:val="none" w:sz="0" w:space="0" w:color="auto"/>
            <w:right w:val="none" w:sz="0" w:space="0" w:color="auto"/>
          </w:divBdr>
        </w:div>
      </w:divsChild>
    </w:div>
    <w:div w:id="97024980">
      <w:bodyDiv w:val="1"/>
      <w:marLeft w:val="0"/>
      <w:marRight w:val="0"/>
      <w:marTop w:val="0"/>
      <w:marBottom w:val="0"/>
      <w:divBdr>
        <w:top w:val="none" w:sz="0" w:space="0" w:color="auto"/>
        <w:left w:val="none" w:sz="0" w:space="0" w:color="auto"/>
        <w:bottom w:val="none" w:sz="0" w:space="0" w:color="auto"/>
        <w:right w:val="none" w:sz="0" w:space="0" w:color="auto"/>
      </w:divBdr>
    </w:div>
    <w:div w:id="103962863">
      <w:bodyDiv w:val="1"/>
      <w:marLeft w:val="0"/>
      <w:marRight w:val="0"/>
      <w:marTop w:val="0"/>
      <w:marBottom w:val="0"/>
      <w:divBdr>
        <w:top w:val="none" w:sz="0" w:space="0" w:color="auto"/>
        <w:left w:val="none" w:sz="0" w:space="0" w:color="auto"/>
        <w:bottom w:val="none" w:sz="0" w:space="0" w:color="auto"/>
        <w:right w:val="none" w:sz="0" w:space="0" w:color="auto"/>
      </w:divBdr>
    </w:div>
    <w:div w:id="104469183">
      <w:bodyDiv w:val="1"/>
      <w:marLeft w:val="0"/>
      <w:marRight w:val="0"/>
      <w:marTop w:val="0"/>
      <w:marBottom w:val="0"/>
      <w:divBdr>
        <w:top w:val="none" w:sz="0" w:space="0" w:color="auto"/>
        <w:left w:val="none" w:sz="0" w:space="0" w:color="auto"/>
        <w:bottom w:val="none" w:sz="0" w:space="0" w:color="auto"/>
        <w:right w:val="none" w:sz="0" w:space="0" w:color="auto"/>
      </w:divBdr>
    </w:div>
    <w:div w:id="106630855">
      <w:bodyDiv w:val="1"/>
      <w:marLeft w:val="0"/>
      <w:marRight w:val="0"/>
      <w:marTop w:val="0"/>
      <w:marBottom w:val="0"/>
      <w:divBdr>
        <w:top w:val="none" w:sz="0" w:space="0" w:color="auto"/>
        <w:left w:val="none" w:sz="0" w:space="0" w:color="auto"/>
        <w:bottom w:val="none" w:sz="0" w:space="0" w:color="auto"/>
        <w:right w:val="none" w:sz="0" w:space="0" w:color="auto"/>
      </w:divBdr>
      <w:divsChild>
        <w:div w:id="14692834">
          <w:marLeft w:val="360"/>
          <w:marRight w:val="0"/>
          <w:marTop w:val="0"/>
          <w:marBottom w:val="120"/>
          <w:divBdr>
            <w:top w:val="none" w:sz="0" w:space="0" w:color="auto"/>
            <w:left w:val="none" w:sz="0" w:space="0" w:color="auto"/>
            <w:bottom w:val="none" w:sz="0" w:space="0" w:color="auto"/>
            <w:right w:val="none" w:sz="0" w:space="0" w:color="auto"/>
          </w:divBdr>
        </w:div>
        <w:div w:id="165440125">
          <w:marLeft w:val="1526"/>
          <w:marRight w:val="0"/>
          <w:marTop w:val="0"/>
          <w:marBottom w:val="120"/>
          <w:divBdr>
            <w:top w:val="none" w:sz="0" w:space="0" w:color="auto"/>
            <w:left w:val="none" w:sz="0" w:space="0" w:color="auto"/>
            <w:bottom w:val="none" w:sz="0" w:space="0" w:color="auto"/>
            <w:right w:val="none" w:sz="0" w:space="0" w:color="auto"/>
          </w:divBdr>
        </w:div>
        <w:div w:id="510921630">
          <w:marLeft w:val="907"/>
          <w:marRight w:val="0"/>
          <w:marTop w:val="0"/>
          <w:marBottom w:val="120"/>
          <w:divBdr>
            <w:top w:val="none" w:sz="0" w:space="0" w:color="auto"/>
            <w:left w:val="none" w:sz="0" w:space="0" w:color="auto"/>
            <w:bottom w:val="none" w:sz="0" w:space="0" w:color="auto"/>
            <w:right w:val="none" w:sz="0" w:space="0" w:color="auto"/>
          </w:divBdr>
        </w:div>
        <w:div w:id="625966676">
          <w:marLeft w:val="907"/>
          <w:marRight w:val="0"/>
          <w:marTop w:val="0"/>
          <w:marBottom w:val="120"/>
          <w:divBdr>
            <w:top w:val="none" w:sz="0" w:space="0" w:color="auto"/>
            <w:left w:val="none" w:sz="0" w:space="0" w:color="auto"/>
            <w:bottom w:val="none" w:sz="0" w:space="0" w:color="auto"/>
            <w:right w:val="none" w:sz="0" w:space="0" w:color="auto"/>
          </w:divBdr>
        </w:div>
        <w:div w:id="724379163">
          <w:marLeft w:val="1526"/>
          <w:marRight w:val="0"/>
          <w:marTop w:val="0"/>
          <w:marBottom w:val="120"/>
          <w:divBdr>
            <w:top w:val="none" w:sz="0" w:space="0" w:color="auto"/>
            <w:left w:val="none" w:sz="0" w:space="0" w:color="auto"/>
            <w:bottom w:val="none" w:sz="0" w:space="0" w:color="auto"/>
            <w:right w:val="none" w:sz="0" w:space="0" w:color="auto"/>
          </w:divBdr>
        </w:div>
        <w:div w:id="734209609">
          <w:marLeft w:val="1526"/>
          <w:marRight w:val="0"/>
          <w:marTop w:val="0"/>
          <w:marBottom w:val="120"/>
          <w:divBdr>
            <w:top w:val="none" w:sz="0" w:space="0" w:color="auto"/>
            <w:left w:val="none" w:sz="0" w:space="0" w:color="auto"/>
            <w:bottom w:val="none" w:sz="0" w:space="0" w:color="auto"/>
            <w:right w:val="none" w:sz="0" w:space="0" w:color="auto"/>
          </w:divBdr>
        </w:div>
        <w:div w:id="783353173">
          <w:marLeft w:val="1526"/>
          <w:marRight w:val="0"/>
          <w:marTop w:val="0"/>
          <w:marBottom w:val="120"/>
          <w:divBdr>
            <w:top w:val="none" w:sz="0" w:space="0" w:color="auto"/>
            <w:left w:val="none" w:sz="0" w:space="0" w:color="auto"/>
            <w:bottom w:val="none" w:sz="0" w:space="0" w:color="auto"/>
            <w:right w:val="none" w:sz="0" w:space="0" w:color="auto"/>
          </w:divBdr>
        </w:div>
        <w:div w:id="944919016">
          <w:marLeft w:val="1526"/>
          <w:marRight w:val="0"/>
          <w:marTop w:val="0"/>
          <w:marBottom w:val="120"/>
          <w:divBdr>
            <w:top w:val="none" w:sz="0" w:space="0" w:color="auto"/>
            <w:left w:val="none" w:sz="0" w:space="0" w:color="auto"/>
            <w:bottom w:val="none" w:sz="0" w:space="0" w:color="auto"/>
            <w:right w:val="none" w:sz="0" w:space="0" w:color="auto"/>
          </w:divBdr>
        </w:div>
        <w:div w:id="1065571482">
          <w:marLeft w:val="907"/>
          <w:marRight w:val="0"/>
          <w:marTop w:val="0"/>
          <w:marBottom w:val="120"/>
          <w:divBdr>
            <w:top w:val="none" w:sz="0" w:space="0" w:color="auto"/>
            <w:left w:val="none" w:sz="0" w:space="0" w:color="auto"/>
            <w:bottom w:val="none" w:sz="0" w:space="0" w:color="auto"/>
            <w:right w:val="none" w:sz="0" w:space="0" w:color="auto"/>
          </w:divBdr>
        </w:div>
        <w:div w:id="1166017792">
          <w:marLeft w:val="360"/>
          <w:marRight w:val="0"/>
          <w:marTop w:val="0"/>
          <w:marBottom w:val="120"/>
          <w:divBdr>
            <w:top w:val="none" w:sz="0" w:space="0" w:color="auto"/>
            <w:left w:val="none" w:sz="0" w:space="0" w:color="auto"/>
            <w:bottom w:val="none" w:sz="0" w:space="0" w:color="auto"/>
            <w:right w:val="none" w:sz="0" w:space="0" w:color="auto"/>
          </w:divBdr>
        </w:div>
        <w:div w:id="1179926030">
          <w:marLeft w:val="360"/>
          <w:marRight w:val="0"/>
          <w:marTop w:val="0"/>
          <w:marBottom w:val="120"/>
          <w:divBdr>
            <w:top w:val="none" w:sz="0" w:space="0" w:color="auto"/>
            <w:left w:val="none" w:sz="0" w:space="0" w:color="auto"/>
            <w:bottom w:val="none" w:sz="0" w:space="0" w:color="auto"/>
            <w:right w:val="none" w:sz="0" w:space="0" w:color="auto"/>
          </w:divBdr>
        </w:div>
        <w:div w:id="1191335437">
          <w:marLeft w:val="360"/>
          <w:marRight w:val="0"/>
          <w:marTop w:val="0"/>
          <w:marBottom w:val="120"/>
          <w:divBdr>
            <w:top w:val="none" w:sz="0" w:space="0" w:color="auto"/>
            <w:left w:val="none" w:sz="0" w:space="0" w:color="auto"/>
            <w:bottom w:val="none" w:sz="0" w:space="0" w:color="auto"/>
            <w:right w:val="none" w:sz="0" w:space="0" w:color="auto"/>
          </w:divBdr>
        </w:div>
        <w:div w:id="1196388630">
          <w:marLeft w:val="1526"/>
          <w:marRight w:val="0"/>
          <w:marTop w:val="0"/>
          <w:marBottom w:val="120"/>
          <w:divBdr>
            <w:top w:val="none" w:sz="0" w:space="0" w:color="auto"/>
            <w:left w:val="none" w:sz="0" w:space="0" w:color="auto"/>
            <w:bottom w:val="none" w:sz="0" w:space="0" w:color="auto"/>
            <w:right w:val="none" w:sz="0" w:space="0" w:color="auto"/>
          </w:divBdr>
        </w:div>
        <w:div w:id="1226405799">
          <w:marLeft w:val="1526"/>
          <w:marRight w:val="0"/>
          <w:marTop w:val="0"/>
          <w:marBottom w:val="120"/>
          <w:divBdr>
            <w:top w:val="none" w:sz="0" w:space="0" w:color="auto"/>
            <w:left w:val="none" w:sz="0" w:space="0" w:color="auto"/>
            <w:bottom w:val="none" w:sz="0" w:space="0" w:color="auto"/>
            <w:right w:val="none" w:sz="0" w:space="0" w:color="auto"/>
          </w:divBdr>
        </w:div>
        <w:div w:id="1233156800">
          <w:marLeft w:val="1526"/>
          <w:marRight w:val="0"/>
          <w:marTop w:val="0"/>
          <w:marBottom w:val="120"/>
          <w:divBdr>
            <w:top w:val="none" w:sz="0" w:space="0" w:color="auto"/>
            <w:left w:val="none" w:sz="0" w:space="0" w:color="auto"/>
            <w:bottom w:val="none" w:sz="0" w:space="0" w:color="auto"/>
            <w:right w:val="none" w:sz="0" w:space="0" w:color="auto"/>
          </w:divBdr>
        </w:div>
        <w:div w:id="1401055077">
          <w:marLeft w:val="907"/>
          <w:marRight w:val="0"/>
          <w:marTop w:val="0"/>
          <w:marBottom w:val="120"/>
          <w:divBdr>
            <w:top w:val="none" w:sz="0" w:space="0" w:color="auto"/>
            <w:left w:val="none" w:sz="0" w:space="0" w:color="auto"/>
            <w:bottom w:val="none" w:sz="0" w:space="0" w:color="auto"/>
            <w:right w:val="none" w:sz="0" w:space="0" w:color="auto"/>
          </w:divBdr>
        </w:div>
        <w:div w:id="1584530176">
          <w:marLeft w:val="907"/>
          <w:marRight w:val="0"/>
          <w:marTop w:val="0"/>
          <w:marBottom w:val="120"/>
          <w:divBdr>
            <w:top w:val="none" w:sz="0" w:space="0" w:color="auto"/>
            <w:left w:val="none" w:sz="0" w:space="0" w:color="auto"/>
            <w:bottom w:val="none" w:sz="0" w:space="0" w:color="auto"/>
            <w:right w:val="none" w:sz="0" w:space="0" w:color="auto"/>
          </w:divBdr>
        </w:div>
        <w:div w:id="1861972124">
          <w:marLeft w:val="907"/>
          <w:marRight w:val="0"/>
          <w:marTop w:val="0"/>
          <w:marBottom w:val="120"/>
          <w:divBdr>
            <w:top w:val="none" w:sz="0" w:space="0" w:color="auto"/>
            <w:left w:val="none" w:sz="0" w:space="0" w:color="auto"/>
            <w:bottom w:val="none" w:sz="0" w:space="0" w:color="auto"/>
            <w:right w:val="none" w:sz="0" w:space="0" w:color="auto"/>
          </w:divBdr>
        </w:div>
        <w:div w:id="2091736422">
          <w:marLeft w:val="1526"/>
          <w:marRight w:val="0"/>
          <w:marTop w:val="0"/>
          <w:marBottom w:val="120"/>
          <w:divBdr>
            <w:top w:val="none" w:sz="0" w:space="0" w:color="auto"/>
            <w:left w:val="none" w:sz="0" w:space="0" w:color="auto"/>
            <w:bottom w:val="none" w:sz="0" w:space="0" w:color="auto"/>
            <w:right w:val="none" w:sz="0" w:space="0" w:color="auto"/>
          </w:divBdr>
        </w:div>
      </w:divsChild>
    </w:div>
    <w:div w:id="107970450">
      <w:bodyDiv w:val="1"/>
      <w:marLeft w:val="0"/>
      <w:marRight w:val="0"/>
      <w:marTop w:val="0"/>
      <w:marBottom w:val="0"/>
      <w:divBdr>
        <w:top w:val="none" w:sz="0" w:space="0" w:color="auto"/>
        <w:left w:val="none" w:sz="0" w:space="0" w:color="auto"/>
        <w:bottom w:val="none" w:sz="0" w:space="0" w:color="auto"/>
        <w:right w:val="none" w:sz="0" w:space="0" w:color="auto"/>
      </w:divBdr>
      <w:divsChild>
        <w:div w:id="186873301">
          <w:marLeft w:val="1224"/>
          <w:marRight w:val="0"/>
          <w:marTop w:val="120"/>
          <w:marBottom w:val="0"/>
          <w:divBdr>
            <w:top w:val="none" w:sz="0" w:space="0" w:color="auto"/>
            <w:left w:val="none" w:sz="0" w:space="0" w:color="auto"/>
            <w:bottom w:val="none" w:sz="0" w:space="0" w:color="auto"/>
            <w:right w:val="none" w:sz="0" w:space="0" w:color="auto"/>
          </w:divBdr>
        </w:div>
        <w:div w:id="430131302">
          <w:marLeft w:val="1224"/>
          <w:marRight w:val="0"/>
          <w:marTop w:val="120"/>
          <w:marBottom w:val="0"/>
          <w:divBdr>
            <w:top w:val="none" w:sz="0" w:space="0" w:color="auto"/>
            <w:left w:val="none" w:sz="0" w:space="0" w:color="auto"/>
            <w:bottom w:val="none" w:sz="0" w:space="0" w:color="auto"/>
            <w:right w:val="none" w:sz="0" w:space="0" w:color="auto"/>
          </w:divBdr>
        </w:div>
        <w:div w:id="562519994">
          <w:marLeft w:val="792"/>
          <w:marRight w:val="0"/>
          <w:marTop w:val="120"/>
          <w:marBottom w:val="0"/>
          <w:divBdr>
            <w:top w:val="none" w:sz="0" w:space="0" w:color="auto"/>
            <w:left w:val="none" w:sz="0" w:space="0" w:color="auto"/>
            <w:bottom w:val="none" w:sz="0" w:space="0" w:color="auto"/>
            <w:right w:val="none" w:sz="0" w:space="0" w:color="auto"/>
          </w:divBdr>
        </w:div>
        <w:div w:id="772363215">
          <w:marLeft w:val="792"/>
          <w:marRight w:val="0"/>
          <w:marTop w:val="120"/>
          <w:marBottom w:val="0"/>
          <w:divBdr>
            <w:top w:val="none" w:sz="0" w:space="0" w:color="auto"/>
            <w:left w:val="none" w:sz="0" w:space="0" w:color="auto"/>
            <w:bottom w:val="none" w:sz="0" w:space="0" w:color="auto"/>
            <w:right w:val="none" w:sz="0" w:space="0" w:color="auto"/>
          </w:divBdr>
        </w:div>
        <w:div w:id="858856175">
          <w:marLeft w:val="792"/>
          <w:marRight w:val="0"/>
          <w:marTop w:val="120"/>
          <w:marBottom w:val="0"/>
          <w:divBdr>
            <w:top w:val="none" w:sz="0" w:space="0" w:color="auto"/>
            <w:left w:val="none" w:sz="0" w:space="0" w:color="auto"/>
            <w:bottom w:val="none" w:sz="0" w:space="0" w:color="auto"/>
            <w:right w:val="none" w:sz="0" w:space="0" w:color="auto"/>
          </w:divBdr>
        </w:div>
        <w:div w:id="1590579200">
          <w:marLeft w:val="1224"/>
          <w:marRight w:val="0"/>
          <w:marTop w:val="120"/>
          <w:marBottom w:val="0"/>
          <w:divBdr>
            <w:top w:val="none" w:sz="0" w:space="0" w:color="auto"/>
            <w:left w:val="none" w:sz="0" w:space="0" w:color="auto"/>
            <w:bottom w:val="none" w:sz="0" w:space="0" w:color="auto"/>
            <w:right w:val="none" w:sz="0" w:space="0" w:color="auto"/>
          </w:divBdr>
        </w:div>
        <w:div w:id="1618022786">
          <w:marLeft w:val="792"/>
          <w:marRight w:val="0"/>
          <w:marTop w:val="120"/>
          <w:marBottom w:val="0"/>
          <w:divBdr>
            <w:top w:val="none" w:sz="0" w:space="0" w:color="auto"/>
            <w:left w:val="none" w:sz="0" w:space="0" w:color="auto"/>
            <w:bottom w:val="none" w:sz="0" w:space="0" w:color="auto"/>
            <w:right w:val="none" w:sz="0" w:space="0" w:color="auto"/>
          </w:divBdr>
        </w:div>
        <w:div w:id="1622416887">
          <w:marLeft w:val="792"/>
          <w:marRight w:val="0"/>
          <w:marTop w:val="120"/>
          <w:marBottom w:val="0"/>
          <w:divBdr>
            <w:top w:val="none" w:sz="0" w:space="0" w:color="auto"/>
            <w:left w:val="none" w:sz="0" w:space="0" w:color="auto"/>
            <w:bottom w:val="none" w:sz="0" w:space="0" w:color="auto"/>
            <w:right w:val="none" w:sz="0" w:space="0" w:color="auto"/>
          </w:divBdr>
        </w:div>
        <w:div w:id="1629432495">
          <w:marLeft w:val="1224"/>
          <w:marRight w:val="0"/>
          <w:marTop w:val="120"/>
          <w:marBottom w:val="0"/>
          <w:divBdr>
            <w:top w:val="none" w:sz="0" w:space="0" w:color="auto"/>
            <w:left w:val="none" w:sz="0" w:space="0" w:color="auto"/>
            <w:bottom w:val="none" w:sz="0" w:space="0" w:color="auto"/>
            <w:right w:val="none" w:sz="0" w:space="0" w:color="auto"/>
          </w:divBdr>
        </w:div>
        <w:div w:id="2057197345">
          <w:marLeft w:val="792"/>
          <w:marRight w:val="0"/>
          <w:marTop w:val="120"/>
          <w:marBottom w:val="0"/>
          <w:divBdr>
            <w:top w:val="none" w:sz="0" w:space="0" w:color="auto"/>
            <w:left w:val="none" w:sz="0" w:space="0" w:color="auto"/>
            <w:bottom w:val="none" w:sz="0" w:space="0" w:color="auto"/>
            <w:right w:val="none" w:sz="0" w:space="0" w:color="auto"/>
          </w:divBdr>
        </w:div>
      </w:divsChild>
    </w:div>
    <w:div w:id="113528072">
      <w:bodyDiv w:val="1"/>
      <w:marLeft w:val="0"/>
      <w:marRight w:val="0"/>
      <w:marTop w:val="0"/>
      <w:marBottom w:val="0"/>
      <w:divBdr>
        <w:top w:val="none" w:sz="0" w:space="0" w:color="auto"/>
        <w:left w:val="none" w:sz="0" w:space="0" w:color="auto"/>
        <w:bottom w:val="none" w:sz="0" w:space="0" w:color="auto"/>
        <w:right w:val="none" w:sz="0" w:space="0" w:color="auto"/>
      </w:divBdr>
    </w:div>
    <w:div w:id="120073250">
      <w:bodyDiv w:val="1"/>
      <w:marLeft w:val="0"/>
      <w:marRight w:val="0"/>
      <w:marTop w:val="0"/>
      <w:marBottom w:val="0"/>
      <w:divBdr>
        <w:top w:val="none" w:sz="0" w:space="0" w:color="auto"/>
        <w:left w:val="none" w:sz="0" w:space="0" w:color="auto"/>
        <w:bottom w:val="none" w:sz="0" w:space="0" w:color="auto"/>
        <w:right w:val="none" w:sz="0" w:space="0" w:color="auto"/>
      </w:divBdr>
    </w:div>
    <w:div w:id="121462905">
      <w:bodyDiv w:val="1"/>
      <w:marLeft w:val="0"/>
      <w:marRight w:val="0"/>
      <w:marTop w:val="0"/>
      <w:marBottom w:val="0"/>
      <w:divBdr>
        <w:top w:val="none" w:sz="0" w:space="0" w:color="auto"/>
        <w:left w:val="none" w:sz="0" w:space="0" w:color="auto"/>
        <w:bottom w:val="none" w:sz="0" w:space="0" w:color="auto"/>
        <w:right w:val="none" w:sz="0" w:space="0" w:color="auto"/>
      </w:divBdr>
    </w:div>
    <w:div w:id="144595250">
      <w:bodyDiv w:val="1"/>
      <w:marLeft w:val="0"/>
      <w:marRight w:val="0"/>
      <w:marTop w:val="0"/>
      <w:marBottom w:val="0"/>
      <w:divBdr>
        <w:top w:val="none" w:sz="0" w:space="0" w:color="auto"/>
        <w:left w:val="none" w:sz="0" w:space="0" w:color="auto"/>
        <w:bottom w:val="none" w:sz="0" w:space="0" w:color="auto"/>
        <w:right w:val="none" w:sz="0" w:space="0" w:color="auto"/>
      </w:divBdr>
      <w:divsChild>
        <w:div w:id="841235594">
          <w:marLeft w:val="0"/>
          <w:marRight w:val="0"/>
          <w:marTop w:val="0"/>
          <w:marBottom w:val="0"/>
          <w:divBdr>
            <w:top w:val="none" w:sz="0" w:space="0" w:color="auto"/>
            <w:left w:val="none" w:sz="0" w:space="0" w:color="auto"/>
            <w:bottom w:val="none" w:sz="0" w:space="0" w:color="auto"/>
            <w:right w:val="none" w:sz="0" w:space="0" w:color="auto"/>
          </w:divBdr>
          <w:divsChild>
            <w:div w:id="1353410316">
              <w:marLeft w:val="0"/>
              <w:marRight w:val="0"/>
              <w:marTop w:val="0"/>
              <w:marBottom w:val="0"/>
              <w:divBdr>
                <w:top w:val="none" w:sz="0" w:space="0" w:color="auto"/>
                <w:left w:val="none" w:sz="0" w:space="0" w:color="auto"/>
                <w:bottom w:val="none" w:sz="0" w:space="0" w:color="auto"/>
                <w:right w:val="none" w:sz="0" w:space="0" w:color="auto"/>
              </w:divBdr>
              <w:divsChild>
                <w:div w:id="1235428620">
                  <w:marLeft w:val="0"/>
                  <w:marRight w:val="0"/>
                  <w:marTop w:val="0"/>
                  <w:marBottom w:val="0"/>
                  <w:divBdr>
                    <w:top w:val="none" w:sz="0" w:space="0" w:color="auto"/>
                    <w:left w:val="none" w:sz="0" w:space="0" w:color="auto"/>
                    <w:bottom w:val="none" w:sz="0" w:space="0" w:color="auto"/>
                    <w:right w:val="none" w:sz="0" w:space="0" w:color="auto"/>
                  </w:divBdr>
                </w:div>
              </w:divsChild>
            </w:div>
            <w:div w:id="409232229">
              <w:marLeft w:val="0"/>
              <w:marRight w:val="0"/>
              <w:marTop w:val="0"/>
              <w:marBottom w:val="0"/>
              <w:divBdr>
                <w:top w:val="none" w:sz="0" w:space="0" w:color="auto"/>
                <w:left w:val="none" w:sz="0" w:space="0" w:color="auto"/>
                <w:bottom w:val="none" w:sz="0" w:space="0" w:color="auto"/>
                <w:right w:val="none" w:sz="0" w:space="0" w:color="auto"/>
              </w:divBdr>
              <w:divsChild>
                <w:div w:id="1402828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295739">
      <w:bodyDiv w:val="1"/>
      <w:marLeft w:val="0"/>
      <w:marRight w:val="0"/>
      <w:marTop w:val="0"/>
      <w:marBottom w:val="0"/>
      <w:divBdr>
        <w:top w:val="none" w:sz="0" w:space="0" w:color="auto"/>
        <w:left w:val="none" w:sz="0" w:space="0" w:color="auto"/>
        <w:bottom w:val="none" w:sz="0" w:space="0" w:color="auto"/>
        <w:right w:val="none" w:sz="0" w:space="0" w:color="auto"/>
      </w:divBdr>
    </w:div>
    <w:div w:id="152642372">
      <w:bodyDiv w:val="1"/>
      <w:marLeft w:val="0"/>
      <w:marRight w:val="0"/>
      <w:marTop w:val="0"/>
      <w:marBottom w:val="0"/>
      <w:divBdr>
        <w:top w:val="none" w:sz="0" w:space="0" w:color="auto"/>
        <w:left w:val="none" w:sz="0" w:space="0" w:color="auto"/>
        <w:bottom w:val="none" w:sz="0" w:space="0" w:color="auto"/>
        <w:right w:val="none" w:sz="0" w:space="0" w:color="auto"/>
      </w:divBdr>
    </w:div>
    <w:div w:id="153422327">
      <w:bodyDiv w:val="1"/>
      <w:marLeft w:val="0"/>
      <w:marRight w:val="0"/>
      <w:marTop w:val="0"/>
      <w:marBottom w:val="0"/>
      <w:divBdr>
        <w:top w:val="none" w:sz="0" w:space="0" w:color="auto"/>
        <w:left w:val="none" w:sz="0" w:space="0" w:color="auto"/>
        <w:bottom w:val="none" w:sz="0" w:space="0" w:color="auto"/>
        <w:right w:val="none" w:sz="0" w:space="0" w:color="auto"/>
      </w:divBdr>
    </w:div>
    <w:div w:id="154612075">
      <w:bodyDiv w:val="1"/>
      <w:marLeft w:val="0"/>
      <w:marRight w:val="0"/>
      <w:marTop w:val="0"/>
      <w:marBottom w:val="0"/>
      <w:divBdr>
        <w:top w:val="none" w:sz="0" w:space="0" w:color="auto"/>
        <w:left w:val="none" w:sz="0" w:space="0" w:color="auto"/>
        <w:bottom w:val="none" w:sz="0" w:space="0" w:color="auto"/>
        <w:right w:val="none" w:sz="0" w:space="0" w:color="auto"/>
      </w:divBdr>
    </w:div>
    <w:div w:id="158935821">
      <w:bodyDiv w:val="1"/>
      <w:marLeft w:val="0"/>
      <w:marRight w:val="0"/>
      <w:marTop w:val="0"/>
      <w:marBottom w:val="0"/>
      <w:divBdr>
        <w:top w:val="none" w:sz="0" w:space="0" w:color="auto"/>
        <w:left w:val="none" w:sz="0" w:space="0" w:color="auto"/>
        <w:bottom w:val="none" w:sz="0" w:space="0" w:color="auto"/>
        <w:right w:val="none" w:sz="0" w:space="0" w:color="auto"/>
      </w:divBdr>
    </w:div>
    <w:div w:id="178273853">
      <w:bodyDiv w:val="1"/>
      <w:marLeft w:val="0"/>
      <w:marRight w:val="0"/>
      <w:marTop w:val="0"/>
      <w:marBottom w:val="0"/>
      <w:divBdr>
        <w:top w:val="none" w:sz="0" w:space="0" w:color="auto"/>
        <w:left w:val="none" w:sz="0" w:space="0" w:color="auto"/>
        <w:bottom w:val="none" w:sz="0" w:space="0" w:color="auto"/>
        <w:right w:val="none" w:sz="0" w:space="0" w:color="auto"/>
      </w:divBdr>
    </w:div>
    <w:div w:id="178399289">
      <w:bodyDiv w:val="1"/>
      <w:marLeft w:val="0"/>
      <w:marRight w:val="0"/>
      <w:marTop w:val="0"/>
      <w:marBottom w:val="0"/>
      <w:divBdr>
        <w:top w:val="none" w:sz="0" w:space="0" w:color="auto"/>
        <w:left w:val="none" w:sz="0" w:space="0" w:color="auto"/>
        <w:bottom w:val="none" w:sz="0" w:space="0" w:color="auto"/>
        <w:right w:val="none" w:sz="0" w:space="0" w:color="auto"/>
      </w:divBdr>
    </w:div>
    <w:div w:id="189530831">
      <w:bodyDiv w:val="1"/>
      <w:marLeft w:val="0"/>
      <w:marRight w:val="0"/>
      <w:marTop w:val="0"/>
      <w:marBottom w:val="0"/>
      <w:divBdr>
        <w:top w:val="none" w:sz="0" w:space="0" w:color="auto"/>
        <w:left w:val="none" w:sz="0" w:space="0" w:color="auto"/>
        <w:bottom w:val="none" w:sz="0" w:space="0" w:color="auto"/>
        <w:right w:val="none" w:sz="0" w:space="0" w:color="auto"/>
      </w:divBdr>
    </w:div>
    <w:div w:id="199634347">
      <w:bodyDiv w:val="1"/>
      <w:marLeft w:val="0"/>
      <w:marRight w:val="0"/>
      <w:marTop w:val="0"/>
      <w:marBottom w:val="0"/>
      <w:divBdr>
        <w:top w:val="none" w:sz="0" w:space="0" w:color="auto"/>
        <w:left w:val="none" w:sz="0" w:space="0" w:color="auto"/>
        <w:bottom w:val="none" w:sz="0" w:space="0" w:color="auto"/>
        <w:right w:val="none" w:sz="0" w:space="0" w:color="auto"/>
      </w:divBdr>
    </w:div>
    <w:div w:id="200091607">
      <w:bodyDiv w:val="1"/>
      <w:marLeft w:val="0"/>
      <w:marRight w:val="0"/>
      <w:marTop w:val="0"/>
      <w:marBottom w:val="0"/>
      <w:divBdr>
        <w:top w:val="none" w:sz="0" w:space="0" w:color="auto"/>
        <w:left w:val="none" w:sz="0" w:space="0" w:color="auto"/>
        <w:bottom w:val="none" w:sz="0" w:space="0" w:color="auto"/>
        <w:right w:val="none" w:sz="0" w:space="0" w:color="auto"/>
      </w:divBdr>
    </w:div>
    <w:div w:id="210002225">
      <w:bodyDiv w:val="1"/>
      <w:marLeft w:val="0"/>
      <w:marRight w:val="0"/>
      <w:marTop w:val="0"/>
      <w:marBottom w:val="0"/>
      <w:divBdr>
        <w:top w:val="none" w:sz="0" w:space="0" w:color="auto"/>
        <w:left w:val="none" w:sz="0" w:space="0" w:color="auto"/>
        <w:bottom w:val="none" w:sz="0" w:space="0" w:color="auto"/>
        <w:right w:val="none" w:sz="0" w:space="0" w:color="auto"/>
      </w:divBdr>
      <w:divsChild>
        <w:div w:id="208999649">
          <w:marLeft w:val="1166"/>
          <w:marRight w:val="0"/>
          <w:marTop w:val="115"/>
          <w:marBottom w:val="0"/>
          <w:divBdr>
            <w:top w:val="none" w:sz="0" w:space="0" w:color="auto"/>
            <w:left w:val="none" w:sz="0" w:space="0" w:color="auto"/>
            <w:bottom w:val="none" w:sz="0" w:space="0" w:color="auto"/>
            <w:right w:val="none" w:sz="0" w:space="0" w:color="auto"/>
          </w:divBdr>
        </w:div>
        <w:div w:id="954599635">
          <w:marLeft w:val="1166"/>
          <w:marRight w:val="0"/>
          <w:marTop w:val="115"/>
          <w:marBottom w:val="0"/>
          <w:divBdr>
            <w:top w:val="none" w:sz="0" w:space="0" w:color="auto"/>
            <w:left w:val="none" w:sz="0" w:space="0" w:color="auto"/>
            <w:bottom w:val="none" w:sz="0" w:space="0" w:color="auto"/>
            <w:right w:val="none" w:sz="0" w:space="0" w:color="auto"/>
          </w:divBdr>
        </w:div>
        <w:div w:id="1285232530">
          <w:marLeft w:val="547"/>
          <w:marRight w:val="0"/>
          <w:marTop w:val="134"/>
          <w:marBottom w:val="0"/>
          <w:divBdr>
            <w:top w:val="none" w:sz="0" w:space="0" w:color="auto"/>
            <w:left w:val="none" w:sz="0" w:space="0" w:color="auto"/>
            <w:bottom w:val="none" w:sz="0" w:space="0" w:color="auto"/>
            <w:right w:val="none" w:sz="0" w:space="0" w:color="auto"/>
          </w:divBdr>
        </w:div>
        <w:div w:id="1627155589">
          <w:marLeft w:val="1166"/>
          <w:marRight w:val="0"/>
          <w:marTop w:val="115"/>
          <w:marBottom w:val="0"/>
          <w:divBdr>
            <w:top w:val="none" w:sz="0" w:space="0" w:color="auto"/>
            <w:left w:val="none" w:sz="0" w:space="0" w:color="auto"/>
            <w:bottom w:val="none" w:sz="0" w:space="0" w:color="auto"/>
            <w:right w:val="none" w:sz="0" w:space="0" w:color="auto"/>
          </w:divBdr>
        </w:div>
        <w:div w:id="1645968523">
          <w:marLeft w:val="1166"/>
          <w:marRight w:val="0"/>
          <w:marTop w:val="115"/>
          <w:marBottom w:val="0"/>
          <w:divBdr>
            <w:top w:val="none" w:sz="0" w:space="0" w:color="auto"/>
            <w:left w:val="none" w:sz="0" w:space="0" w:color="auto"/>
            <w:bottom w:val="none" w:sz="0" w:space="0" w:color="auto"/>
            <w:right w:val="none" w:sz="0" w:space="0" w:color="auto"/>
          </w:divBdr>
        </w:div>
        <w:div w:id="1741519352">
          <w:marLeft w:val="1166"/>
          <w:marRight w:val="0"/>
          <w:marTop w:val="115"/>
          <w:marBottom w:val="0"/>
          <w:divBdr>
            <w:top w:val="none" w:sz="0" w:space="0" w:color="auto"/>
            <w:left w:val="none" w:sz="0" w:space="0" w:color="auto"/>
            <w:bottom w:val="none" w:sz="0" w:space="0" w:color="auto"/>
            <w:right w:val="none" w:sz="0" w:space="0" w:color="auto"/>
          </w:divBdr>
        </w:div>
      </w:divsChild>
    </w:div>
    <w:div w:id="210727378">
      <w:bodyDiv w:val="1"/>
      <w:marLeft w:val="0"/>
      <w:marRight w:val="0"/>
      <w:marTop w:val="0"/>
      <w:marBottom w:val="0"/>
      <w:divBdr>
        <w:top w:val="none" w:sz="0" w:space="0" w:color="auto"/>
        <w:left w:val="none" w:sz="0" w:space="0" w:color="auto"/>
        <w:bottom w:val="none" w:sz="0" w:space="0" w:color="auto"/>
        <w:right w:val="none" w:sz="0" w:space="0" w:color="auto"/>
      </w:divBdr>
    </w:div>
    <w:div w:id="215315327">
      <w:bodyDiv w:val="1"/>
      <w:marLeft w:val="0"/>
      <w:marRight w:val="0"/>
      <w:marTop w:val="0"/>
      <w:marBottom w:val="0"/>
      <w:divBdr>
        <w:top w:val="none" w:sz="0" w:space="0" w:color="auto"/>
        <w:left w:val="none" w:sz="0" w:space="0" w:color="auto"/>
        <w:bottom w:val="none" w:sz="0" w:space="0" w:color="auto"/>
        <w:right w:val="none" w:sz="0" w:space="0" w:color="auto"/>
      </w:divBdr>
    </w:div>
    <w:div w:id="216283426">
      <w:bodyDiv w:val="1"/>
      <w:marLeft w:val="0"/>
      <w:marRight w:val="0"/>
      <w:marTop w:val="0"/>
      <w:marBottom w:val="0"/>
      <w:divBdr>
        <w:top w:val="none" w:sz="0" w:space="0" w:color="auto"/>
        <w:left w:val="none" w:sz="0" w:space="0" w:color="auto"/>
        <w:bottom w:val="none" w:sz="0" w:space="0" w:color="auto"/>
        <w:right w:val="none" w:sz="0" w:space="0" w:color="auto"/>
      </w:divBdr>
    </w:div>
    <w:div w:id="216429824">
      <w:bodyDiv w:val="1"/>
      <w:marLeft w:val="0"/>
      <w:marRight w:val="0"/>
      <w:marTop w:val="0"/>
      <w:marBottom w:val="0"/>
      <w:divBdr>
        <w:top w:val="none" w:sz="0" w:space="0" w:color="auto"/>
        <w:left w:val="none" w:sz="0" w:space="0" w:color="auto"/>
        <w:bottom w:val="none" w:sz="0" w:space="0" w:color="auto"/>
        <w:right w:val="none" w:sz="0" w:space="0" w:color="auto"/>
      </w:divBdr>
      <w:divsChild>
        <w:div w:id="16198468">
          <w:marLeft w:val="1080"/>
          <w:marRight w:val="0"/>
          <w:marTop w:val="200"/>
          <w:marBottom w:val="0"/>
          <w:divBdr>
            <w:top w:val="none" w:sz="0" w:space="0" w:color="auto"/>
            <w:left w:val="none" w:sz="0" w:space="0" w:color="auto"/>
            <w:bottom w:val="none" w:sz="0" w:space="0" w:color="auto"/>
            <w:right w:val="none" w:sz="0" w:space="0" w:color="auto"/>
          </w:divBdr>
        </w:div>
        <w:div w:id="109983009">
          <w:marLeft w:val="2520"/>
          <w:marRight w:val="0"/>
          <w:marTop w:val="200"/>
          <w:marBottom w:val="0"/>
          <w:divBdr>
            <w:top w:val="none" w:sz="0" w:space="0" w:color="auto"/>
            <w:left w:val="none" w:sz="0" w:space="0" w:color="auto"/>
            <w:bottom w:val="none" w:sz="0" w:space="0" w:color="auto"/>
            <w:right w:val="none" w:sz="0" w:space="0" w:color="auto"/>
          </w:divBdr>
        </w:div>
        <w:div w:id="146559470">
          <w:marLeft w:val="1080"/>
          <w:marRight w:val="0"/>
          <w:marTop w:val="200"/>
          <w:marBottom w:val="0"/>
          <w:divBdr>
            <w:top w:val="none" w:sz="0" w:space="0" w:color="auto"/>
            <w:left w:val="none" w:sz="0" w:space="0" w:color="auto"/>
            <w:bottom w:val="none" w:sz="0" w:space="0" w:color="auto"/>
            <w:right w:val="none" w:sz="0" w:space="0" w:color="auto"/>
          </w:divBdr>
        </w:div>
        <w:div w:id="404231573">
          <w:marLeft w:val="1080"/>
          <w:marRight w:val="0"/>
          <w:marTop w:val="200"/>
          <w:marBottom w:val="0"/>
          <w:divBdr>
            <w:top w:val="none" w:sz="0" w:space="0" w:color="auto"/>
            <w:left w:val="none" w:sz="0" w:space="0" w:color="auto"/>
            <w:bottom w:val="none" w:sz="0" w:space="0" w:color="auto"/>
            <w:right w:val="none" w:sz="0" w:space="0" w:color="auto"/>
          </w:divBdr>
        </w:div>
        <w:div w:id="563224781">
          <w:marLeft w:val="360"/>
          <w:marRight w:val="0"/>
          <w:marTop w:val="200"/>
          <w:marBottom w:val="0"/>
          <w:divBdr>
            <w:top w:val="none" w:sz="0" w:space="0" w:color="auto"/>
            <w:left w:val="none" w:sz="0" w:space="0" w:color="auto"/>
            <w:bottom w:val="none" w:sz="0" w:space="0" w:color="auto"/>
            <w:right w:val="none" w:sz="0" w:space="0" w:color="auto"/>
          </w:divBdr>
        </w:div>
        <w:div w:id="658583435">
          <w:marLeft w:val="2520"/>
          <w:marRight w:val="0"/>
          <w:marTop w:val="200"/>
          <w:marBottom w:val="0"/>
          <w:divBdr>
            <w:top w:val="none" w:sz="0" w:space="0" w:color="auto"/>
            <w:left w:val="none" w:sz="0" w:space="0" w:color="auto"/>
            <w:bottom w:val="none" w:sz="0" w:space="0" w:color="auto"/>
            <w:right w:val="none" w:sz="0" w:space="0" w:color="auto"/>
          </w:divBdr>
        </w:div>
        <w:div w:id="757556339">
          <w:marLeft w:val="360"/>
          <w:marRight w:val="0"/>
          <w:marTop w:val="200"/>
          <w:marBottom w:val="0"/>
          <w:divBdr>
            <w:top w:val="none" w:sz="0" w:space="0" w:color="auto"/>
            <w:left w:val="none" w:sz="0" w:space="0" w:color="auto"/>
            <w:bottom w:val="none" w:sz="0" w:space="0" w:color="auto"/>
            <w:right w:val="none" w:sz="0" w:space="0" w:color="auto"/>
          </w:divBdr>
        </w:div>
        <w:div w:id="1597442232">
          <w:marLeft w:val="360"/>
          <w:marRight w:val="0"/>
          <w:marTop w:val="200"/>
          <w:marBottom w:val="0"/>
          <w:divBdr>
            <w:top w:val="none" w:sz="0" w:space="0" w:color="auto"/>
            <w:left w:val="none" w:sz="0" w:space="0" w:color="auto"/>
            <w:bottom w:val="none" w:sz="0" w:space="0" w:color="auto"/>
            <w:right w:val="none" w:sz="0" w:space="0" w:color="auto"/>
          </w:divBdr>
        </w:div>
        <w:div w:id="1608267905">
          <w:marLeft w:val="1080"/>
          <w:marRight w:val="0"/>
          <w:marTop w:val="200"/>
          <w:marBottom w:val="0"/>
          <w:divBdr>
            <w:top w:val="none" w:sz="0" w:space="0" w:color="auto"/>
            <w:left w:val="none" w:sz="0" w:space="0" w:color="auto"/>
            <w:bottom w:val="none" w:sz="0" w:space="0" w:color="auto"/>
            <w:right w:val="none" w:sz="0" w:space="0" w:color="auto"/>
          </w:divBdr>
        </w:div>
        <w:div w:id="1837844789">
          <w:marLeft w:val="2520"/>
          <w:marRight w:val="0"/>
          <w:marTop w:val="200"/>
          <w:marBottom w:val="0"/>
          <w:divBdr>
            <w:top w:val="none" w:sz="0" w:space="0" w:color="auto"/>
            <w:left w:val="none" w:sz="0" w:space="0" w:color="auto"/>
            <w:bottom w:val="none" w:sz="0" w:space="0" w:color="auto"/>
            <w:right w:val="none" w:sz="0" w:space="0" w:color="auto"/>
          </w:divBdr>
        </w:div>
        <w:div w:id="1923559859">
          <w:marLeft w:val="1800"/>
          <w:marRight w:val="0"/>
          <w:marTop w:val="200"/>
          <w:marBottom w:val="0"/>
          <w:divBdr>
            <w:top w:val="none" w:sz="0" w:space="0" w:color="auto"/>
            <w:left w:val="none" w:sz="0" w:space="0" w:color="auto"/>
            <w:bottom w:val="none" w:sz="0" w:space="0" w:color="auto"/>
            <w:right w:val="none" w:sz="0" w:space="0" w:color="auto"/>
          </w:divBdr>
        </w:div>
        <w:div w:id="1927223049">
          <w:marLeft w:val="360"/>
          <w:marRight w:val="0"/>
          <w:marTop w:val="200"/>
          <w:marBottom w:val="0"/>
          <w:divBdr>
            <w:top w:val="none" w:sz="0" w:space="0" w:color="auto"/>
            <w:left w:val="none" w:sz="0" w:space="0" w:color="auto"/>
            <w:bottom w:val="none" w:sz="0" w:space="0" w:color="auto"/>
            <w:right w:val="none" w:sz="0" w:space="0" w:color="auto"/>
          </w:divBdr>
        </w:div>
        <w:div w:id="1959527186">
          <w:marLeft w:val="2520"/>
          <w:marRight w:val="0"/>
          <w:marTop w:val="200"/>
          <w:marBottom w:val="0"/>
          <w:divBdr>
            <w:top w:val="none" w:sz="0" w:space="0" w:color="auto"/>
            <w:left w:val="none" w:sz="0" w:space="0" w:color="auto"/>
            <w:bottom w:val="none" w:sz="0" w:space="0" w:color="auto"/>
            <w:right w:val="none" w:sz="0" w:space="0" w:color="auto"/>
          </w:divBdr>
        </w:div>
        <w:div w:id="2034960862">
          <w:marLeft w:val="360"/>
          <w:marRight w:val="0"/>
          <w:marTop w:val="200"/>
          <w:marBottom w:val="0"/>
          <w:divBdr>
            <w:top w:val="none" w:sz="0" w:space="0" w:color="auto"/>
            <w:left w:val="none" w:sz="0" w:space="0" w:color="auto"/>
            <w:bottom w:val="none" w:sz="0" w:space="0" w:color="auto"/>
            <w:right w:val="none" w:sz="0" w:space="0" w:color="auto"/>
          </w:divBdr>
        </w:div>
        <w:div w:id="2099783804">
          <w:marLeft w:val="1080"/>
          <w:marRight w:val="0"/>
          <w:marTop w:val="200"/>
          <w:marBottom w:val="0"/>
          <w:divBdr>
            <w:top w:val="none" w:sz="0" w:space="0" w:color="auto"/>
            <w:left w:val="none" w:sz="0" w:space="0" w:color="auto"/>
            <w:bottom w:val="none" w:sz="0" w:space="0" w:color="auto"/>
            <w:right w:val="none" w:sz="0" w:space="0" w:color="auto"/>
          </w:divBdr>
        </w:div>
      </w:divsChild>
    </w:div>
    <w:div w:id="218131298">
      <w:bodyDiv w:val="1"/>
      <w:marLeft w:val="0"/>
      <w:marRight w:val="0"/>
      <w:marTop w:val="0"/>
      <w:marBottom w:val="0"/>
      <w:divBdr>
        <w:top w:val="none" w:sz="0" w:space="0" w:color="auto"/>
        <w:left w:val="none" w:sz="0" w:space="0" w:color="auto"/>
        <w:bottom w:val="none" w:sz="0" w:space="0" w:color="auto"/>
        <w:right w:val="none" w:sz="0" w:space="0" w:color="auto"/>
      </w:divBdr>
    </w:div>
    <w:div w:id="219639777">
      <w:bodyDiv w:val="1"/>
      <w:marLeft w:val="0"/>
      <w:marRight w:val="0"/>
      <w:marTop w:val="0"/>
      <w:marBottom w:val="0"/>
      <w:divBdr>
        <w:top w:val="none" w:sz="0" w:space="0" w:color="auto"/>
        <w:left w:val="none" w:sz="0" w:space="0" w:color="auto"/>
        <w:bottom w:val="none" w:sz="0" w:space="0" w:color="auto"/>
        <w:right w:val="none" w:sz="0" w:space="0" w:color="auto"/>
      </w:divBdr>
      <w:divsChild>
        <w:div w:id="228155070">
          <w:marLeft w:val="360"/>
          <w:marRight w:val="0"/>
          <w:marTop w:val="200"/>
          <w:marBottom w:val="0"/>
          <w:divBdr>
            <w:top w:val="none" w:sz="0" w:space="0" w:color="auto"/>
            <w:left w:val="none" w:sz="0" w:space="0" w:color="auto"/>
            <w:bottom w:val="none" w:sz="0" w:space="0" w:color="auto"/>
            <w:right w:val="none" w:sz="0" w:space="0" w:color="auto"/>
          </w:divBdr>
        </w:div>
        <w:div w:id="833495980">
          <w:marLeft w:val="360"/>
          <w:marRight w:val="0"/>
          <w:marTop w:val="200"/>
          <w:marBottom w:val="0"/>
          <w:divBdr>
            <w:top w:val="none" w:sz="0" w:space="0" w:color="auto"/>
            <w:left w:val="none" w:sz="0" w:space="0" w:color="auto"/>
            <w:bottom w:val="none" w:sz="0" w:space="0" w:color="auto"/>
            <w:right w:val="none" w:sz="0" w:space="0" w:color="auto"/>
          </w:divBdr>
        </w:div>
        <w:div w:id="1986280889">
          <w:marLeft w:val="360"/>
          <w:marRight w:val="0"/>
          <w:marTop w:val="200"/>
          <w:marBottom w:val="0"/>
          <w:divBdr>
            <w:top w:val="none" w:sz="0" w:space="0" w:color="auto"/>
            <w:left w:val="none" w:sz="0" w:space="0" w:color="auto"/>
            <w:bottom w:val="none" w:sz="0" w:space="0" w:color="auto"/>
            <w:right w:val="none" w:sz="0" w:space="0" w:color="auto"/>
          </w:divBdr>
        </w:div>
        <w:div w:id="2003308486">
          <w:marLeft w:val="1267"/>
          <w:marRight w:val="0"/>
          <w:marTop w:val="200"/>
          <w:marBottom w:val="0"/>
          <w:divBdr>
            <w:top w:val="none" w:sz="0" w:space="0" w:color="auto"/>
            <w:left w:val="none" w:sz="0" w:space="0" w:color="auto"/>
            <w:bottom w:val="none" w:sz="0" w:space="0" w:color="auto"/>
            <w:right w:val="none" w:sz="0" w:space="0" w:color="auto"/>
          </w:divBdr>
        </w:div>
      </w:divsChild>
    </w:div>
    <w:div w:id="232280378">
      <w:bodyDiv w:val="1"/>
      <w:marLeft w:val="0"/>
      <w:marRight w:val="0"/>
      <w:marTop w:val="0"/>
      <w:marBottom w:val="0"/>
      <w:divBdr>
        <w:top w:val="none" w:sz="0" w:space="0" w:color="auto"/>
        <w:left w:val="none" w:sz="0" w:space="0" w:color="auto"/>
        <w:bottom w:val="none" w:sz="0" w:space="0" w:color="auto"/>
        <w:right w:val="none" w:sz="0" w:space="0" w:color="auto"/>
      </w:divBdr>
    </w:div>
    <w:div w:id="242836348">
      <w:bodyDiv w:val="1"/>
      <w:marLeft w:val="0"/>
      <w:marRight w:val="0"/>
      <w:marTop w:val="0"/>
      <w:marBottom w:val="0"/>
      <w:divBdr>
        <w:top w:val="none" w:sz="0" w:space="0" w:color="auto"/>
        <w:left w:val="none" w:sz="0" w:space="0" w:color="auto"/>
        <w:bottom w:val="none" w:sz="0" w:space="0" w:color="auto"/>
        <w:right w:val="none" w:sz="0" w:space="0" w:color="auto"/>
      </w:divBdr>
    </w:div>
    <w:div w:id="249893721">
      <w:bodyDiv w:val="1"/>
      <w:marLeft w:val="0"/>
      <w:marRight w:val="0"/>
      <w:marTop w:val="0"/>
      <w:marBottom w:val="0"/>
      <w:divBdr>
        <w:top w:val="none" w:sz="0" w:space="0" w:color="auto"/>
        <w:left w:val="none" w:sz="0" w:space="0" w:color="auto"/>
        <w:bottom w:val="none" w:sz="0" w:space="0" w:color="auto"/>
        <w:right w:val="none" w:sz="0" w:space="0" w:color="auto"/>
      </w:divBdr>
      <w:divsChild>
        <w:div w:id="13115615">
          <w:marLeft w:val="1987"/>
          <w:marRight w:val="0"/>
          <w:marTop w:val="96"/>
          <w:marBottom w:val="0"/>
          <w:divBdr>
            <w:top w:val="none" w:sz="0" w:space="0" w:color="auto"/>
            <w:left w:val="none" w:sz="0" w:space="0" w:color="auto"/>
            <w:bottom w:val="none" w:sz="0" w:space="0" w:color="auto"/>
            <w:right w:val="none" w:sz="0" w:space="0" w:color="auto"/>
          </w:divBdr>
        </w:div>
        <w:div w:id="609629204">
          <w:marLeft w:val="1267"/>
          <w:marRight w:val="0"/>
          <w:marTop w:val="96"/>
          <w:marBottom w:val="0"/>
          <w:divBdr>
            <w:top w:val="none" w:sz="0" w:space="0" w:color="auto"/>
            <w:left w:val="none" w:sz="0" w:space="0" w:color="auto"/>
            <w:bottom w:val="none" w:sz="0" w:space="0" w:color="auto"/>
            <w:right w:val="none" w:sz="0" w:space="0" w:color="auto"/>
          </w:divBdr>
        </w:div>
        <w:div w:id="646201072">
          <w:marLeft w:val="1987"/>
          <w:marRight w:val="0"/>
          <w:marTop w:val="96"/>
          <w:marBottom w:val="0"/>
          <w:divBdr>
            <w:top w:val="none" w:sz="0" w:space="0" w:color="auto"/>
            <w:left w:val="none" w:sz="0" w:space="0" w:color="auto"/>
            <w:bottom w:val="none" w:sz="0" w:space="0" w:color="auto"/>
            <w:right w:val="none" w:sz="0" w:space="0" w:color="auto"/>
          </w:divBdr>
        </w:div>
        <w:div w:id="1378428923">
          <w:marLeft w:val="605"/>
          <w:marRight w:val="0"/>
          <w:marTop w:val="115"/>
          <w:marBottom w:val="0"/>
          <w:divBdr>
            <w:top w:val="none" w:sz="0" w:space="0" w:color="auto"/>
            <w:left w:val="none" w:sz="0" w:space="0" w:color="auto"/>
            <w:bottom w:val="none" w:sz="0" w:space="0" w:color="auto"/>
            <w:right w:val="none" w:sz="0" w:space="0" w:color="auto"/>
          </w:divBdr>
        </w:div>
        <w:div w:id="1703166544">
          <w:marLeft w:val="1267"/>
          <w:marRight w:val="0"/>
          <w:marTop w:val="96"/>
          <w:marBottom w:val="0"/>
          <w:divBdr>
            <w:top w:val="none" w:sz="0" w:space="0" w:color="auto"/>
            <w:left w:val="none" w:sz="0" w:space="0" w:color="auto"/>
            <w:bottom w:val="none" w:sz="0" w:space="0" w:color="auto"/>
            <w:right w:val="none" w:sz="0" w:space="0" w:color="auto"/>
          </w:divBdr>
        </w:div>
        <w:div w:id="2117868680">
          <w:marLeft w:val="1987"/>
          <w:marRight w:val="0"/>
          <w:marTop w:val="96"/>
          <w:marBottom w:val="0"/>
          <w:divBdr>
            <w:top w:val="none" w:sz="0" w:space="0" w:color="auto"/>
            <w:left w:val="none" w:sz="0" w:space="0" w:color="auto"/>
            <w:bottom w:val="none" w:sz="0" w:space="0" w:color="auto"/>
            <w:right w:val="none" w:sz="0" w:space="0" w:color="auto"/>
          </w:divBdr>
        </w:div>
      </w:divsChild>
    </w:div>
    <w:div w:id="250164610">
      <w:bodyDiv w:val="1"/>
      <w:marLeft w:val="0"/>
      <w:marRight w:val="0"/>
      <w:marTop w:val="0"/>
      <w:marBottom w:val="0"/>
      <w:divBdr>
        <w:top w:val="none" w:sz="0" w:space="0" w:color="auto"/>
        <w:left w:val="none" w:sz="0" w:space="0" w:color="auto"/>
        <w:bottom w:val="none" w:sz="0" w:space="0" w:color="auto"/>
        <w:right w:val="none" w:sz="0" w:space="0" w:color="auto"/>
      </w:divBdr>
    </w:div>
    <w:div w:id="264577545">
      <w:bodyDiv w:val="1"/>
      <w:marLeft w:val="0"/>
      <w:marRight w:val="0"/>
      <w:marTop w:val="0"/>
      <w:marBottom w:val="0"/>
      <w:divBdr>
        <w:top w:val="none" w:sz="0" w:space="0" w:color="auto"/>
        <w:left w:val="none" w:sz="0" w:space="0" w:color="auto"/>
        <w:bottom w:val="none" w:sz="0" w:space="0" w:color="auto"/>
        <w:right w:val="none" w:sz="0" w:space="0" w:color="auto"/>
      </w:divBdr>
    </w:div>
    <w:div w:id="265187960">
      <w:bodyDiv w:val="1"/>
      <w:marLeft w:val="0"/>
      <w:marRight w:val="0"/>
      <w:marTop w:val="0"/>
      <w:marBottom w:val="0"/>
      <w:divBdr>
        <w:top w:val="none" w:sz="0" w:space="0" w:color="auto"/>
        <w:left w:val="none" w:sz="0" w:space="0" w:color="auto"/>
        <w:bottom w:val="none" w:sz="0" w:space="0" w:color="auto"/>
        <w:right w:val="none" w:sz="0" w:space="0" w:color="auto"/>
      </w:divBdr>
    </w:div>
    <w:div w:id="268660804">
      <w:bodyDiv w:val="1"/>
      <w:marLeft w:val="0"/>
      <w:marRight w:val="0"/>
      <w:marTop w:val="0"/>
      <w:marBottom w:val="0"/>
      <w:divBdr>
        <w:top w:val="none" w:sz="0" w:space="0" w:color="auto"/>
        <w:left w:val="none" w:sz="0" w:space="0" w:color="auto"/>
        <w:bottom w:val="none" w:sz="0" w:space="0" w:color="auto"/>
        <w:right w:val="none" w:sz="0" w:space="0" w:color="auto"/>
      </w:divBdr>
    </w:div>
    <w:div w:id="270862388">
      <w:bodyDiv w:val="1"/>
      <w:marLeft w:val="0"/>
      <w:marRight w:val="0"/>
      <w:marTop w:val="0"/>
      <w:marBottom w:val="0"/>
      <w:divBdr>
        <w:top w:val="none" w:sz="0" w:space="0" w:color="auto"/>
        <w:left w:val="none" w:sz="0" w:space="0" w:color="auto"/>
        <w:bottom w:val="none" w:sz="0" w:space="0" w:color="auto"/>
        <w:right w:val="none" w:sz="0" w:space="0" w:color="auto"/>
      </w:divBdr>
    </w:div>
    <w:div w:id="277106203">
      <w:bodyDiv w:val="1"/>
      <w:marLeft w:val="0"/>
      <w:marRight w:val="0"/>
      <w:marTop w:val="0"/>
      <w:marBottom w:val="0"/>
      <w:divBdr>
        <w:top w:val="none" w:sz="0" w:space="0" w:color="auto"/>
        <w:left w:val="none" w:sz="0" w:space="0" w:color="auto"/>
        <w:bottom w:val="none" w:sz="0" w:space="0" w:color="auto"/>
        <w:right w:val="none" w:sz="0" w:space="0" w:color="auto"/>
      </w:divBdr>
    </w:div>
    <w:div w:id="280654296">
      <w:bodyDiv w:val="1"/>
      <w:marLeft w:val="0"/>
      <w:marRight w:val="0"/>
      <w:marTop w:val="0"/>
      <w:marBottom w:val="0"/>
      <w:divBdr>
        <w:top w:val="none" w:sz="0" w:space="0" w:color="auto"/>
        <w:left w:val="none" w:sz="0" w:space="0" w:color="auto"/>
        <w:bottom w:val="none" w:sz="0" w:space="0" w:color="auto"/>
        <w:right w:val="none" w:sz="0" w:space="0" w:color="auto"/>
      </w:divBdr>
    </w:div>
    <w:div w:id="282007404">
      <w:bodyDiv w:val="1"/>
      <w:marLeft w:val="0"/>
      <w:marRight w:val="0"/>
      <w:marTop w:val="0"/>
      <w:marBottom w:val="0"/>
      <w:divBdr>
        <w:top w:val="none" w:sz="0" w:space="0" w:color="auto"/>
        <w:left w:val="none" w:sz="0" w:space="0" w:color="auto"/>
        <w:bottom w:val="none" w:sz="0" w:space="0" w:color="auto"/>
        <w:right w:val="none" w:sz="0" w:space="0" w:color="auto"/>
      </w:divBdr>
    </w:div>
    <w:div w:id="284044079">
      <w:bodyDiv w:val="1"/>
      <w:marLeft w:val="0"/>
      <w:marRight w:val="0"/>
      <w:marTop w:val="0"/>
      <w:marBottom w:val="0"/>
      <w:divBdr>
        <w:top w:val="none" w:sz="0" w:space="0" w:color="auto"/>
        <w:left w:val="none" w:sz="0" w:space="0" w:color="auto"/>
        <w:bottom w:val="none" w:sz="0" w:space="0" w:color="auto"/>
        <w:right w:val="none" w:sz="0" w:space="0" w:color="auto"/>
      </w:divBdr>
      <w:divsChild>
        <w:div w:id="552159145">
          <w:marLeft w:val="2520"/>
          <w:marRight w:val="0"/>
          <w:marTop w:val="60"/>
          <w:marBottom w:val="0"/>
          <w:divBdr>
            <w:top w:val="none" w:sz="0" w:space="0" w:color="auto"/>
            <w:left w:val="none" w:sz="0" w:space="0" w:color="auto"/>
            <w:bottom w:val="none" w:sz="0" w:space="0" w:color="auto"/>
            <w:right w:val="none" w:sz="0" w:space="0" w:color="auto"/>
          </w:divBdr>
        </w:div>
        <w:div w:id="1349258294">
          <w:marLeft w:val="2520"/>
          <w:marRight w:val="0"/>
          <w:marTop w:val="60"/>
          <w:marBottom w:val="0"/>
          <w:divBdr>
            <w:top w:val="none" w:sz="0" w:space="0" w:color="auto"/>
            <w:left w:val="none" w:sz="0" w:space="0" w:color="auto"/>
            <w:bottom w:val="none" w:sz="0" w:space="0" w:color="auto"/>
            <w:right w:val="none" w:sz="0" w:space="0" w:color="auto"/>
          </w:divBdr>
        </w:div>
      </w:divsChild>
    </w:div>
    <w:div w:id="289090283">
      <w:bodyDiv w:val="1"/>
      <w:marLeft w:val="0"/>
      <w:marRight w:val="0"/>
      <w:marTop w:val="0"/>
      <w:marBottom w:val="0"/>
      <w:divBdr>
        <w:top w:val="none" w:sz="0" w:space="0" w:color="auto"/>
        <w:left w:val="none" w:sz="0" w:space="0" w:color="auto"/>
        <w:bottom w:val="none" w:sz="0" w:space="0" w:color="auto"/>
        <w:right w:val="none" w:sz="0" w:space="0" w:color="auto"/>
      </w:divBdr>
    </w:div>
    <w:div w:id="289821127">
      <w:bodyDiv w:val="1"/>
      <w:marLeft w:val="0"/>
      <w:marRight w:val="0"/>
      <w:marTop w:val="0"/>
      <w:marBottom w:val="0"/>
      <w:divBdr>
        <w:top w:val="none" w:sz="0" w:space="0" w:color="auto"/>
        <w:left w:val="none" w:sz="0" w:space="0" w:color="auto"/>
        <w:bottom w:val="none" w:sz="0" w:space="0" w:color="auto"/>
        <w:right w:val="none" w:sz="0" w:space="0" w:color="auto"/>
      </w:divBdr>
    </w:div>
    <w:div w:id="291591852">
      <w:bodyDiv w:val="1"/>
      <w:marLeft w:val="0"/>
      <w:marRight w:val="0"/>
      <w:marTop w:val="0"/>
      <w:marBottom w:val="0"/>
      <w:divBdr>
        <w:top w:val="none" w:sz="0" w:space="0" w:color="auto"/>
        <w:left w:val="none" w:sz="0" w:space="0" w:color="auto"/>
        <w:bottom w:val="none" w:sz="0" w:space="0" w:color="auto"/>
        <w:right w:val="none" w:sz="0" w:space="0" w:color="auto"/>
      </w:divBdr>
    </w:div>
    <w:div w:id="292905843">
      <w:bodyDiv w:val="1"/>
      <w:marLeft w:val="0"/>
      <w:marRight w:val="0"/>
      <w:marTop w:val="0"/>
      <w:marBottom w:val="0"/>
      <w:divBdr>
        <w:top w:val="none" w:sz="0" w:space="0" w:color="auto"/>
        <w:left w:val="none" w:sz="0" w:space="0" w:color="auto"/>
        <w:bottom w:val="none" w:sz="0" w:space="0" w:color="auto"/>
        <w:right w:val="none" w:sz="0" w:space="0" w:color="auto"/>
      </w:divBdr>
      <w:divsChild>
        <w:div w:id="1536233640">
          <w:marLeft w:val="734"/>
          <w:marRight w:val="0"/>
          <w:marTop w:val="120"/>
          <w:marBottom w:val="0"/>
          <w:divBdr>
            <w:top w:val="none" w:sz="0" w:space="0" w:color="auto"/>
            <w:left w:val="none" w:sz="0" w:space="0" w:color="auto"/>
            <w:bottom w:val="none" w:sz="0" w:space="0" w:color="auto"/>
            <w:right w:val="none" w:sz="0" w:space="0" w:color="auto"/>
          </w:divBdr>
        </w:div>
      </w:divsChild>
    </w:div>
    <w:div w:id="295185665">
      <w:bodyDiv w:val="1"/>
      <w:marLeft w:val="0"/>
      <w:marRight w:val="0"/>
      <w:marTop w:val="0"/>
      <w:marBottom w:val="0"/>
      <w:divBdr>
        <w:top w:val="none" w:sz="0" w:space="0" w:color="auto"/>
        <w:left w:val="none" w:sz="0" w:space="0" w:color="auto"/>
        <w:bottom w:val="none" w:sz="0" w:space="0" w:color="auto"/>
        <w:right w:val="none" w:sz="0" w:space="0" w:color="auto"/>
      </w:divBdr>
    </w:div>
    <w:div w:id="301690434">
      <w:bodyDiv w:val="1"/>
      <w:marLeft w:val="0"/>
      <w:marRight w:val="0"/>
      <w:marTop w:val="0"/>
      <w:marBottom w:val="0"/>
      <w:divBdr>
        <w:top w:val="none" w:sz="0" w:space="0" w:color="auto"/>
        <w:left w:val="none" w:sz="0" w:space="0" w:color="auto"/>
        <w:bottom w:val="none" w:sz="0" w:space="0" w:color="auto"/>
        <w:right w:val="none" w:sz="0" w:space="0" w:color="auto"/>
      </w:divBdr>
      <w:divsChild>
        <w:div w:id="69890595">
          <w:marLeft w:val="907"/>
          <w:marRight w:val="0"/>
          <w:marTop w:val="120"/>
          <w:marBottom w:val="0"/>
          <w:divBdr>
            <w:top w:val="none" w:sz="0" w:space="0" w:color="auto"/>
            <w:left w:val="none" w:sz="0" w:space="0" w:color="auto"/>
            <w:bottom w:val="none" w:sz="0" w:space="0" w:color="auto"/>
            <w:right w:val="none" w:sz="0" w:space="0" w:color="auto"/>
          </w:divBdr>
        </w:div>
        <w:div w:id="224462206">
          <w:marLeft w:val="360"/>
          <w:marRight w:val="0"/>
          <w:marTop w:val="240"/>
          <w:marBottom w:val="0"/>
          <w:divBdr>
            <w:top w:val="none" w:sz="0" w:space="0" w:color="auto"/>
            <w:left w:val="none" w:sz="0" w:space="0" w:color="auto"/>
            <w:bottom w:val="none" w:sz="0" w:space="0" w:color="auto"/>
            <w:right w:val="none" w:sz="0" w:space="0" w:color="auto"/>
          </w:divBdr>
        </w:div>
        <w:div w:id="1007096911">
          <w:marLeft w:val="360"/>
          <w:marRight w:val="0"/>
          <w:marTop w:val="240"/>
          <w:marBottom w:val="0"/>
          <w:divBdr>
            <w:top w:val="none" w:sz="0" w:space="0" w:color="auto"/>
            <w:left w:val="none" w:sz="0" w:space="0" w:color="auto"/>
            <w:bottom w:val="none" w:sz="0" w:space="0" w:color="auto"/>
            <w:right w:val="none" w:sz="0" w:space="0" w:color="auto"/>
          </w:divBdr>
        </w:div>
        <w:div w:id="1205752587">
          <w:marLeft w:val="907"/>
          <w:marRight w:val="0"/>
          <w:marTop w:val="120"/>
          <w:marBottom w:val="0"/>
          <w:divBdr>
            <w:top w:val="none" w:sz="0" w:space="0" w:color="auto"/>
            <w:left w:val="none" w:sz="0" w:space="0" w:color="auto"/>
            <w:bottom w:val="none" w:sz="0" w:space="0" w:color="auto"/>
            <w:right w:val="none" w:sz="0" w:space="0" w:color="auto"/>
          </w:divBdr>
        </w:div>
        <w:div w:id="1287347569">
          <w:marLeft w:val="907"/>
          <w:marRight w:val="0"/>
          <w:marTop w:val="120"/>
          <w:marBottom w:val="0"/>
          <w:divBdr>
            <w:top w:val="none" w:sz="0" w:space="0" w:color="auto"/>
            <w:left w:val="none" w:sz="0" w:space="0" w:color="auto"/>
            <w:bottom w:val="none" w:sz="0" w:space="0" w:color="auto"/>
            <w:right w:val="none" w:sz="0" w:space="0" w:color="auto"/>
          </w:divBdr>
        </w:div>
        <w:div w:id="1488476050">
          <w:marLeft w:val="907"/>
          <w:marRight w:val="0"/>
          <w:marTop w:val="120"/>
          <w:marBottom w:val="0"/>
          <w:divBdr>
            <w:top w:val="none" w:sz="0" w:space="0" w:color="auto"/>
            <w:left w:val="none" w:sz="0" w:space="0" w:color="auto"/>
            <w:bottom w:val="none" w:sz="0" w:space="0" w:color="auto"/>
            <w:right w:val="none" w:sz="0" w:space="0" w:color="auto"/>
          </w:divBdr>
        </w:div>
        <w:div w:id="1938555498">
          <w:marLeft w:val="907"/>
          <w:marRight w:val="0"/>
          <w:marTop w:val="120"/>
          <w:marBottom w:val="0"/>
          <w:divBdr>
            <w:top w:val="none" w:sz="0" w:space="0" w:color="auto"/>
            <w:left w:val="none" w:sz="0" w:space="0" w:color="auto"/>
            <w:bottom w:val="none" w:sz="0" w:space="0" w:color="auto"/>
            <w:right w:val="none" w:sz="0" w:space="0" w:color="auto"/>
          </w:divBdr>
        </w:div>
        <w:div w:id="2021005834">
          <w:marLeft w:val="907"/>
          <w:marRight w:val="0"/>
          <w:marTop w:val="120"/>
          <w:marBottom w:val="0"/>
          <w:divBdr>
            <w:top w:val="none" w:sz="0" w:space="0" w:color="auto"/>
            <w:left w:val="none" w:sz="0" w:space="0" w:color="auto"/>
            <w:bottom w:val="none" w:sz="0" w:space="0" w:color="auto"/>
            <w:right w:val="none" w:sz="0" w:space="0" w:color="auto"/>
          </w:divBdr>
        </w:div>
      </w:divsChild>
    </w:div>
    <w:div w:id="307393846">
      <w:bodyDiv w:val="1"/>
      <w:marLeft w:val="0"/>
      <w:marRight w:val="0"/>
      <w:marTop w:val="0"/>
      <w:marBottom w:val="0"/>
      <w:divBdr>
        <w:top w:val="none" w:sz="0" w:space="0" w:color="auto"/>
        <w:left w:val="none" w:sz="0" w:space="0" w:color="auto"/>
        <w:bottom w:val="none" w:sz="0" w:space="0" w:color="auto"/>
        <w:right w:val="none" w:sz="0" w:space="0" w:color="auto"/>
      </w:divBdr>
    </w:div>
    <w:div w:id="310840031">
      <w:bodyDiv w:val="1"/>
      <w:marLeft w:val="0"/>
      <w:marRight w:val="0"/>
      <w:marTop w:val="0"/>
      <w:marBottom w:val="0"/>
      <w:divBdr>
        <w:top w:val="none" w:sz="0" w:space="0" w:color="auto"/>
        <w:left w:val="none" w:sz="0" w:space="0" w:color="auto"/>
        <w:bottom w:val="none" w:sz="0" w:space="0" w:color="auto"/>
        <w:right w:val="none" w:sz="0" w:space="0" w:color="auto"/>
      </w:divBdr>
    </w:div>
    <w:div w:id="313798593">
      <w:bodyDiv w:val="1"/>
      <w:marLeft w:val="0"/>
      <w:marRight w:val="0"/>
      <w:marTop w:val="0"/>
      <w:marBottom w:val="0"/>
      <w:divBdr>
        <w:top w:val="none" w:sz="0" w:space="0" w:color="auto"/>
        <w:left w:val="none" w:sz="0" w:space="0" w:color="auto"/>
        <w:bottom w:val="none" w:sz="0" w:space="0" w:color="auto"/>
        <w:right w:val="none" w:sz="0" w:space="0" w:color="auto"/>
      </w:divBdr>
    </w:div>
    <w:div w:id="314577493">
      <w:bodyDiv w:val="1"/>
      <w:marLeft w:val="0"/>
      <w:marRight w:val="0"/>
      <w:marTop w:val="0"/>
      <w:marBottom w:val="0"/>
      <w:divBdr>
        <w:top w:val="none" w:sz="0" w:space="0" w:color="auto"/>
        <w:left w:val="none" w:sz="0" w:space="0" w:color="auto"/>
        <w:bottom w:val="none" w:sz="0" w:space="0" w:color="auto"/>
        <w:right w:val="none" w:sz="0" w:space="0" w:color="auto"/>
      </w:divBdr>
      <w:divsChild>
        <w:div w:id="333413683">
          <w:marLeft w:val="274"/>
          <w:marRight w:val="0"/>
          <w:marTop w:val="0"/>
          <w:marBottom w:val="0"/>
          <w:divBdr>
            <w:top w:val="none" w:sz="0" w:space="0" w:color="auto"/>
            <w:left w:val="none" w:sz="0" w:space="0" w:color="auto"/>
            <w:bottom w:val="none" w:sz="0" w:space="0" w:color="auto"/>
            <w:right w:val="none" w:sz="0" w:space="0" w:color="auto"/>
          </w:divBdr>
        </w:div>
        <w:div w:id="886525184">
          <w:marLeft w:val="274"/>
          <w:marRight w:val="0"/>
          <w:marTop w:val="0"/>
          <w:marBottom w:val="0"/>
          <w:divBdr>
            <w:top w:val="none" w:sz="0" w:space="0" w:color="auto"/>
            <w:left w:val="none" w:sz="0" w:space="0" w:color="auto"/>
            <w:bottom w:val="none" w:sz="0" w:space="0" w:color="auto"/>
            <w:right w:val="none" w:sz="0" w:space="0" w:color="auto"/>
          </w:divBdr>
        </w:div>
      </w:divsChild>
    </w:div>
    <w:div w:id="324554633">
      <w:bodyDiv w:val="1"/>
      <w:marLeft w:val="0"/>
      <w:marRight w:val="0"/>
      <w:marTop w:val="0"/>
      <w:marBottom w:val="0"/>
      <w:divBdr>
        <w:top w:val="none" w:sz="0" w:space="0" w:color="auto"/>
        <w:left w:val="none" w:sz="0" w:space="0" w:color="auto"/>
        <w:bottom w:val="none" w:sz="0" w:space="0" w:color="auto"/>
        <w:right w:val="none" w:sz="0" w:space="0" w:color="auto"/>
      </w:divBdr>
    </w:div>
    <w:div w:id="343675801">
      <w:bodyDiv w:val="1"/>
      <w:marLeft w:val="0"/>
      <w:marRight w:val="0"/>
      <w:marTop w:val="0"/>
      <w:marBottom w:val="0"/>
      <w:divBdr>
        <w:top w:val="none" w:sz="0" w:space="0" w:color="auto"/>
        <w:left w:val="none" w:sz="0" w:space="0" w:color="auto"/>
        <w:bottom w:val="none" w:sz="0" w:space="0" w:color="auto"/>
        <w:right w:val="none" w:sz="0" w:space="0" w:color="auto"/>
      </w:divBdr>
      <w:divsChild>
        <w:div w:id="410542761">
          <w:marLeft w:val="1526"/>
          <w:marRight w:val="0"/>
          <w:marTop w:val="0"/>
          <w:marBottom w:val="120"/>
          <w:divBdr>
            <w:top w:val="none" w:sz="0" w:space="0" w:color="auto"/>
            <w:left w:val="none" w:sz="0" w:space="0" w:color="auto"/>
            <w:bottom w:val="none" w:sz="0" w:space="0" w:color="auto"/>
            <w:right w:val="none" w:sz="0" w:space="0" w:color="auto"/>
          </w:divBdr>
        </w:div>
        <w:div w:id="907574560">
          <w:marLeft w:val="907"/>
          <w:marRight w:val="0"/>
          <w:marTop w:val="0"/>
          <w:marBottom w:val="120"/>
          <w:divBdr>
            <w:top w:val="none" w:sz="0" w:space="0" w:color="auto"/>
            <w:left w:val="none" w:sz="0" w:space="0" w:color="auto"/>
            <w:bottom w:val="none" w:sz="0" w:space="0" w:color="auto"/>
            <w:right w:val="none" w:sz="0" w:space="0" w:color="auto"/>
          </w:divBdr>
        </w:div>
        <w:div w:id="917985044">
          <w:marLeft w:val="1526"/>
          <w:marRight w:val="0"/>
          <w:marTop w:val="0"/>
          <w:marBottom w:val="120"/>
          <w:divBdr>
            <w:top w:val="none" w:sz="0" w:space="0" w:color="auto"/>
            <w:left w:val="none" w:sz="0" w:space="0" w:color="auto"/>
            <w:bottom w:val="none" w:sz="0" w:space="0" w:color="auto"/>
            <w:right w:val="none" w:sz="0" w:space="0" w:color="auto"/>
          </w:divBdr>
        </w:div>
        <w:div w:id="1677070660">
          <w:marLeft w:val="907"/>
          <w:marRight w:val="0"/>
          <w:marTop w:val="0"/>
          <w:marBottom w:val="120"/>
          <w:divBdr>
            <w:top w:val="none" w:sz="0" w:space="0" w:color="auto"/>
            <w:left w:val="none" w:sz="0" w:space="0" w:color="auto"/>
            <w:bottom w:val="none" w:sz="0" w:space="0" w:color="auto"/>
            <w:right w:val="none" w:sz="0" w:space="0" w:color="auto"/>
          </w:divBdr>
        </w:div>
        <w:div w:id="1841693946">
          <w:marLeft w:val="360"/>
          <w:marRight w:val="0"/>
          <w:marTop w:val="0"/>
          <w:marBottom w:val="120"/>
          <w:divBdr>
            <w:top w:val="none" w:sz="0" w:space="0" w:color="auto"/>
            <w:left w:val="none" w:sz="0" w:space="0" w:color="auto"/>
            <w:bottom w:val="none" w:sz="0" w:space="0" w:color="auto"/>
            <w:right w:val="none" w:sz="0" w:space="0" w:color="auto"/>
          </w:divBdr>
        </w:div>
        <w:div w:id="1952013726">
          <w:marLeft w:val="360"/>
          <w:marRight w:val="0"/>
          <w:marTop w:val="0"/>
          <w:marBottom w:val="120"/>
          <w:divBdr>
            <w:top w:val="none" w:sz="0" w:space="0" w:color="auto"/>
            <w:left w:val="none" w:sz="0" w:space="0" w:color="auto"/>
            <w:bottom w:val="none" w:sz="0" w:space="0" w:color="auto"/>
            <w:right w:val="none" w:sz="0" w:space="0" w:color="auto"/>
          </w:divBdr>
        </w:div>
      </w:divsChild>
    </w:div>
    <w:div w:id="345449867">
      <w:bodyDiv w:val="1"/>
      <w:marLeft w:val="0"/>
      <w:marRight w:val="0"/>
      <w:marTop w:val="0"/>
      <w:marBottom w:val="0"/>
      <w:divBdr>
        <w:top w:val="none" w:sz="0" w:space="0" w:color="auto"/>
        <w:left w:val="none" w:sz="0" w:space="0" w:color="auto"/>
        <w:bottom w:val="none" w:sz="0" w:space="0" w:color="auto"/>
        <w:right w:val="none" w:sz="0" w:space="0" w:color="auto"/>
      </w:divBdr>
    </w:div>
    <w:div w:id="349992464">
      <w:bodyDiv w:val="1"/>
      <w:marLeft w:val="0"/>
      <w:marRight w:val="0"/>
      <w:marTop w:val="0"/>
      <w:marBottom w:val="0"/>
      <w:divBdr>
        <w:top w:val="none" w:sz="0" w:space="0" w:color="auto"/>
        <w:left w:val="none" w:sz="0" w:space="0" w:color="auto"/>
        <w:bottom w:val="none" w:sz="0" w:space="0" w:color="auto"/>
        <w:right w:val="none" w:sz="0" w:space="0" w:color="auto"/>
      </w:divBdr>
      <w:divsChild>
        <w:div w:id="140969425">
          <w:marLeft w:val="1166"/>
          <w:marRight w:val="0"/>
          <w:marTop w:val="96"/>
          <w:marBottom w:val="0"/>
          <w:divBdr>
            <w:top w:val="none" w:sz="0" w:space="0" w:color="auto"/>
            <w:left w:val="none" w:sz="0" w:space="0" w:color="auto"/>
            <w:bottom w:val="none" w:sz="0" w:space="0" w:color="auto"/>
            <w:right w:val="none" w:sz="0" w:space="0" w:color="auto"/>
          </w:divBdr>
        </w:div>
        <w:div w:id="357974795">
          <w:marLeft w:val="547"/>
          <w:marRight w:val="0"/>
          <w:marTop w:val="115"/>
          <w:marBottom w:val="0"/>
          <w:divBdr>
            <w:top w:val="none" w:sz="0" w:space="0" w:color="auto"/>
            <w:left w:val="none" w:sz="0" w:space="0" w:color="auto"/>
            <w:bottom w:val="none" w:sz="0" w:space="0" w:color="auto"/>
            <w:right w:val="none" w:sz="0" w:space="0" w:color="auto"/>
          </w:divBdr>
        </w:div>
        <w:div w:id="1438871070">
          <w:marLeft w:val="1166"/>
          <w:marRight w:val="0"/>
          <w:marTop w:val="96"/>
          <w:marBottom w:val="0"/>
          <w:divBdr>
            <w:top w:val="none" w:sz="0" w:space="0" w:color="auto"/>
            <w:left w:val="none" w:sz="0" w:space="0" w:color="auto"/>
            <w:bottom w:val="none" w:sz="0" w:space="0" w:color="auto"/>
            <w:right w:val="none" w:sz="0" w:space="0" w:color="auto"/>
          </w:divBdr>
        </w:div>
        <w:div w:id="1552182830">
          <w:marLeft w:val="1166"/>
          <w:marRight w:val="0"/>
          <w:marTop w:val="96"/>
          <w:marBottom w:val="0"/>
          <w:divBdr>
            <w:top w:val="none" w:sz="0" w:space="0" w:color="auto"/>
            <w:left w:val="none" w:sz="0" w:space="0" w:color="auto"/>
            <w:bottom w:val="none" w:sz="0" w:space="0" w:color="auto"/>
            <w:right w:val="none" w:sz="0" w:space="0" w:color="auto"/>
          </w:divBdr>
        </w:div>
        <w:div w:id="1720090198">
          <w:marLeft w:val="547"/>
          <w:marRight w:val="0"/>
          <w:marTop w:val="115"/>
          <w:marBottom w:val="0"/>
          <w:divBdr>
            <w:top w:val="none" w:sz="0" w:space="0" w:color="auto"/>
            <w:left w:val="none" w:sz="0" w:space="0" w:color="auto"/>
            <w:bottom w:val="none" w:sz="0" w:space="0" w:color="auto"/>
            <w:right w:val="none" w:sz="0" w:space="0" w:color="auto"/>
          </w:divBdr>
        </w:div>
      </w:divsChild>
    </w:div>
    <w:div w:id="350227701">
      <w:bodyDiv w:val="1"/>
      <w:marLeft w:val="0"/>
      <w:marRight w:val="0"/>
      <w:marTop w:val="0"/>
      <w:marBottom w:val="0"/>
      <w:divBdr>
        <w:top w:val="none" w:sz="0" w:space="0" w:color="auto"/>
        <w:left w:val="none" w:sz="0" w:space="0" w:color="auto"/>
        <w:bottom w:val="none" w:sz="0" w:space="0" w:color="auto"/>
        <w:right w:val="none" w:sz="0" w:space="0" w:color="auto"/>
      </w:divBdr>
    </w:div>
    <w:div w:id="374815046">
      <w:bodyDiv w:val="1"/>
      <w:marLeft w:val="0"/>
      <w:marRight w:val="0"/>
      <w:marTop w:val="0"/>
      <w:marBottom w:val="0"/>
      <w:divBdr>
        <w:top w:val="none" w:sz="0" w:space="0" w:color="auto"/>
        <w:left w:val="none" w:sz="0" w:space="0" w:color="auto"/>
        <w:bottom w:val="none" w:sz="0" w:space="0" w:color="auto"/>
        <w:right w:val="none" w:sz="0" w:space="0" w:color="auto"/>
      </w:divBdr>
    </w:div>
    <w:div w:id="375393621">
      <w:bodyDiv w:val="1"/>
      <w:marLeft w:val="0"/>
      <w:marRight w:val="0"/>
      <w:marTop w:val="0"/>
      <w:marBottom w:val="0"/>
      <w:divBdr>
        <w:top w:val="none" w:sz="0" w:space="0" w:color="auto"/>
        <w:left w:val="none" w:sz="0" w:space="0" w:color="auto"/>
        <w:bottom w:val="none" w:sz="0" w:space="0" w:color="auto"/>
        <w:right w:val="none" w:sz="0" w:space="0" w:color="auto"/>
      </w:divBdr>
    </w:div>
    <w:div w:id="375860842">
      <w:bodyDiv w:val="1"/>
      <w:marLeft w:val="0"/>
      <w:marRight w:val="0"/>
      <w:marTop w:val="0"/>
      <w:marBottom w:val="0"/>
      <w:divBdr>
        <w:top w:val="none" w:sz="0" w:space="0" w:color="auto"/>
        <w:left w:val="none" w:sz="0" w:space="0" w:color="auto"/>
        <w:bottom w:val="none" w:sz="0" w:space="0" w:color="auto"/>
        <w:right w:val="none" w:sz="0" w:space="0" w:color="auto"/>
      </w:divBdr>
      <w:divsChild>
        <w:div w:id="179972412">
          <w:marLeft w:val="547"/>
          <w:marRight w:val="0"/>
          <w:marTop w:val="115"/>
          <w:marBottom w:val="0"/>
          <w:divBdr>
            <w:top w:val="none" w:sz="0" w:space="0" w:color="auto"/>
            <w:left w:val="none" w:sz="0" w:space="0" w:color="auto"/>
            <w:bottom w:val="none" w:sz="0" w:space="0" w:color="auto"/>
            <w:right w:val="none" w:sz="0" w:space="0" w:color="auto"/>
          </w:divBdr>
        </w:div>
        <w:div w:id="545602418">
          <w:marLeft w:val="1166"/>
          <w:marRight w:val="0"/>
          <w:marTop w:val="96"/>
          <w:marBottom w:val="0"/>
          <w:divBdr>
            <w:top w:val="none" w:sz="0" w:space="0" w:color="auto"/>
            <w:left w:val="none" w:sz="0" w:space="0" w:color="auto"/>
            <w:bottom w:val="none" w:sz="0" w:space="0" w:color="auto"/>
            <w:right w:val="none" w:sz="0" w:space="0" w:color="auto"/>
          </w:divBdr>
        </w:div>
        <w:div w:id="1797530356">
          <w:marLeft w:val="1166"/>
          <w:marRight w:val="0"/>
          <w:marTop w:val="96"/>
          <w:marBottom w:val="0"/>
          <w:divBdr>
            <w:top w:val="none" w:sz="0" w:space="0" w:color="auto"/>
            <w:left w:val="none" w:sz="0" w:space="0" w:color="auto"/>
            <w:bottom w:val="none" w:sz="0" w:space="0" w:color="auto"/>
            <w:right w:val="none" w:sz="0" w:space="0" w:color="auto"/>
          </w:divBdr>
        </w:div>
      </w:divsChild>
    </w:div>
    <w:div w:id="389429123">
      <w:bodyDiv w:val="1"/>
      <w:marLeft w:val="0"/>
      <w:marRight w:val="0"/>
      <w:marTop w:val="0"/>
      <w:marBottom w:val="0"/>
      <w:divBdr>
        <w:top w:val="none" w:sz="0" w:space="0" w:color="auto"/>
        <w:left w:val="none" w:sz="0" w:space="0" w:color="auto"/>
        <w:bottom w:val="none" w:sz="0" w:space="0" w:color="auto"/>
        <w:right w:val="none" w:sz="0" w:space="0" w:color="auto"/>
      </w:divBdr>
    </w:div>
    <w:div w:id="405038284">
      <w:bodyDiv w:val="1"/>
      <w:marLeft w:val="0"/>
      <w:marRight w:val="0"/>
      <w:marTop w:val="0"/>
      <w:marBottom w:val="0"/>
      <w:divBdr>
        <w:top w:val="none" w:sz="0" w:space="0" w:color="auto"/>
        <w:left w:val="none" w:sz="0" w:space="0" w:color="auto"/>
        <w:bottom w:val="none" w:sz="0" w:space="0" w:color="auto"/>
        <w:right w:val="none" w:sz="0" w:space="0" w:color="auto"/>
      </w:divBdr>
    </w:div>
    <w:div w:id="412241715">
      <w:bodyDiv w:val="1"/>
      <w:marLeft w:val="0"/>
      <w:marRight w:val="0"/>
      <w:marTop w:val="0"/>
      <w:marBottom w:val="0"/>
      <w:divBdr>
        <w:top w:val="none" w:sz="0" w:space="0" w:color="auto"/>
        <w:left w:val="none" w:sz="0" w:space="0" w:color="auto"/>
        <w:bottom w:val="none" w:sz="0" w:space="0" w:color="auto"/>
        <w:right w:val="none" w:sz="0" w:space="0" w:color="auto"/>
      </w:divBdr>
    </w:div>
    <w:div w:id="412244249">
      <w:bodyDiv w:val="1"/>
      <w:marLeft w:val="0"/>
      <w:marRight w:val="0"/>
      <w:marTop w:val="0"/>
      <w:marBottom w:val="0"/>
      <w:divBdr>
        <w:top w:val="none" w:sz="0" w:space="0" w:color="auto"/>
        <w:left w:val="none" w:sz="0" w:space="0" w:color="auto"/>
        <w:bottom w:val="none" w:sz="0" w:space="0" w:color="auto"/>
        <w:right w:val="none" w:sz="0" w:space="0" w:color="auto"/>
      </w:divBdr>
      <w:divsChild>
        <w:div w:id="191261928">
          <w:marLeft w:val="1166"/>
          <w:marRight w:val="0"/>
          <w:marTop w:val="96"/>
          <w:marBottom w:val="0"/>
          <w:divBdr>
            <w:top w:val="none" w:sz="0" w:space="0" w:color="auto"/>
            <w:left w:val="none" w:sz="0" w:space="0" w:color="auto"/>
            <w:bottom w:val="none" w:sz="0" w:space="0" w:color="auto"/>
            <w:right w:val="none" w:sz="0" w:space="0" w:color="auto"/>
          </w:divBdr>
        </w:div>
        <w:div w:id="470827977">
          <w:marLeft w:val="1800"/>
          <w:marRight w:val="0"/>
          <w:marTop w:val="86"/>
          <w:marBottom w:val="0"/>
          <w:divBdr>
            <w:top w:val="none" w:sz="0" w:space="0" w:color="auto"/>
            <w:left w:val="none" w:sz="0" w:space="0" w:color="auto"/>
            <w:bottom w:val="none" w:sz="0" w:space="0" w:color="auto"/>
            <w:right w:val="none" w:sz="0" w:space="0" w:color="auto"/>
          </w:divBdr>
        </w:div>
        <w:div w:id="501819178">
          <w:marLeft w:val="547"/>
          <w:marRight w:val="0"/>
          <w:marTop w:val="240"/>
          <w:marBottom w:val="0"/>
          <w:divBdr>
            <w:top w:val="none" w:sz="0" w:space="0" w:color="auto"/>
            <w:left w:val="none" w:sz="0" w:space="0" w:color="auto"/>
            <w:bottom w:val="none" w:sz="0" w:space="0" w:color="auto"/>
            <w:right w:val="none" w:sz="0" w:space="0" w:color="auto"/>
          </w:divBdr>
        </w:div>
        <w:div w:id="508912674">
          <w:marLeft w:val="1166"/>
          <w:marRight w:val="0"/>
          <w:marTop w:val="96"/>
          <w:marBottom w:val="0"/>
          <w:divBdr>
            <w:top w:val="none" w:sz="0" w:space="0" w:color="auto"/>
            <w:left w:val="none" w:sz="0" w:space="0" w:color="auto"/>
            <w:bottom w:val="none" w:sz="0" w:space="0" w:color="auto"/>
            <w:right w:val="none" w:sz="0" w:space="0" w:color="auto"/>
          </w:divBdr>
        </w:div>
        <w:div w:id="1185438666">
          <w:marLeft w:val="1800"/>
          <w:marRight w:val="0"/>
          <w:marTop w:val="86"/>
          <w:marBottom w:val="0"/>
          <w:divBdr>
            <w:top w:val="none" w:sz="0" w:space="0" w:color="auto"/>
            <w:left w:val="none" w:sz="0" w:space="0" w:color="auto"/>
            <w:bottom w:val="none" w:sz="0" w:space="0" w:color="auto"/>
            <w:right w:val="none" w:sz="0" w:space="0" w:color="auto"/>
          </w:divBdr>
        </w:div>
        <w:div w:id="1215703794">
          <w:marLeft w:val="1800"/>
          <w:marRight w:val="0"/>
          <w:marTop w:val="86"/>
          <w:marBottom w:val="0"/>
          <w:divBdr>
            <w:top w:val="none" w:sz="0" w:space="0" w:color="auto"/>
            <w:left w:val="none" w:sz="0" w:space="0" w:color="auto"/>
            <w:bottom w:val="none" w:sz="0" w:space="0" w:color="auto"/>
            <w:right w:val="none" w:sz="0" w:space="0" w:color="auto"/>
          </w:divBdr>
        </w:div>
        <w:div w:id="1731996262">
          <w:marLeft w:val="1166"/>
          <w:marRight w:val="0"/>
          <w:marTop w:val="96"/>
          <w:marBottom w:val="0"/>
          <w:divBdr>
            <w:top w:val="none" w:sz="0" w:space="0" w:color="auto"/>
            <w:left w:val="none" w:sz="0" w:space="0" w:color="auto"/>
            <w:bottom w:val="none" w:sz="0" w:space="0" w:color="auto"/>
            <w:right w:val="none" w:sz="0" w:space="0" w:color="auto"/>
          </w:divBdr>
        </w:div>
        <w:div w:id="1941260721">
          <w:marLeft w:val="1800"/>
          <w:marRight w:val="0"/>
          <w:marTop w:val="86"/>
          <w:marBottom w:val="0"/>
          <w:divBdr>
            <w:top w:val="none" w:sz="0" w:space="0" w:color="auto"/>
            <w:left w:val="none" w:sz="0" w:space="0" w:color="auto"/>
            <w:bottom w:val="none" w:sz="0" w:space="0" w:color="auto"/>
            <w:right w:val="none" w:sz="0" w:space="0" w:color="auto"/>
          </w:divBdr>
        </w:div>
      </w:divsChild>
    </w:div>
    <w:div w:id="414128321">
      <w:bodyDiv w:val="1"/>
      <w:marLeft w:val="0"/>
      <w:marRight w:val="0"/>
      <w:marTop w:val="0"/>
      <w:marBottom w:val="0"/>
      <w:divBdr>
        <w:top w:val="none" w:sz="0" w:space="0" w:color="auto"/>
        <w:left w:val="none" w:sz="0" w:space="0" w:color="auto"/>
        <w:bottom w:val="none" w:sz="0" w:space="0" w:color="auto"/>
        <w:right w:val="none" w:sz="0" w:space="0" w:color="auto"/>
      </w:divBdr>
    </w:div>
    <w:div w:id="417025188">
      <w:bodyDiv w:val="1"/>
      <w:marLeft w:val="0"/>
      <w:marRight w:val="0"/>
      <w:marTop w:val="0"/>
      <w:marBottom w:val="0"/>
      <w:divBdr>
        <w:top w:val="none" w:sz="0" w:space="0" w:color="auto"/>
        <w:left w:val="none" w:sz="0" w:space="0" w:color="auto"/>
        <w:bottom w:val="none" w:sz="0" w:space="0" w:color="auto"/>
        <w:right w:val="none" w:sz="0" w:space="0" w:color="auto"/>
      </w:divBdr>
      <w:divsChild>
        <w:div w:id="90128280">
          <w:marLeft w:val="403"/>
          <w:marRight w:val="0"/>
          <w:marTop w:val="120"/>
          <w:marBottom w:val="0"/>
          <w:divBdr>
            <w:top w:val="none" w:sz="0" w:space="0" w:color="auto"/>
            <w:left w:val="none" w:sz="0" w:space="0" w:color="auto"/>
            <w:bottom w:val="none" w:sz="0" w:space="0" w:color="auto"/>
            <w:right w:val="none" w:sz="0" w:space="0" w:color="auto"/>
          </w:divBdr>
        </w:div>
        <w:div w:id="140313750">
          <w:marLeft w:val="734"/>
          <w:marRight w:val="0"/>
          <w:marTop w:val="120"/>
          <w:marBottom w:val="0"/>
          <w:divBdr>
            <w:top w:val="none" w:sz="0" w:space="0" w:color="auto"/>
            <w:left w:val="none" w:sz="0" w:space="0" w:color="auto"/>
            <w:bottom w:val="none" w:sz="0" w:space="0" w:color="auto"/>
            <w:right w:val="none" w:sz="0" w:space="0" w:color="auto"/>
          </w:divBdr>
        </w:div>
        <w:div w:id="595989585">
          <w:marLeft w:val="1181"/>
          <w:marRight w:val="0"/>
          <w:marTop w:val="120"/>
          <w:marBottom w:val="0"/>
          <w:divBdr>
            <w:top w:val="none" w:sz="0" w:space="0" w:color="auto"/>
            <w:left w:val="none" w:sz="0" w:space="0" w:color="auto"/>
            <w:bottom w:val="none" w:sz="0" w:space="0" w:color="auto"/>
            <w:right w:val="none" w:sz="0" w:space="0" w:color="auto"/>
          </w:divBdr>
        </w:div>
        <w:div w:id="1034766720">
          <w:marLeft w:val="403"/>
          <w:marRight w:val="0"/>
          <w:marTop w:val="120"/>
          <w:marBottom w:val="0"/>
          <w:divBdr>
            <w:top w:val="none" w:sz="0" w:space="0" w:color="auto"/>
            <w:left w:val="none" w:sz="0" w:space="0" w:color="auto"/>
            <w:bottom w:val="none" w:sz="0" w:space="0" w:color="auto"/>
            <w:right w:val="none" w:sz="0" w:space="0" w:color="auto"/>
          </w:divBdr>
        </w:div>
        <w:div w:id="1102459514">
          <w:marLeft w:val="1181"/>
          <w:marRight w:val="0"/>
          <w:marTop w:val="120"/>
          <w:marBottom w:val="0"/>
          <w:divBdr>
            <w:top w:val="none" w:sz="0" w:space="0" w:color="auto"/>
            <w:left w:val="none" w:sz="0" w:space="0" w:color="auto"/>
            <w:bottom w:val="none" w:sz="0" w:space="0" w:color="auto"/>
            <w:right w:val="none" w:sz="0" w:space="0" w:color="auto"/>
          </w:divBdr>
        </w:div>
        <w:div w:id="1223172926">
          <w:marLeft w:val="1181"/>
          <w:marRight w:val="0"/>
          <w:marTop w:val="120"/>
          <w:marBottom w:val="0"/>
          <w:divBdr>
            <w:top w:val="none" w:sz="0" w:space="0" w:color="auto"/>
            <w:left w:val="none" w:sz="0" w:space="0" w:color="auto"/>
            <w:bottom w:val="none" w:sz="0" w:space="0" w:color="auto"/>
            <w:right w:val="none" w:sz="0" w:space="0" w:color="auto"/>
          </w:divBdr>
        </w:div>
        <w:div w:id="1283225684">
          <w:marLeft w:val="1181"/>
          <w:marRight w:val="0"/>
          <w:marTop w:val="120"/>
          <w:marBottom w:val="0"/>
          <w:divBdr>
            <w:top w:val="none" w:sz="0" w:space="0" w:color="auto"/>
            <w:left w:val="none" w:sz="0" w:space="0" w:color="auto"/>
            <w:bottom w:val="none" w:sz="0" w:space="0" w:color="auto"/>
            <w:right w:val="none" w:sz="0" w:space="0" w:color="auto"/>
          </w:divBdr>
        </w:div>
        <w:div w:id="1323848589">
          <w:marLeft w:val="1181"/>
          <w:marRight w:val="0"/>
          <w:marTop w:val="120"/>
          <w:marBottom w:val="0"/>
          <w:divBdr>
            <w:top w:val="none" w:sz="0" w:space="0" w:color="auto"/>
            <w:left w:val="none" w:sz="0" w:space="0" w:color="auto"/>
            <w:bottom w:val="none" w:sz="0" w:space="0" w:color="auto"/>
            <w:right w:val="none" w:sz="0" w:space="0" w:color="auto"/>
          </w:divBdr>
        </w:div>
        <w:div w:id="1440368139">
          <w:marLeft w:val="734"/>
          <w:marRight w:val="0"/>
          <w:marTop w:val="120"/>
          <w:marBottom w:val="0"/>
          <w:divBdr>
            <w:top w:val="none" w:sz="0" w:space="0" w:color="auto"/>
            <w:left w:val="none" w:sz="0" w:space="0" w:color="auto"/>
            <w:bottom w:val="none" w:sz="0" w:space="0" w:color="auto"/>
            <w:right w:val="none" w:sz="0" w:space="0" w:color="auto"/>
          </w:divBdr>
        </w:div>
        <w:div w:id="1934968888">
          <w:marLeft w:val="1181"/>
          <w:marRight w:val="0"/>
          <w:marTop w:val="120"/>
          <w:marBottom w:val="0"/>
          <w:divBdr>
            <w:top w:val="none" w:sz="0" w:space="0" w:color="auto"/>
            <w:left w:val="none" w:sz="0" w:space="0" w:color="auto"/>
            <w:bottom w:val="none" w:sz="0" w:space="0" w:color="auto"/>
            <w:right w:val="none" w:sz="0" w:space="0" w:color="auto"/>
          </w:divBdr>
        </w:div>
      </w:divsChild>
    </w:div>
    <w:div w:id="423304224">
      <w:bodyDiv w:val="1"/>
      <w:marLeft w:val="0"/>
      <w:marRight w:val="0"/>
      <w:marTop w:val="0"/>
      <w:marBottom w:val="0"/>
      <w:divBdr>
        <w:top w:val="none" w:sz="0" w:space="0" w:color="auto"/>
        <w:left w:val="none" w:sz="0" w:space="0" w:color="auto"/>
        <w:bottom w:val="none" w:sz="0" w:space="0" w:color="auto"/>
        <w:right w:val="none" w:sz="0" w:space="0" w:color="auto"/>
      </w:divBdr>
    </w:div>
    <w:div w:id="427507784">
      <w:bodyDiv w:val="1"/>
      <w:marLeft w:val="0"/>
      <w:marRight w:val="0"/>
      <w:marTop w:val="0"/>
      <w:marBottom w:val="0"/>
      <w:divBdr>
        <w:top w:val="none" w:sz="0" w:space="0" w:color="auto"/>
        <w:left w:val="none" w:sz="0" w:space="0" w:color="auto"/>
        <w:bottom w:val="none" w:sz="0" w:space="0" w:color="auto"/>
        <w:right w:val="none" w:sz="0" w:space="0" w:color="auto"/>
      </w:divBdr>
    </w:div>
    <w:div w:id="444006786">
      <w:bodyDiv w:val="1"/>
      <w:marLeft w:val="0"/>
      <w:marRight w:val="0"/>
      <w:marTop w:val="0"/>
      <w:marBottom w:val="0"/>
      <w:divBdr>
        <w:top w:val="none" w:sz="0" w:space="0" w:color="auto"/>
        <w:left w:val="none" w:sz="0" w:space="0" w:color="auto"/>
        <w:bottom w:val="none" w:sz="0" w:space="0" w:color="auto"/>
        <w:right w:val="none" w:sz="0" w:space="0" w:color="auto"/>
      </w:divBdr>
    </w:div>
    <w:div w:id="451217562">
      <w:bodyDiv w:val="1"/>
      <w:marLeft w:val="0"/>
      <w:marRight w:val="0"/>
      <w:marTop w:val="0"/>
      <w:marBottom w:val="0"/>
      <w:divBdr>
        <w:top w:val="none" w:sz="0" w:space="0" w:color="auto"/>
        <w:left w:val="none" w:sz="0" w:space="0" w:color="auto"/>
        <w:bottom w:val="none" w:sz="0" w:space="0" w:color="auto"/>
        <w:right w:val="none" w:sz="0" w:space="0" w:color="auto"/>
      </w:divBdr>
    </w:div>
    <w:div w:id="455804310">
      <w:bodyDiv w:val="1"/>
      <w:marLeft w:val="0"/>
      <w:marRight w:val="0"/>
      <w:marTop w:val="0"/>
      <w:marBottom w:val="0"/>
      <w:divBdr>
        <w:top w:val="none" w:sz="0" w:space="0" w:color="auto"/>
        <w:left w:val="none" w:sz="0" w:space="0" w:color="auto"/>
        <w:bottom w:val="none" w:sz="0" w:space="0" w:color="auto"/>
        <w:right w:val="none" w:sz="0" w:space="0" w:color="auto"/>
      </w:divBdr>
    </w:div>
    <w:div w:id="460803396">
      <w:bodyDiv w:val="1"/>
      <w:marLeft w:val="0"/>
      <w:marRight w:val="0"/>
      <w:marTop w:val="0"/>
      <w:marBottom w:val="0"/>
      <w:divBdr>
        <w:top w:val="none" w:sz="0" w:space="0" w:color="auto"/>
        <w:left w:val="none" w:sz="0" w:space="0" w:color="auto"/>
        <w:bottom w:val="none" w:sz="0" w:space="0" w:color="auto"/>
        <w:right w:val="none" w:sz="0" w:space="0" w:color="auto"/>
      </w:divBdr>
      <w:divsChild>
        <w:div w:id="228423392">
          <w:marLeft w:val="446"/>
          <w:marRight w:val="0"/>
          <w:marTop w:val="0"/>
          <w:marBottom w:val="0"/>
          <w:divBdr>
            <w:top w:val="none" w:sz="0" w:space="0" w:color="auto"/>
            <w:left w:val="none" w:sz="0" w:space="0" w:color="auto"/>
            <w:bottom w:val="none" w:sz="0" w:space="0" w:color="auto"/>
            <w:right w:val="none" w:sz="0" w:space="0" w:color="auto"/>
          </w:divBdr>
        </w:div>
        <w:div w:id="341974253">
          <w:marLeft w:val="446"/>
          <w:marRight w:val="0"/>
          <w:marTop w:val="0"/>
          <w:marBottom w:val="0"/>
          <w:divBdr>
            <w:top w:val="none" w:sz="0" w:space="0" w:color="auto"/>
            <w:left w:val="none" w:sz="0" w:space="0" w:color="auto"/>
            <w:bottom w:val="none" w:sz="0" w:space="0" w:color="auto"/>
            <w:right w:val="none" w:sz="0" w:space="0" w:color="auto"/>
          </w:divBdr>
        </w:div>
        <w:div w:id="345863522">
          <w:marLeft w:val="446"/>
          <w:marRight w:val="0"/>
          <w:marTop w:val="0"/>
          <w:marBottom w:val="0"/>
          <w:divBdr>
            <w:top w:val="none" w:sz="0" w:space="0" w:color="auto"/>
            <w:left w:val="none" w:sz="0" w:space="0" w:color="auto"/>
            <w:bottom w:val="none" w:sz="0" w:space="0" w:color="auto"/>
            <w:right w:val="none" w:sz="0" w:space="0" w:color="auto"/>
          </w:divBdr>
        </w:div>
        <w:div w:id="1071846912">
          <w:marLeft w:val="446"/>
          <w:marRight w:val="0"/>
          <w:marTop w:val="0"/>
          <w:marBottom w:val="0"/>
          <w:divBdr>
            <w:top w:val="none" w:sz="0" w:space="0" w:color="auto"/>
            <w:left w:val="none" w:sz="0" w:space="0" w:color="auto"/>
            <w:bottom w:val="none" w:sz="0" w:space="0" w:color="auto"/>
            <w:right w:val="none" w:sz="0" w:space="0" w:color="auto"/>
          </w:divBdr>
        </w:div>
        <w:div w:id="1472358936">
          <w:marLeft w:val="446"/>
          <w:marRight w:val="0"/>
          <w:marTop w:val="0"/>
          <w:marBottom w:val="0"/>
          <w:divBdr>
            <w:top w:val="none" w:sz="0" w:space="0" w:color="auto"/>
            <w:left w:val="none" w:sz="0" w:space="0" w:color="auto"/>
            <w:bottom w:val="none" w:sz="0" w:space="0" w:color="auto"/>
            <w:right w:val="none" w:sz="0" w:space="0" w:color="auto"/>
          </w:divBdr>
        </w:div>
      </w:divsChild>
    </w:div>
    <w:div w:id="468549608">
      <w:bodyDiv w:val="1"/>
      <w:marLeft w:val="0"/>
      <w:marRight w:val="0"/>
      <w:marTop w:val="0"/>
      <w:marBottom w:val="0"/>
      <w:divBdr>
        <w:top w:val="none" w:sz="0" w:space="0" w:color="auto"/>
        <w:left w:val="none" w:sz="0" w:space="0" w:color="auto"/>
        <w:bottom w:val="none" w:sz="0" w:space="0" w:color="auto"/>
        <w:right w:val="none" w:sz="0" w:space="0" w:color="auto"/>
      </w:divBdr>
      <w:divsChild>
        <w:div w:id="1207837959">
          <w:marLeft w:val="0"/>
          <w:marRight w:val="0"/>
          <w:marTop w:val="0"/>
          <w:marBottom w:val="0"/>
          <w:divBdr>
            <w:top w:val="none" w:sz="0" w:space="0" w:color="auto"/>
            <w:left w:val="none" w:sz="0" w:space="0" w:color="auto"/>
            <w:bottom w:val="none" w:sz="0" w:space="0" w:color="auto"/>
            <w:right w:val="none" w:sz="0" w:space="0" w:color="auto"/>
          </w:divBdr>
          <w:divsChild>
            <w:div w:id="415858277">
              <w:marLeft w:val="0"/>
              <w:marRight w:val="0"/>
              <w:marTop w:val="0"/>
              <w:marBottom w:val="0"/>
              <w:divBdr>
                <w:top w:val="none" w:sz="0" w:space="0" w:color="auto"/>
                <w:left w:val="none" w:sz="0" w:space="0" w:color="auto"/>
                <w:bottom w:val="none" w:sz="0" w:space="0" w:color="auto"/>
                <w:right w:val="none" w:sz="0" w:space="0" w:color="auto"/>
              </w:divBdr>
              <w:divsChild>
                <w:div w:id="388767216">
                  <w:marLeft w:val="0"/>
                  <w:marRight w:val="0"/>
                  <w:marTop w:val="0"/>
                  <w:marBottom w:val="0"/>
                  <w:divBdr>
                    <w:top w:val="none" w:sz="0" w:space="0" w:color="auto"/>
                    <w:left w:val="none" w:sz="0" w:space="0" w:color="auto"/>
                    <w:bottom w:val="none" w:sz="0" w:space="0" w:color="auto"/>
                    <w:right w:val="none" w:sz="0" w:space="0" w:color="auto"/>
                  </w:divBdr>
                </w:div>
              </w:divsChild>
            </w:div>
            <w:div w:id="1240943630">
              <w:marLeft w:val="0"/>
              <w:marRight w:val="0"/>
              <w:marTop w:val="0"/>
              <w:marBottom w:val="0"/>
              <w:divBdr>
                <w:top w:val="none" w:sz="0" w:space="0" w:color="auto"/>
                <w:left w:val="none" w:sz="0" w:space="0" w:color="auto"/>
                <w:bottom w:val="none" w:sz="0" w:space="0" w:color="auto"/>
                <w:right w:val="none" w:sz="0" w:space="0" w:color="auto"/>
              </w:divBdr>
              <w:divsChild>
                <w:div w:id="213006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1100424">
      <w:bodyDiv w:val="1"/>
      <w:marLeft w:val="0"/>
      <w:marRight w:val="0"/>
      <w:marTop w:val="0"/>
      <w:marBottom w:val="0"/>
      <w:divBdr>
        <w:top w:val="none" w:sz="0" w:space="0" w:color="auto"/>
        <w:left w:val="none" w:sz="0" w:space="0" w:color="auto"/>
        <w:bottom w:val="none" w:sz="0" w:space="0" w:color="auto"/>
        <w:right w:val="none" w:sz="0" w:space="0" w:color="auto"/>
      </w:divBdr>
    </w:div>
    <w:div w:id="473838472">
      <w:bodyDiv w:val="1"/>
      <w:marLeft w:val="0"/>
      <w:marRight w:val="0"/>
      <w:marTop w:val="0"/>
      <w:marBottom w:val="0"/>
      <w:divBdr>
        <w:top w:val="none" w:sz="0" w:space="0" w:color="auto"/>
        <w:left w:val="none" w:sz="0" w:space="0" w:color="auto"/>
        <w:bottom w:val="none" w:sz="0" w:space="0" w:color="auto"/>
        <w:right w:val="none" w:sz="0" w:space="0" w:color="auto"/>
      </w:divBdr>
    </w:div>
    <w:div w:id="479619257">
      <w:bodyDiv w:val="1"/>
      <w:marLeft w:val="0"/>
      <w:marRight w:val="0"/>
      <w:marTop w:val="0"/>
      <w:marBottom w:val="0"/>
      <w:divBdr>
        <w:top w:val="none" w:sz="0" w:space="0" w:color="auto"/>
        <w:left w:val="none" w:sz="0" w:space="0" w:color="auto"/>
        <w:bottom w:val="none" w:sz="0" w:space="0" w:color="auto"/>
        <w:right w:val="none" w:sz="0" w:space="0" w:color="auto"/>
      </w:divBdr>
    </w:div>
    <w:div w:id="490801166">
      <w:bodyDiv w:val="1"/>
      <w:marLeft w:val="0"/>
      <w:marRight w:val="0"/>
      <w:marTop w:val="0"/>
      <w:marBottom w:val="0"/>
      <w:divBdr>
        <w:top w:val="none" w:sz="0" w:space="0" w:color="auto"/>
        <w:left w:val="none" w:sz="0" w:space="0" w:color="auto"/>
        <w:bottom w:val="none" w:sz="0" w:space="0" w:color="auto"/>
        <w:right w:val="none" w:sz="0" w:space="0" w:color="auto"/>
      </w:divBdr>
      <w:divsChild>
        <w:div w:id="356548358">
          <w:marLeft w:val="0"/>
          <w:marRight w:val="0"/>
          <w:marTop w:val="0"/>
          <w:marBottom w:val="0"/>
          <w:divBdr>
            <w:top w:val="none" w:sz="0" w:space="0" w:color="auto"/>
            <w:left w:val="none" w:sz="0" w:space="0" w:color="auto"/>
            <w:bottom w:val="none" w:sz="0" w:space="0" w:color="auto"/>
            <w:right w:val="none" w:sz="0" w:space="0" w:color="auto"/>
          </w:divBdr>
        </w:div>
        <w:div w:id="696927131">
          <w:marLeft w:val="0"/>
          <w:marRight w:val="0"/>
          <w:marTop w:val="0"/>
          <w:marBottom w:val="0"/>
          <w:divBdr>
            <w:top w:val="none" w:sz="0" w:space="0" w:color="auto"/>
            <w:left w:val="none" w:sz="0" w:space="0" w:color="auto"/>
            <w:bottom w:val="none" w:sz="0" w:space="0" w:color="auto"/>
            <w:right w:val="none" w:sz="0" w:space="0" w:color="auto"/>
          </w:divBdr>
        </w:div>
        <w:div w:id="117531923">
          <w:marLeft w:val="0"/>
          <w:marRight w:val="0"/>
          <w:marTop w:val="0"/>
          <w:marBottom w:val="0"/>
          <w:divBdr>
            <w:top w:val="none" w:sz="0" w:space="0" w:color="auto"/>
            <w:left w:val="none" w:sz="0" w:space="0" w:color="auto"/>
            <w:bottom w:val="none" w:sz="0" w:space="0" w:color="auto"/>
            <w:right w:val="none" w:sz="0" w:space="0" w:color="auto"/>
          </w:divBdr>
        </w:div>
      </w:divsChild>
    </w:div>
    <w:div w:id="502820911">
      <w:bodyDiv w:val="1"/>
      <w:marLeft w:val="0"/>
      <w:marRight w:val="0"/>
      <w:marTop w:val="0"/>
      <w:marBottom w:val="0"/>
      <w:divBdr>
        <w:top w:val="none" w:sz="0" w:space="0" w:color="auto"/>
        <w:left w:val="none" w:sz="0" w:space="0" w:color="auto"/>
        <w:bottom w:val="none" w:sz="0" w:space="0" w:color="auto"/>
        <w:right w:val="none" w:sz="0" w:space="0" w:color="auto"/>
      </w:divBdr>
    </w:div>
    <w:div w:id="506554414">
      <w:bodyDiv w:val="1"/>
      <w:marLeft w:val="0"/>
      <w:marRight w:val="0"/>
      <w:marTop w:val="0"/>
      <w:marBottom w:val="0"/>
      <w:divBdr>
        <w:top w:val="none" w:sz="0" w:space="0" w:color="auto"/>
        <w:left w:val="none" w:sz="0" w:space="0" w:color="auto"/>
        <w:bottom w:val="none" w:sz="0" w:space="0" w:color="auto"/>
        <w:right w:val="none" w:sz="0" w:space="0" w:color="auto"/>
      </w:divBdr>
    </w:div>
    <w:div w:id="513884657">
      <w:bodyDiv w:val="1"/>
      <w:marLeft w:val="0"/>
      <w:marRight w:val="0"/>
      <w:marTop w:val="0"/>
      <w:marBottom w:val="0"/>
      <w:divBdr>
        <w:top w:val="none" w:sz="0" w:space="0" w:color="auto"/>
        <w:left w:val="none" w:sz="0" w:space="0" w:color="auto"/>
        <w:bottom w:val="none" w:sz="0" w:space="0" w:color="auto"/>
        <w:right w:val="none" w:sz="0" w:space="0" w:color="auto"/>
      </w:divBdr>
    </w:div>
    <w:div w:id="522791029">
      <w:bodyDiv w:val="1"/>
      <w:marLeft w:val="0"/>
      <w:marRight w:val="0"/>
      <w:marTop w:val="0"/>
      <w:marBottom w:val="0"/>
      <w:divBdr>
        <w:top w:val="none" w:sz="0" w:space="0" w:color="auto"/>
        <w:left w:val="none" w:sz="0" w:space="0" w:color="auto"/>
        <w:bottom w:val="none" w:sz="0" w:space="0" w:color="auto"/>
        <w:right w:val="none" w:sz="0" w:space="0" w:color="auto"/>
      </w:divBdr>
    </w:div>
    <w:div w:id="525678609">
      <w:bodyDiv w:val="1"/>
      <w:marLeft w:val="0"/>
      <w:marRight w:val="0"/>
      <w:marTop w:val="0"/>
      <w:marBottom w:val="0"/>
      <w:divBdr>
        <w:top w:val="none" w:sz="0" w:space="0" w:color="auto"/>
        <w:left w:val="none" w:sz="0" w:space="0" w:color="auto"/>
        <w:bottom w:val="none" w:sz="0" w:space="0" w:color="auto"/>
        <w:right w:val="none" w:sz="0" w:space="0" w:color="auto"/>
      </w:divBdr>
      <w:divsChild>
        <w:div w:id="28923672">
          <w:marLeft w:val="0"/>
          <w:marRight w:val="0"/>
          <w:marTop w:val="0"/>
          <w:marBottom w:val="0"/>
          <w:divBdr>
            <w:top w:val="none" w:sz="0" w:space="0" w:color="auto"/>
            <w:left w:val="none" w:sz="0" w:space="0" w:color="auto"/>
            <w:bottom w:val="none" w:sz="0" w:space="0" w:color="auto"/>
            <w:right w:val="none" w:sz="0" w:space="0" w:color="auto"/>
          </w:divBdr>
        </w:div>
        <w:div w:id="244386403">
          <w:marLeft w:val="0"/>
          <w:marRight w:val="0"/>
          <w:marTop w:val="0"/>
          <w:marBottom w:val="0"/>
          <w:divBdr>
            <w:top w:val="none" w:sz="0" w:space="0" w:color="auto"/>
            <w:left w:val="none" w:sz="0" w:space="0" w:color="auto"/>
            <w:bottom w:val="none" w:sz="0" w:space="0" w:color="auto"/>
            <w:right w:val="none" w:sz="0" w:space="0" w:color="auto"/>
          </w:divBdr>
        </w:div>
        <w:div w:id="263658140">
          <w:marLeft w:val="0"/>
          <w:marRight w:val="0"/>
          <w:marTop w:val="0"/>
          <w:marBottom w:val="0"/>
          <w:divBdr>
            <w:top w:val="none" w:sz="0" w:space="0" w:color="auto"/>
            <w:left w:val="none" w:sz="0" w:space="0" w:color="auto"/>
            <w:bottom w:val="none" w:sz="0" w:space="0" w:color="auto"/>
            <w:right w:val="none" w:sz="0" w:space="0" w:color="auto"/>
          </w:divBdr>
        </w:div>
        <w:div w:id="298800784">
          <w:marLeft w:val="0"/>
          <w:marRight w:val="0"/>
          <w:marTop w:val="0"/>
          <w:marBottom w:val="0"/>
          <w:divBdr>
            <w:top w:val="none" w:sz="0" w:space="0" w:color="auto"/>
            <w:left w:val="none" w:sz="0" w:space="0" w:color="auto"/>
            <w:bottom w:val="none" w:sz="0" w:space="0" w:color="auto"/>
            <w:right w:val="none" w:sz="0" w:space="0" w:color="auto"/>
          </w:divBdr>
        </w:div>
        <w:div w:id="329870723">
          <w:marLeft w:val="0"/>
          <w:marRight w:val="0"/>
          <w:marTop w:val="0"/>
          <w:marBottom w:val="0"/>
          <w:divBdr>
            <w:top w:val="none" w:sz="0" w:space="0" w:color="auto"/>
            <w:left w:val="none" w:sz="0" w:space="0" w:color="auto"/>
            <w:bottom w:val="none" w:sz="0" w:space="0" w:color="auto"/>
            <w:right w:val="none" w:sz="0" w:space="0" w:color="auto"/>
          </w:divBdr>
        </w:div>
        <w:div w:id="346835456">
          <w:marLeft w:val="0"/>
          <w:marRight w:val="0"/>
          <w:marTop w:val="0"/>
          <w:marBottom w:val="0"/>
          <w:divBdr>
            <w:top w:val="none" w:sz="0" w:space="0" w:color="auto"/>
            <w:left w:val="none" w:sz="0" w:space="0" w:color="auto"/>
            <w:bottom w:val="none" w:sz="0" w:space="0" w:color="auto"/>
            <w:right w:val="none" w:sz="0" w:space="0" w:color="auto"/>
          </w:divBdr>
        </w:div>
        <w:div w:id="376978782">
          <w:marLeft w:val="0"/>
          <w:marRight w:val="0"/>
          <w:marTop w:val="0"/>
          <w:marBottom w:val="0"/>
          <w:divBdr>
            <w:top w:val="none" w:sz="0" w:space="0" w:color="auto"/>
            <w:left w:val="none" w:sz="0" w:space="0" w:color="auto"/>
            <w:bottom w:val="none" w:sz="0" w:space="0" w:color="auto"/>
            <w:right w:val="none" w:sz="0" w:space="0" w:color="auto"/>
          </w:divBdr>
        </w:div>
        <w:div w:id="406461239">
          <w:marLeft w:val="0"/>
          <w:marRight w:val="0"/>
          <w:marTop w:val="0"/>
          <w:marBottom w:val="0"/>
          <w:divBdr>
            <w:top w:val="none" w:sz="0" w:space="0" w:color="auto"/>
            <w:left w:val="none" w:sz="0" w:space="0" w:color="auto"/>
            <w:bottom w:val="none" w:sz="0" w:space="0" w:color="auto"/>
            <w:right w:val="none" w:sz="0" w:space="0" w:color="auto"/>
          </w:divBdr>
        </w:div>
        <w:div w:id="525602293">
          <w:marLeft w:val="0"/>
          <w:marRight w:val="0"/>
          <w:marTop w:val="0"/>
          <w:marBottom w:val="0"/>
          <w:divBdr>
            <w:top w:val="none" w:sz="0" w:space="0" w:color="auto"/>
            <w:left w:val="none" w:sz="0" w:space="0" w:color="auto"/>
            <w:bottom w:val="none" w:sz="0" w:space="0" w:color="auto"/>
            <w:right w:val="none" w:sz="0" w:space="0" w:color="auto"/>
          </w:divBdr>
        </w:div>
        <w:div w:id="690373873">
          <w:marLeft w:val="0"/>
          <w:marRight w:val="0"/>
          <w:marTop w:val="0"/>
          <w:marBottom w:val="0"/>
          <w:divBdr>
            <w:top w:val="none" w:sz="0" w:space="0" w:color="auto"/>
            <w:left w:val="none" w:sz="0" w:space="0" w:color="auto"/>
            <w:bottom w:val="none" w:sz="0" w:space="0" w:color="auto"/>
            <w:right w:val="none" w:sz="0" w:space="0" w:color="auto"/>
          </w:divBdr>
        </w:div>
        <w:div w:id="714937127">
          <w:marLeft w:val="0"/>
          <w:marRight w:val="0"/>
          <w:marTop w:val="0"/>
          <w:marBottom w:val="0"/>
          <w:divBdr>
            <w:top w:val="none" w:sz="0" w:space="0" w:color="auto"/>
            <w:left w:val="none" w:sz="0" w:space="0" w:color="auto"/>
            <w:bottom w:val="none" w:sz="0" w:space="0" w:color="auto"/>
            <w:right w:val="none" w:sz="0" w:space="0" w:color="auto"/>
          </w:divBdr>
        </w:div>
        <w:div w:id="812722583">
          <w:marLeft w:val="0"/>
          <w:marRight w:val="0"/>
          <w:marTop w:val="0"/>
          <w:marBottom w:val="0"/>
          <w:divBdr>
            <w:top w:val="none" w:sz="0" w:space="0" w:color="auto"/>
            <w:left w:val="none" w:sz="0" w:space="0" w:color="auto"/>
            <w:bottom w:val="none" w:sz="0" w:space="0" w:color="auto"/>
            <w:right w:val="none" w:sz="0" w:space="0" w:color="auto"/>
          </w:divBdr>
        </w:div>
        <w:div w:id="882718641">
          <w:marLeft w:val="0"/>
          <w:marRight w:val="0"/>
          <w:marTop w:val="0"/>
          <w:marBottom w:val="0"/>
          <w:divBdr>
            <w:top w:val="none" w:sz="0" w:space="0" w:color="auto"/>
            <w:left w:val="none" w:sz="0" w:space="0" w:color="auto"/>
            <w:bottom w:val="none" w:sz="0" w:space="0" w:color="auto"/>
            <w:right w:val="none" w:sz="0" w:space="0" w:color="auto"/>
          </w:divBdr>
        </w:div>
        <w:div w:id="957372209">
          <w:marLeft w:val="0"/>
          <w:marRight w:val="0"/>
          <w:marTop w:val="0"/>
          <w:marBottom w:val="0"/>
          <w:divBdr>
            <w:top w:val="none" w:sz="0" w:space="0" w:color="auto"/>
            <w:left w:val="none" w:sz="0" w:space="0" w:color="auto"/>
            <w:bottom w:val="none" w:sz="0" w:space="0" w:color="auto"/>
            <w:right w:val="none" w:sz="0" w:space="0" w:color="auto"/>
          </w:divBdr>
        </w:div>
        <w:div w:id="1059591928">
          <w:marLeft w:val="0"/>
          <w:marRight w:val="0"/>
          <w:marTop w:val="0"/>
          <w:marBottom w:val="0"/>
          <w:divBdr>
            <w:top w:val="none" w:sz="0" w:space="0" w:color="auto"/>
            <w:left w:val="none" w:sz="0" w:space="0" w:color="auto"/>
            <w:bottom w:val="none" w:sz="0" w:space="0" w:color="auto"/>
            <w:right w:val="none" w:sz="0" w:space="0" w:color="auto"/>
          </w:divBdr>
        </w:div>
        <w:div w:id="1104807310">
          <w:marLeft w:val="0"/>
          <w:marRight w:val="0"/>
          <w:marTop w:val="0"/>
          <w:marBottom w:val="0"/>
          <w:divBdr>
            <w:top w:val="none" w:sz="0" w:space="0" w:color="auto"/>
            <w:left w:val="none" w:sz="0" w:space="0" w:color="auto"/>
            <w:bottom w:val="none" w:sz="0" w:space="0" w:color="auto"/>
            <w:right w:val="none" w:sz="0" w:space="0" w:color="auto"/>
          </w:divBdr>
        </w:div>
        <w:div w:id="1190148383">
          <w:marLeft w:val="0"/>
          <w:marRight w:val="0"/>
          <w:marTop w:val="0"/>
          <w:marBottom w:val="0"/>
          <w:divBdr>
            <w:top w:val="none" w:sz="0" w:space="0" w:color="auto"/>
            <w:left w:val="none" w:sz="0" w:space="0" w:color="auto"/>
            <w:bottom w:val="none" w:sz="0" w:space="0" w:color="auto"/>
            <w:right w:val="none" w:sz="0" w:space="0" w:color="auto"/>
          </w:divBdr>
        </w:div>
        <w:div w:id="1280263677">
          <w:marLeft w:val="0"/>
          <w:marRight w:val="0"/>
          <w:marTop w:val="0"/>
          <w:marBottom w:val="0"/>
          <w:divBdr>
            <w:top w:val="none" w:sz="0" w:space="0" w:color="auto"/>
            <w:left w:val="none" w:sz="0" w:space="0" w:color="auto"/>
            <w:bottom w:val="none" w:sz="0" w:space="0" w:color="auto"/>
            <w:right w:val="none" w:sz="0" w:space="0" w:color="auto"/>
          </w:divBdr>
        </w:div>
        <w:div w:id="1306542729">
          <w:marLeft w:val="0"/>
          <w:marRight w:val="0"/>
          <w:marTop w:val="0"/>
          <w:marBottom w:val="0"/>
          <w:divBdr>
            <w:top w:val="none" w:sz="0" w:space="0" w:color="auto"/>
            <w:left w:val="none" w:sz="0" w:space="0" w:color="auto"/>
            <w:bottom w:val="none" w:sz="0" w:space="0" w:color="auto"/>
            <w:right w:val="none" w:sz="0" w:space="0" w:color="auto"/>
          </w:divBdr>
        </w:div>
        <w:div w:id="1318416524">
          <w:marLeft w:val="0"/>
          <w:marRight w:val="0"/>
          <w:marTop w:val="0"/>
          <w:marBottom w:val="0"/>
          <w:divBdr>
            <w:top w:val="none" w:sz="0" w:space="0" w:color="auto"/>
            <w:left w:val="none" w:sz="0" w:space="0" w:color="auto"/>
            <w:bottom w:val="none" w:sz="0" w:space="0" w:color="auto"/>
            <w:right w:val="none" w:sz="0" w:space="0" w:color="auto"/>
          </w:divBdr>
        </w:div>
        <w:div w:id="1387023781">
          <w:marLeft w:val="0"/>
          <w:marRight w:val="0"/>
          <w:marTop w:val="0"/>
          <w:marBottom w:val="0"/>
          <w:divBdr>
            <w:top w:val="none" w:sz="0" w:space="0" w:color="auto"/>
            <w:left w:val="none" w:sz="0" w:space="0" w:color="auto"/>
            <w:bottom w:val="none" w:sz="0" w:space="0" w:color="auto"/>
            <w:right w:val="none" w:sz="0" w:space="0" w:color="auto"/>
          </w:divBdr>
        </w:div>
        <w:div w:id="1604680594">
          <w:marLeft w:val="0"/>
          <w:marRight w:val="0"/>
          <w:marTop w:val="0"/>
          <w:marBottom w:val="0"/>
          <w:divBdr>
            <w:top w:val="none" w:sz="0" w:space="0" w:color="auto"/>
            <w:left w:val="none" w:sz="0" w:space="0" w:color="auto"/>
            <w:bottom w:val="none" w:sz="0" w:space="0" w:color="auto"/>
            <w:right w:val="none" w:sz="0" w:space="0" w:color="auto"/>
          </w:divBdr>
        </w:div>
        <w:div w:id="1638993367">
          <w:marLeft w:val="0"/>
          <w:marRight w:val="0"/>
          <w:marTop w:val="0"/>
          <w:marBottom w:val="0"/>
          <w:divBdr>
            <w:top w:val="none" w:sz="0" w:space="0" w:color="auto"/>
            <w:left w:val="none" w:sz="0" w:space="0" w:color="auto"/>
            <w:bottom w:val="none" w:sz="0" w:space="0" w:color="auto"/>
            <w:right w:val="none" w:sz="0" w:space="0" w:color="auto"/>
          </w:divBdr>
        </w:div>
        <w:div w:id="1696034421">
          <w:marLeft w:val="0"/>
          <w:marRight w:val="0"/>
          <w:marTop w:val="0"/>
          <w:marBottom w:val="0"/>
          <w:divBdr>
            <w:top w:val="none" w:sz="0" w:space="0" w:color="auto"/>
            <w:left w:val="none" w:sz="0" w:space="0" w:color="auto"/>
            <w:bottom w:val="none" w:sz="0" w:space="0" w:color="auto"/>
            <w:right w:val="none" w:sz="0" w:space="0" w:color="auto"/>
          </w:divBdr>
        </w:div>
        <w:div w:id="1799375275">
          <w:marLeft w:val="0"/>
          <w:marRight w:val="0"/>
          <w:marTop w:val="0"/>
          <w:marBottom w:val="0"/>
          <w:divBdr>
            <w:top w:val="none" w:sz="0" w:space="0" w:color="auto"/>
            <w:left w:val="none" w:sz="0" w:space="0" w:color="auto"/>
            <w:bottom w:val="none" w:sz="0" w:space="0" w:color="auto"/>
            <w:right w:val="none" w:sz="0" w:space="0" w:color="auto"/>
          </w:divBdr>
        </w:div>
        <w:div w:id="1835222610">
          <w:marLeft w:val="0"/>
          <w:marRight w:val="0"/>
          <w:marTop w:val="0"/>
          <w:marBottom w:val="0"/>
          <w:divBdr>
            <w:top w:val="none" w:sz="0" w:space="0" w:color="auto"/>
            <w:left w:val="none" w:sz="0" w:space="0" w:color="auto"/>
            <w:bottom w:val="none" w:sz="0" w:space="0" w:color="auto"/>
            <w:right w:val="none" w:sz="0" w:space="0" w:color="auto"/>
          </w:divBdr>
        </w:div>
        <w:div w:id="1871989744">
          <w:marLeft w:val="0"/>
          <w:marRight w:val="0"/>
          <w:marTop w:val="0"/>
          <w:marBottom w:val="0"/>
          <w:divBdr>
            <w:top w:val="none" w:sz="0" w:space="0" w:color="auto"/>
            <w:left w:val="none" w:sz="0" w:space="0" w:color="auto"/>
            <w:bottom w:val="none" w:sz="0" w:space="0" w:color="auto"/>
            <w:right w:val="none" w:sz="0" w:space="0" w:color="auto"/>
          </w:divBdr>
        </w:div>
        <w:div w:id="1895845407">
          <w:marLeft w:val="0"/>
          <w:marRight w:val="0"/>
          <w:marTop w:val="0"/>
          <w:marBottom w:val="0"/>
          <w:divBdr>
            <w:top w:val="none" w:sz="0" w:space="0" w:color="auto"/>
            <w:left w:val="none" w:sz="0" w:space="0" w:color="auto"/>
            <w:bottom w:val="none" w:sz="0" w:space="0" w:color="auto"/>
            <w:right w:val="none" w:sz="0" w:space="0" w:color="auto"/>
          </w:divBdr>
        </w:div>
        <w:div w:id="1911111837">
          <w:marLeft w:val="0"/>
          <w:marRight w:val="0"/>
          <w:marTop w:val="0"/>
          <w:marBottom w:val="0"/>
          <w:divBdr>
            <w:top w:val="none" w:sz="0" w:space="0" w:color="auto"/>
            <w:left w:val="none" w:sz="0" w:space="0" w:color="auto"/>
            <w:bottom w:val="none" w:sz="0" w:space="0" w:color="auto"/>
            <w:right w:val="none" w:sz="0" w:space="0" w:color="auto"/>
          </w:divBdr>
        </w:div>
        <w:div w:id="1981840463">
          <w:marLeft w:val="0"/>
          <w:marRight w:val="0"/>
          <w:marTop w:val="0"/>
          <w:marBottom w:val="0"/>
          <w:divBdr>
            <w:top w:val="none" w:sz="0" w:space="0" w:color="auto"/>
            <w:left w:val="none" w:sz="0" w:space="0" w:color="auto"/>
            <w:bottom w:val="none" w:sz="0" w:space="0" w:color="auto"/>
            <w:right w:val="none" w:sz="0" w:space="0" w:color="auto"/>
          </w:divBdr>
        </w:div>
        <w:div w:id="2075198458">
          <w:marLeft w:val="0"/>
          <w:marRight w:val="0"/>
          <w:marTop w:val="0"/>
          <w:marBottom w:val="0"/>
          <w:divBdr>
            <w:top w:val="none" w:sz="0" w:space="0" w:color="auto"/>
            <w:left w:val="none" w:sz="0" w:space="0" w:color="auto"/>
            <w:bottom w:val="none" w:sz="0" w:space="0" w:color="auto"/>
            <w:right w:val="none" w:sz="0" w:space="0" w:color="auto"/>
          </w:divBdr>
        </w:div>
        <w:div w:id="2082874032">
          <w:marLeft w:val="0"/>
          <w:marRight w:val="0"/>
          <w:marTop w:val="0"/>
          <w:marBottom w:val="0"/>
          <w:divBdr>
            <w:top w:val="none" w:sz="0" w:space="0" w:color="auto"/>
            <w:left w:val="none" w:sz="0" w:space="0" w:color="auto"/>
            <w:bottom w:val="none" w:sz="0" w:space="0" w:color="auto"/>
            <w:right w:val="none" w:sz="0" w:space="0" w:color="auto"/>
          </w:divBdr>
        </w:div>
      </w:divsChild>
    </w:div>
    <w:div w:id="525870460">
      <w:bodyDiv w:val="1"/>
      <w:marLeft w:val="0"/>
      <w:marRight w:val="0"/>
      <w:marTop w:val="0"/>
      <w:marBottom w:val="0"/>
      <w:divBdr>
        <w:top w:val="none" w:sz="0" w:space="0" w:color="auto"/>
        <w:left w:val="none" w:sz="0" w:space="0" w:color="auto"/>
        <w:bottom w:val="none" w:sz="0" w:space="0" w:color="auto"/>
        <w:right w:val="none" w:sz="0" w:space="0" w:color="auto"/>
      </w:divBdr>
      <w:divsChild>
        <w:div w:id="1414159534">
          <w:marLeft w:val="1166"/>
          <w:marRight w:val="0"/>
          <w:marTop w:val="96"/>
          <w:marBottom w:val="0"/>
          <w:divBdr>
            <w:top w:val="none" w:sz="0" w:space="0" w:color="auto"/>
            <w:left w:val="none" w:sz="0" w:space="0" w:color="auto"/>
            <w:bottom w:val="none" w:sz="0" w:space="0" w:color="auto"/>
            <w:right w:val="none" w:sz="0" w:space="0" w:color="auto"/>
          </w:divBdr>
        </w:div>
        <w:div w:id="1744989848">
          <w:marLeft w:val="547"/>
          <w:marRight w:val="0"/>
          <w:marTop w:val="240"/>
          <w:marBottom w:val="0"/>
          <w:divBdr>
            <w:top w:val="none" w:sz="0" w:space="0" w:color="auto"/>
            <w:left w:val="none" w:sz="0" w:space="0" w:color="auto"/>
            <w:bottom w:val="none" w:sz="0" w:space="0" w:color="auto"/>
            <w:right w:val="none" w:sz="0" w:space="0" w:color="auto"/>
          </w:divBdr>
        </w:div>
      </w:divsChild>
    </w:div>
    <w:div w:id="530529690">
      <w:bodyDiv w:val="1"/>
      <w:marLeft w:val="0"/>
      <w:marRight w:val="0"/>
      <w:marTop w:val="0"/>
      <w:marBottom w:val="0"/>
      <w:divBdr>
        <w:top w:val="none" w:sz="0" w:space="0" w:color="auto"/>
        <w:left w:val="none" w:sz="0" w:space="0" w:color="auto"/>
        <w:bottom w:val="none" w:sz="0" w:space="0" w:color="auto"/>
        <w:right w:val="none" w:sz="0" w:space="0" w:color="auto"/>
      </w:divBdr>
    </w:div>
    <w:div w:id="534847788">
      <w:bodyDiv w:val="1"/>
      <w:marLeft w:val="0"/>
      <w:marRight w:val="0"/>
      <w:marTop w:val="0"/>
      <w:marBottom w:val="0"/>
      <w:divBdr>
        <w:top w:val="none" w:sz="0" w:space="0" w:color="auto"/>
        <w:left w:val="none" w:sz="0" w:space="0" w:color="auto"/>
        <w:bottom w:val="none" w:sz="0" w:space="0" w:color="auto"/>
        <w:right w:val="none" w:sz="0" w:space="0" w:color="auto"/>
      </w:divBdr>
      <w:divsChild>
        <w:div w:id="94130178">
          <w:marLeft w:val="1166"/>
          <w:marRight w:val="0"/>
          <w:marTop w:val="96"/>
          <w:marBottom w:val="0"/>
          <w:divBdr>
            <w:top w:val="none" w:sz="0" w:space="0" w:color="auto"/>
            <w:left w:val="none" w:sz="0" w:space="0" w:color="auto"/>
            <w:bottom w:val="none" w:sz="0" w:space="0" w:color="auto"/>
            <w:right w:val="none" w:sz="0" w:space="0" w:color="auto"/>
          </w:divBdr>
        </w:div>
        <w:div w:id="470824965">
          <w:marLeft w:val="1166"/>
          <w:marRight w:val="0"/>
          <w:marTop w:val="96"/>
          <w:marBottom w:val="0"/>
          <w:divBdr>
            <w:top w:val="none" w:sz="0" w:space="0" w:color="auto"/>
            <w:left w:val="none" w:sz="0" w:space="0" w:color="auto"/>
            <w:bottom w:val="none" w:sz="0" w:space="0" w:color="auto"/>
            <w:right w:val="none" w:sz="0" w:space="0" w:color="auto"/>
          </w:divBdr>
        </w:div>
        <w:div w:id="572010687">
          <w:marLeft w:val="547"/>
          <w:marRight w:val="0"/>
          <w:marTop w:val="115"/>
          <w:marBottom w:val="0"/>
          <w:divBdr>
            <w:top w:val="none" w:sz="0" w:space="0" w:color="auto"/>
            <w:left w:val="none" w:sz="0" w:space="0" w:color="auto"/>
            <w:bottom w:val="none" w:sz="0" w:space="0" w:color="auto"/>
            <w:right w:val="none" w:sz="0" w:space="0" w:color="auto"/>
          </w:divBdr>
        </w:div>
        <w:div w:id="610555835">
          <w:marLeft w:val="547"/>
          <w:marRight w:val="0"/>
          <w:marTop w:val="115"/>
          <w:marBottom w:val="0"/>
          <w:divBdr>
            <w:top w:val="none" w:sz="0" w:space="0" w:color="auto"/>
            <w:left w:val="none" w:sz="0" w:space="0" w:color="auto"/>
            <w:bottom w:val="none" w:sz="0" w:space="0" w:color="auto"/>
            <w:right w:val="none" w:sz="0" w:space="0" w:color="auto"/>
          </w:divBdr>
        </w:div>
        <w:div w:id="937905732">
          <w:marLeft w:val="1166"/>
          <w:marRight w:val="0"/>
          <w:marTop w:val="96"/>
          <w:marBottom w:val="0"/>
          <w:divBdr>
            <w:top w:val="none" w:sz="0" w:space="0" w:color="auto"/>
            <w:left w:val="none" w:sz="0" w:space="0" w:color="auto"/>
            <w:bottom w:val="none" w:sz="0" w:space="0" w:color="auto"/>
            <w:right w:val="none" w:sz="0" w:space="0" w:color="auto"/>
          </w:divBdr>
        </w:div>
        <w:div w:id="1285113347">
          <w:marLeft w:val="1166"/>
          <w:marRight w:val="0"/>
          <w:marTop w:val="96"/>
          <w:marBottom w:val="0"/>
          <w:divBdr>
            <w:top w:val="none" w:sz="0" w:space="0" w:color="auto"/>
            <w:left w:val="none" w:sz="0" w:space="0" w:color="auto"/>
            <w:bottom w:val="none" w:sz="0" w:space="0" w:color="auto"/>
            <w:right w:val="none" w:sz="0" w:space="0" w:color="auto"/>
          </w:divBdr>
        </w:div>
        <w:div w:id="2018384045">
          <w:marLeft w:val="1166"/>
          <w:marRight w:val="0"/>
          <w:marTop w:val="96"/>
          <w:marBottom w:val="0"/>
          <w:divBdr>
            <w:top w:val="none" w:sz="0" w:space="0" w:color="auto"/>
            <w:left w:val="none" w:sz="0" w:space="0" w:color="auto"/>
            <w:bottom w:val="none" w:sz="0" w:space="0" w:color="auto"/>
            <w:right w:val="none" w:sz="0" w:space="0" w:color="auto"/>
          </w:divBdr>
        </w:div>
      </w:divsChild>
    </w:div>
    <w:div w:id="538082598">
      <w:bodyDiv w:val="1"/>
      <w:marLeft w:val="0"/>
      <w:marRight w:val="0"/>
      <w:marTop w:val="0"/>
      <w:marBottom w:val="0"/>
      <w:divBdr>
        <w:top w:val="none" w:sz="0" w:space="0" w:color="auto"/>
        <w:left w:val="none" w:sz="0" w:space="0" w:color="auto"/>
        <w:bottom w:val="none" w:sz="0" w:space="0" w:color="auto"/>
        <w:right w:val="none" w:sz="0" w:space="0" w:color="auto"/>
      </w:divBdr>
    </w:div>
    <w:div w:id="546571836">
      <w:bodyDiv w:val="1"/>
      <w:marLeft w:val="0"/>
      <w:marRight w:val="0"/>
      <w:marTop w:val="0"/>
      <w:marBottom w:val="0"/>
      <w:divBdr>
        <w:top w:val="none" w:sz="0" w:space="0" w:color="auto"/>
        <w:left w:val="none" w:sz="0" w:space="0" w:color="auto"/>
        <w:bottom w:val="none" w:sz="0" w:space="0" w:color="auto"/>
        <w:right w:val="none" w:sz="0" w:space="0" w:color="auto"/>
      </w:divBdr>
    </w:div>
    <w:div w:id="569005102">
      <w:bodyDiv w:val="1"/>
      <w:marLeft w:val="0"/>
      <w:marRight w:val="0"/>
      <w:marTop w:val="0"/>
      <w:marBottom w:val="0"/>
      <w:divBdr>
        <w:top w:val="none" w:sz="0" w:space="0" w:color="auto"/>
        <w:left w:val="none" w:sz="0" w:space="0" w:color="auto"/>
        <w:bottom w:val="none" w:sz="0" w:space="0" w:color="auto"/>
        <w:right w:val="none" w:sz="0" w:space="0" w:color="auto"/>
      </w:divBdr>
      <w:divsChild>
        <w:div w:id="131795729">
          <w:marLeft w:val="1080"/>
          <w:marRight w:val="0"/>
          <w:marTop w:val="100"/>
          <w:marBottom w:val="0"/>
          <w:divBdr>
            <w:top w:val="none" w:sz="0" w:space="0" w:color="auto"/>
            <w:left w:val="none" w:sz="0" w:space="0" w:color="auto"/>
            <w:bottom w:val="none" w:sz="0" w:space="0" w:color="auto"/>
            <w:right w:val="none" w:sz="0" w:space="0" w:color="auto"/>
          </w:divBdr>
        </w:div>
      </w:divsChild>
    </w:div>
    <w:div w:id="570118334">
      <w:bodyDiv w:val="1"/>
      <w:marLeft w:val="0"/>
      <w:marRight w:val="0"/>
      <w:marTop w:val="0"/>
      <w:marBottom w:val="0"/>
      <w:divBdr>
        <w:top w:val="none" w:sz="0" w:space="0" w:color="auto"/>
        <w:left w:val="none" w:sz="0" w:space="0" w:color="auto"/>
        <w:bottom w:val="none" w:sz="0" w:space="0" w:color="auto"/>
        <w:right w:val="none" w:sz="0" w:space="0" w:color="auto"/>
      </w:divBdr>
    </w:div>
    <w:div w:id="571548569">
      <w:bodyDiv w:val="1"/>
      <w:marLeft w:val="0"/>
      <w:marRight w:val="0"/>
      <w:marTop w:val="0"/>
      <w:marBottom w:val="0"/>
      <w:divBdr>
        <w:top w:val="none" w:sz="0" w:space="0" w:color="auto"/>
        <w:left w:val="none" w:sz="0" w:space="0" w:color="auto"/>
        <w:bottom w:val="none" w:sz="0" w:space="0" w:color="auto"/>
        <w:right w:val="none" w:sz="0" w:space="0" w:color="auto"/>
      </w:divBdr>
    </w:div>
    <w:div w:id="574976696">
      <w:bodyDiv w:val="1"/>
      <w:marLeft w:val="0"/>
      <w:marRight w:val="0"/>
      <w:marTop w:val="0"/>
      <w:marBottom w:val="0"/>
      <w:divBdr>
        <w:top w:val="none" w:sz="0" w:space="0" w:color="auto"/>
        <w:left w:val="none" w:sz="0" w:space="0" w:color="auto"/>
        <w:bottom w:val="none" w:sz="0" w:space="0" w:color="auto"/>
        <w:right w:val="none" w:sz="0" w:space="0" w:color="auto"/>
      </w:divBdr>
    </w:div>
    <w:div w:id="579603428">
      <w:bodyDiv w:val="1"/>
      <w:marLeft w:val="0"/>
      <w:marRight w:val="0"/>
      <w:marTop w:val="0"/>
      <w:marBottom w:val="0"/>
      <w:divBdr>
        <w:top w:val="none" w:sz="0" w:space="0" w:color="auto"/>
        <w:left w:val="none" w:sz="0" w:space="0" w:color="auto"/>
        <w:bottom w:val="none" w:sz="0" w:space="0" w:color="auto"/>
        <w:right w:val="none" w:sz="0" w:space="0" w:color="auto"/>
      </w:divBdr>
    </w:div>
    <w:div w:id="581717807">
      <w:bodyDiv w:val="1"/>
      <w:marLeft w:val="0"/>
      <w:marRight w:val="0"/>
      <w:marTop w:val="0"/>
      <w:marBottom w:val="0"/>
      <w:divBdr>
        <w:top w:val="none" w:sz="0" w:space="0" w:color="auto"/>
        <w:left w:val="none" w:sz="0" w:space="0" w:color="auto"/>
        <w:bottom w:val="none" w:sz="0" w:space="0" w:color="auto"/>
        <w:right w:val="none" w:sz="0" w:space="0" w:color="auto"/>
      </w:divBdr>
      <w:divsChild>
        <w:div w:id="254048856">
          <w:marLeft w:val="360"/>
          <w:marRight w:val="0"/>
          <w:marTop w:val="200"/>
          <w:marBottom w:val="0"/>
          <w:divBdr>
            <w:top w:val="none" w:sz="0" w:space="0" w:color="auto"/>
            <w:left w:val="none" w:sz="0" w:space="0" w:color="auto"/>
            <w:bottom w:val="none" w:sz="0" w:space="0" w:color="auto"/>
            <w:right w:val="none" w:sz="0" w:space="0" w:color="auto"/>
          </w:divBdr>
        </w:div>
        <w:div w:id="260647606">
          <w:marLeft w:val="1080"/>
          <w:marRight w:val="0"/>
          <w:marTop w:val="100"/>
          <w:marBottom w:val="0"/>
          <w:divBdr>
            <w:top w:val="none" w:sz="0" w:space="0" w:color="auto"/>
            <w:left w:val="none" w:sz="0" w:space="0" w:color="auto"/>
            <w:bottom w:val="none" w:sz="0" w:space="0" w:color="auto"/>
            <w:right w:val="none" w:sz="0" w:space="0" w:color="auto"/>
          </w:divBdr>
        </w:div>
        <w:div w:id="1004748676">
          <w:marLeft w:val="1080"/>
          <w:marRight w:val="0"/>
          <w:marTop w:val="100"/>
          <w:marBottom w:val="0"/>
          <w:divBdr>
            <w:top w:val="none" w:sz="0" w:space="0" w:color="auto"/>
            <w:left w:val="none" w:sz="0" w:space="0" w:color="auto"/>
            <w:bottom w:val="none" w:sz="0" w:space="0" w:color="auto"/>
            <w:right w:val="none" w:sz="0" w:space="0" w:color="auto"/>
          </w:divBdr>
        </w:div>
        <w:div w:id="1491869601">
          <w:marLeft w:val="360"/>
          <w:marRight w:val="0"/>
          <w:marTop w:val="200"/>
          <w:marBottom w:val="0"/>
          <w:divBdr>
            <w:top w:val="none" w:sz="0" w:space="0" w:color="auto"/>
            <w:left w:val="none" w:sz="0" w:space="0" w:color="auto"/>
            <w:bottom w:val="none" w:sz="0" w:space="0" w:color="auto"/>
            <w:right w:val="none" w:sz="0" w:space="0" w:color="auto"/>
          </w:divBdr>
        </w:div>
        <w:div w:id="1639261122">
          <w:marLeft w:val="1080"/>
          <w:marRight w:val="0"/>
          <w:marTop w:val="100"/>
          <w:marBottom w:val="0"/>
          <w:divBdr>
            <w:top w:val="none" w:sz="0" w:space="0" w:color="auto"/>
            <w:left w:val="none" w:sz="0" w:space="0" w:color="auto"/>
            <w:bottom w:val="none" w:sz="0" w:space="0" w:color="auto"/>
            <w:right w:val="none" w:sz="0" w:space="0" w:color="auto"/>
          </w:divBdr>
        </w:div>
        <w:div w:id="1992829138">
          <w:marLeft w:val="360"/>
          <w:marRight w:val="0"/>
          <w:marTop w:val="200"/>
          <w:marBottom w:val="0"/>
          <w:divBdr>
            <w:top w:val="none" w:sz="0" w:space="0" w:color="auto"/>
            <w:left w:val="none" w:sz="0" w:space="0" w:color="auto"/>
            <w:bottom w:val="none" w:sz="0" w:space="0" w:color="auto"/>
            <w:right w:val="none" w:sz="0" w:space="0" w:color="auto"/>
          </w:divBdr>
        </w:div>
        <w:div w:id="2127655342">
          <w:marLeft w:val="1080"/>
          <w:marRight w:val="0"/>
          <w:marTop w:val="100"/>
          <w:marBottom w:val="0"/>
          <w:divBdr>
            <w:top w:val="none" w:sz="0" w:space="0" w:color="auto"/>
            <w:left w:val="none" w:sz="0" w:space="0" w:color="auto"/>
            <w:bottom w:val="none" w:sz="0" w:space="0" w:color="auto"/>
            <w:right w:val="none" w:sz="0" w:space="0" w:color="auto"/>
          </w:divBdr>
        </w:div>
      </w:divsChild>
    </w:div>
    <w:div w:id="584270325">
      <w:bodyDiv w:val="1"/>
      <w:marLeft w:val="0"/>
      <w:marRight w:val="0"/>
      <w:marTop w:val="0"/>
      <w:marBottom w:val="0"/>
      <w:divBdr>
        <w:top w:val="none" w:sz="0" w:space="0" w:color="auto"/>
        <w:left w:val="none" w:sz="0" w:space="0" w:color="auto"/>
        <w:bottom w:val="none" w:sz="0" w:space="0" w:color="auto"/>
        <w:right w:val="none" w:sz="0" w:space="0" w:color="auto"/>
      </w:divBdr>
    </w:div>
    <w:div w:id="591013508">
      <w:bodyDiv w:val="1"/>
      <w:marLeft w:val="0"/>
      <w:marRight w:val="0"/>
      <w:marTop w:val="0"/>
      <w:marBottom w:val="0"/>
      <w:divBdr>
        <w:top w:val="none" w:sz="0" w:space="0" w:color="auto"/>
        <w:left w:val="none" w:sz="0" w:space="0" w:color="auto"/>
        <w:bottom w:val="none" w:sz="0" w:space="0" w:color="auto"/>
        <w:right w:val="none" w:sz="0" w:space="0" w:color="auto"/>
      </w:divBdr>
      <w:divsChild>
        <w:div w:id="132329951">
          <w:marLeft w:val="1080"/>
          <w:marRight w:val="0"/>
          <w:marTop w:val="100"/>
          <w:marBottom w:val="0"/>
          <w:divBdr>
            <w:top w:val="none" w:sz="0" w:space="0" w:color="auto"/>
            <w:left w:val="none" w:sz="0" w:space="0" w:color="auto"/>
            <w:bottom w:val="none" w:sz="0" w:space="0" w:color="auto"/>
            <w:right w:val="none" w:sz="0" w:space="0" w:color="auto"/>
          </w:divBdr>
        </w:div>
        <w:div w:id="258374579">
          <w:marLeft w:val="1080"/>
          <w:marRight w:val="0"/>
          <w:marTop w:val="100"/>
          <w:marBottom w:val="0"/>
          <w:divBdr>
            <w:top w:val="none" w:sz="0" w:space="0" w:color="auto"/>
            <w:left w:val="none" w:sz="0" w:space="0" w:color="auto"/>
            <w:bottom w:val="none" w:sz="0" w:space="0" w:color="auto"/>
            <w:right w:val="none" w:sz="0" w:space="0" w:color="auto"/>
          </w:divBdr>
        </w:div>
        <w:div w:id="317222766">
          <w:marLeft w:val="360"/>
          <w:marRight w:val="0"/>
          <w:marTop w:val="200"/>
          <w:marBottom w:val="0"/>
          <w:divBdr>
            <w:top w:val="none" w:sz="0" w:space="0" w:color="auto"/>
            <w:left w:val="none" w:sz="0" w:space="0" w:color="auto"/>
            <w:bottom w:val="none" w:sz="0" w:space="0" w:color="auto"/>
            <w:right w:val="none" w:sz="0" w:space="0" w:color="auto"/>
          </w:divBdr>
        </w:div>
        <w:div w:id="496648847">
          <w:marLeft w:val="360"/>
          <w:marRight w:val="0"/>
          <w:marTop w:val="200"/>
          <w:marBottom w:val="0"/>
          <w:divBdr>
            <w:top w:val="none" w:sz="0" w:space="0" w:color="auto"/>
            <w:left w:val="none" w:sz="0" w:space="0" w:color="auto"/>
            <w:bottom w:val="none" w:sz="0" w:space="0" w:color="auto"/>
            <w:right w:val="none" w:sz="0" w:space="0" w:color="auto"/>
          </w:divBdr>
        </w:div>
        <w:div w:id="790170782">
          <w:marLeft w:val="360"/>
          <w:marRight w:val="0"/>
          <w:marTop w:val="200"/>
          <w:marBottom w:val="0"/>
          <w:divBdr>
            <w:top w:val="none" w:sz="0" w:space="0" w:color="auto"/>
            <w:left w:val="none" w:sz="0" w:space="0" w:color="auto"/>
            <w:bottom w:val="none" w:sz="0" w:space="0" w:color="auto"/>
            <w:right w:val="none" w:sz="0" w:space="0" w:color="auto"/>
          </w:divBdr>
        </w:div>
        <w:div w:id="927076141">
          <w:marLeft w:val="1080"/>
          <w:marRight w:val="0"/>
          <w:marTop w:val="100"/>
          <w:marBottom w:val="0"/>
          <w:divBdr>
            <w:top w:val="none" w:sz="0" w:space="0" w:color="auto"/>
            <w:left w:val="none" w:sz="0" w:space="0" w:color="auto"/>
            <w:bottom w:val="none" w:sz="0" w:space="0" w:color="auto"/>
            <w:right w:val="none" w:sz="0" w:space="0" w:color="auto"/>
          </w:divBdr>
        </w:div>
        <w:div w:id="1364357558">
          <w:marLeft w:val="1080"/>
          <w:marRight w:val="0"/>
          <w:marTop w:val="100"/>
          <w:marBottom w:val="0"/>
          <w:divBdr>
            <w:top w:val="none" w:sz="0" w:space="0" w:color="auto"/>
            <w:left w:val="none" w:sz="0" w:space="0" w:color="auto"/>
            <w:bottom w:val="none" w:sz="0" w:space="0" w:color="auto"/>
            <w:right w:val="none" w:sz="0" w:space="0" w:color="auto"/>
          </w:divBdr>
        </w:div>
        <w:div w:id="1397893774">
          <w:marLeft w:val="360"/>
          <w:marRight w:val="0"/>
          <w:marTop w:val="200"/>
          <w:marBottom w:val="0"/>
          <w:divBdr>
            <w:top w:val="none" w:sz="0" w:space="0" w:color="auto"/>
            <w:left w:val="none" w:sz="0" w:space="0" w:color="auto"/>
            <w:bottom w:val="none" w:sz="0" w:space="0" w:color="auto"/>
            <w:right w:val="none" w:sz="0" w:space="0" w:color="auto"/>
          </w:divBdr>
        </w:div>
        <w:div w:id="1560092511">
          <w:marLeft w:val="360"/>
          <w:marRight w:val="0"/>
          <w:marTop w:val="200"/>
          <w:marBottom w:val="0"/>
          <w:divBdr>
            <w:top w:val="none" w:sz="0" w:space="0" w:color="auto"/>
            <w:left w:val="none" w:sz="0" w:space="0" w:color="auto"/>
            <w:bottom w:val="none" w:sz="0" w:space="0" w:color="auto"/>
            <w:right w:val="none" w:sz="0" w:space="0" w:color="auto"/>
          </w:divBdr>
        </w:div>
        <w:div w:id="1901476030">
          <w:marLeft w:val="1080"/>
          <w:marRight w:val="0"/>
          <w:marTop w:val="100"/>
          <w:marBottom w:val="0"/>
          <w:divBdr>
            <w:top w:val="none" w:sz="0" w:space="0" w:color="auto"/>
            <w:left w:val="none" w:sz="0" w:space="0" w:color="auto"/>
            <w:bottom w:val="none" w:sz="0" w:space="0" w:color="auto"/>
            <w:right w:val="none" w:sz="0" w:space="0" w:color="auto"/>
          </w:divBdr>
        </w:div>
        <w:div w:id="2106921141">
          <w:marLeft w:val="360"/>
          <w:marRight w:val="0"/>
          <w:marTop w:val="200"/>
          <w:marBottom w:val="0"/>
          <w:divBdr>
            <w:top w:val="none" w:sz="0" w:space="0" w:color="auto"/>
            <w:left w:val="none" w:sz="0" w:space="0" w:color="auto"/>
            <w:bottom w:val="none" w:sz="0" w:space="0" w:color="auto"/>
            <w:right w:val="none" w:sz="0" w:space="0" w:color="auto"/>
          </w:divBdr>
        </w:div>
      </w:divsChild>
    </w:div>
    <w:div w:id="600797735">
      <w:bodyDiv w:val="1"/>
      <w:marLeft w:val="0"/>
      <w:marRight w:val="0"/>
      <w:marTop w:val="0"/>
      <w:marBottom w:val="0"/>
      <w:divBdr>
        <w:top w:val="none" w:sz="0" w:space="0" w:color="auto"/>
        <w:left w:val="none" w:sz="0" w:space="0" w:color="auto"/>
        <w:bottom w:val="none" w:sz="0" w:space="0" w:color="auto"/>
        <w:right w:val="none" w:sz="0" w:space="0" w:color="auto"/>
      </w:divBdr>
    </w:div>
    <w:div w:id="602610368">
      <w:bodyDiv w:val="1"/>
      <w:marLeft w:val="0"/>
      <w:marRight w:val="0"/>
      <w:marTop w:val="0"/>
      <w:marBottom w:val="0"/>
      <w:divBdr>
        <w:top w:val="none" w:sz="0" w:space="0" w:color="auto"/>
        <w:left w:val="none" w:sz="0" w:space="0" w:color="auto"/>
        <w:bottom w:val="none" w:sz="0" w:space="0" w:color="auto"/>
        <w:right w:val="none" w:sz="0" w:space="0" w:color="auto"/>
      </w:divBdr>
      <w:divsChild>
        <w:div w:id="363487553">
          <w:marLeft w:val="360"/>
          <w:marRight w:val="0"/>
          <w:marTop w:val="200"/>
          <w:marBottom w:val="0"/>
          <w:divBdr>
            <w:top w:val="none" w:sz="0" w:space="0" w:color="auto"/>
            <w:left w:val="none" w:sz="0" w:space="0" w:color="auto"/>
            <w:bottom w:val="none" w:sz="0" w:space="0" w:color="auto"/>
            <w:right w:val="none" w:sz="0" w:space="0" w:color="auto"/>
          </w:divBdr>
        </w:div>
      </w:divsChild>
    </w:div>
    <w:div w:id="605187664">
      <w:bodyDiv w:val="1"/>
      <w:marLeft w:val="0"/>
      <w:marRight w:val="0"/>
      <w:marTop w:val="0"/>
      <w:marBottom w:val="0"/>
      <w:divBdr>
        <w:top w:val="none" w:sz="0" w:space="0" w:color="auto"/>
        <w:left w:val="none" w:sz="0" w:space="0" w:color="auto"/>
        <w:bottom w:val="none" w:sz="0" w:space="0" w:color="auto"/>
        <w:right w:val="none" w:sz="0" w:space="0" w:color="auto"/>
      </w:divBdr>
      <w:divsChild>
        <w:div w:id="286280828">
          <w:marLeft w:val="1800"/>
          <w:marRight w:val="0"/>
          <w:marTop w:val="77"/>
          <w:marBottom w:val="0"/>
          <w:divBdr>
            <w:top w:val="none" w:sz="0" w:space="0" w:color="auto"/>
            <w:left w:val="none" w:sz="0" w:space="0" w:color="auto"/>
            <w:bottom w:val="none" w:sz="0" w:space="0" w:color="auto"/>
            <w:right w:val="none" w:sz="0" w:space="0" w:color="auto"/>
          </w:divBdr>
        </w:div>
        <w:div w:id="646593988">
          <w:marLeft w:val="1800"/>
          <w:marRight w:val="0"/>
          <w:marTop w:val="77"/>
          <w:marBottom w:val="0"/>
          <w:divBdr>
            <w:top w:val="none" w:sz="0" w:space="0" w:color="auto"/>
            <w:left w:val="none" w:sz="0" w:space="0" w:color="auto"/>
            <w:bottom w:val="none" w:sz="0" w:space="0" w:color="auto"/>
            <w:right w:val="none" w:sz="0" w:space="0" w:color="auto"/>
          </w:divBdr>
        </w:div>
        <w:div w:id="740520693">
          <w:marLeft w:val="1800"/>
          <w:marRight w:val="0"/>
          <w:marTop w:val="77"/>
          <w:marBottom w:val="0"/>
          <w:divBdr>
            <w:top w:val="none" w:sz="0" w:space="0" w:color="auto"/>
            <w:left w:val="none" w:sz="0" w:space="0" w:color="auto"/>
            <w:bottom w:val="none" w:sz="0" w:space="0" w:color="auto"/>
            <w:right w:val="none" w:sz="0" w:space="0" w:color="auto"/>
          </w:divBdr>
        </w:div>
        <w:div w:id="838882967">
          <w:marLeft w:val="1166"/>
          <w:marRight w:val="0"/>
          <w:marTop w:val="86"/>
          <w:marBottom w:val="0"/>
          <w:divBdr>
            <w:top w:val="none" w:sz="0" w:space="0" w:color="auto"/>
            <w:left w:val="none" w:sz="0" w:space="0" w:color="auto"/>
            <w:bottom w:val="none" w:sz="0" w:space="0" w:color="auto"/>
            <w:right w:val="none" w:sz="0" w:space="0" w:color="auto"/>
          </w:divBdr>
        </w:div>
        <w:div w:id="966010754">
          <w:marLeft w:val="1800"/>
          <w:marRight w:val="0"/>
          <w:marTop w:val="77"/>
          <w:marBottom w:val="0"/>
          <w:divBdr>
            <w:top w:val="none" w:sz="0" w:space="0" w:color="auto"/>
            <w:left w:val="none" w:sz="0" w:space="0" w:color="auto"/>
            <w:bottom w:val="none" w:sz="0" w:space="0" w:color="auto"/>
            <w:right w:val="none" w:sz="0" w:space="0" w:color="auto"/>
          </w:divBdr>
        </w:div>
        <w:div w:id="1542939349">
          <w:marLeft w:val="1800"/>
          <w:marRight w:val="0"/>
          <w:marTop w:val="77"/>
          <w:marBottom w:val="0"/>
          <w:divBdr>
            <w:top w:val="none" w:sz="0" w:space="0" w:color="auto"/>
            <w:left w:val="none" w:sz="0" w:space="0" w:color="auto"/>
            <w:bottom w:val="none" w:sz="0" w:space="0" w:color="auto"/>
            <w:right w:val="none" w:sz="0" w:space="0" w:color="auto"/>
          </w:divBdr>
        </w:div>
        <w:div w:id="1593734704">
          <w:marLeft w:val="547"/>
          <w:marRight w:val="0"/>
          <w:marTop w:val="240"/>
          <w:marBottom w:val="0"/>
          <w:divBdr>
            <w:top w:val="none" w:sz="0" w:space="0" w:color="auto"/>
            <w:left w:val="none" w:sz="0" w:space="0" w:color="auto"/>
            <w:bottom w:val="none" w:sz="0" w:space="0" w:color="auto"/>
            <w:right w:val="none" w:sz="0" w:space="0" w:color="auto"/>
          </w:divBdr>
        </w:div>
        <w:div w:id="1898663327">
          <w:marLeft w:val="1166"/>
          <w:marRight w:val="0"/>
          <w:marTop w:val="86"/>
          <w:marBottom w:val="0"/>
          <w:divBdr>
            <w:top w:val="none" w:sz="0" w:space="0" w:color="auto"/>
            <w:left w:val="none" w:sz="0" w:space="0" w:color="auto"/>
            <w:bottom w:val="none" w:sz="0" w:space="0" w:color="auto"/>
            <w:right w:val="none" w:sz="0" w:space="0" w:color="auto"/>
          </w:divBdr>
        </w:div>
        <w:div w:id="1992446075">
          <w:marLeft w:val="1166"/>
          <w:marRight w:val="0"/>
          <w:marTop w:val="86"/>
          <w:marBottom w:val="0"/>
          <w:divBdr>
            <w:top w:val="none" w:sz="0" w:space="0" w:color="auto"/>
            <w:left w:val="none" w:sz="0" w:space="0" w:color="auto"/>
            <w:bottom w:val="none" w:sz="0" w:space="0" w:color="auto"/>
            <w:right w:val="none" w:sz="0" w:space="0" w:color="auto"/>
          </w:divBdr>
        </w:div>
      </w:divsChild>
    </w:div>
    <w:div w:id="610281551">
      <w:bodyDiv w:val="1"/>
      <w:marLeft w:val="0"/>
      <w:marRight w:val="0"/>
      <w:marTop w:val="0"/>
      <w:marBottom w:val="0"/>
      <w:divBdr>
        <w:top w:val="none" w:sz="0" w:space="0" w:color="auto"/>
        <w:left w:val="none" w:sz="0" w:space="0" w:color="auto"/>
        <w:bottom w:val="none" w:sz="0" w:space="0" w:color="auto"/>
        <w:right w:val="none" w:sz="0" w:space="0" w:color="auto"/>
      </w:divBdr>
      <w:divsChild>
        <w:div w:id="1145926468">
          <w:marLeft w:val="360"/>
          <w:marRight w:val="0"/>
          <w:marTop w:val="120"/>
          <w:marBottom w:val="0"/>
          <w:divBdr>
            <w:top w:val="none" w:sz="0" w:space="0" w:color="auto"/>
            <w:left w:val="none" w:sz="0" w:space="0" w:color="auto"/>
            <w:bottom w:val="none" w:sz="0" w:space="0" w:color="auto"/>
            <w:right w:val="none" w:sz="0" w:space="0" w:color="auto"/>
          </w:divBdr>
        </w:div>
      </w:divsChild>
    </w:div>
    <w:div w:id="612592366">
      <w:bodyDiv w:val="1"/>
      <w:marLeft w:val="0"/>
      <w:marRight w:val="0"/>
      <w:marTop w:val="0"/>
      <w:marBottom w:val="0"/>
      <w:divBdr>
        <w:top w:val="none" w:sz="0" w:space="0" w:color="auto"/>
        <w:left w:val="none" w:sz="0" w:space="0" w:color="auto"/>
        <w:bottom w:val="none" w:sz="0" w:space="0" w:color="auto"/>
        <w:right w:val="none" w:sz="0" w:space="0" w:color="auto"/>
      </w:divBdr>
    </w:div>
    <w:div w:id="612713226">
      <w:bodyDiv w:val="1"/>
      <w:marLeft w:val="0"/>
      <w:marRight w:val="0"/>
      <w:marTop w:val="0"/>
      <w:marBottom w:val="0"/>
      <w:divBdr>
        <w:top w:val="none" w:sz="0" w:space="0" w:color="auto"/>
        <w:left w:val="none" w:sz="0" w:space="0" w:color="auto"/>
        <w:bottom w:val="none" w:sz="0" w:space="0" w:color="auto"/>
        <w:right w:val="none" w:sz="0" w:space="0" w:color="auto"/>
      </w:divBdr>
      <w:divsChild>
        <w:div w:id="2039698085">
          <w:marLeft w:val="403"/>
          <w:marRight w:val="0"/>
          <w:marTop w:val="120"/>
          <w:marBottom w:val="0"/>
          <w:divBdr>
            <w:top w:val="none" w:sz="0" w:space="0" w:color="auto"/>
            <w:left w:val="none" w:sz="0" w:space="0" w:color="auto"/>
            <w:bottom w:val="none" w:sz="0" w:space="0" w:color="auto"/>
            <w:right w:val="none" w:sz="0" w:space="0" w:color="auto"/>
          </w:divBdr>
        </w:div>
      </w:divsChild>
    </w:div>
    <w:div w:id="615988033">
      <w:bodyDiv w:val="1"/>
      <w:marLeft w:val="0"/>
      <w:marRight w:val="0"/>
      <w:marTop w:val="0"/>
      <w:marBottom w:val="0"/>
      <w:divBdr>
        <w:top w:val="none" w:sz="0" w:space="0" w:color="auto"/>
        <w:left w:val="none" w:sz="0" w:space="0" w:color="auto"/>
        <w:bottom w:val="none" w:sz="0" w:space="0" w:color="auto"/>
        <w:right w:val="none" w:sz="0" w:space="0" w:color="auto"/>
      </w:divBdr>
    </w:div>
    <w:div w:id="619341999">
      <w:bodyDiv w:val="1"/>
      <w:marLeft w:val="0"/>
      <w:marRight w:val="0"/>
      <w:marTop w:val="0"/>
      <w:marBottom w:val="0"/>
      <w:divBdr>
        <w:top w:val="none" w:sz="0" w:space="0" w:color="auto"/>
        <w:left w:val="none" w:sz="0" w:space="0" w:color="auto"/>
        <w:bottom w:val="none" w:sz="0" w:space="0" w:color="auto"/>
        <w:right w:val="none" w:sz="0" w:space="0" w:color="auto"/>
      </w:divBdr>
    </w:div>
    <w:div w:id="633831309">
      <w:bodyDiv w:val="1"/>
      <w:marLeft w:val="0"/>
      <w:marRight w:val="0"/>
      <w:marTop w:val="0"/>
      <w:marBottom w:val="0"/>
      <w:divBdr>
        <w:top w:val="none" w:sz="0" w:space="0" w:color="auto"/>
        <w:left w:val="none" w:sz="0" w:space="0" w:color="auto"/>
        <w:bottom w:val="none" w:sz="0" w:space="0" w:color="auto"/>
        <w:right w:val="none" w:sz="0" w:space="0" w:color="auto"/>
      </w:divBdr>
    </w:div>
    <w:div w:id="646858234">
      <w:bodyDiv w:val="1"/>
      <w:marLeft w:val="0"/>
      <w:marRight w:val="0"/>
      <w:marTop w:val="0"/>
      <w:marBottom w:val="0"/>
      <w:divBdr>
        <w:top w:val="none" w:sz="0" w:space="0" w:color="auto"/>
        <w:left w:val="none" w:sz="0" w:space="0" w:color="auto"/>
        <w:bottom w:val="none" w:sz="0" w:space="0" w:color="auto"/>
        <w:right w:val="none" w:sz="0" w:space="0" w:color="auto"/>
      </w:divBdr>
    </w:div>
    <w:div w:id="651180313">
      <w:bodyDiv w:val="1"/>
      <w:marLeft w:val="0"/>
      <w:marRight w:val="0"/>
      <w:marTop w:val="0"/>
      <w:marBottom w:val="0"/>
      <w:divBdr>
        <w:top w:val="none" w:sz="0" w:space="0" w:color="auto"/>
        <w:left w:val="none" w:sz="0" w:space="0" w:color="auto"/>
        <w:bottom w:val="none" w:sz="0" w:space="0" w:color="auto"/>
        <w:right w:val="none" w:sz="0" w:space="0" w:color="auto"/>
      </w:divBdr>
      <w:divsChild>
        <w:div w:id="14423341">
          <w:marLeft w:val="907"/>
          <w:marRight w:val="0"/>
          <w:marTop w:val="0"/>
          <w:marBottom w:val="80"/>
          <w:divBdr>
            <w:top w:val="none" w:sz="0" w:space="0" w:color="auto"/>
            <w:left w:val="none" w:sz="0" w:space="0" w:color="auto"/>
            <w:bottom w:val="none" w:sz="0" w:space="0" w:color="auto"/>
            <w:right w:val="none" w:sz="0" w:space="0" w:color="auto"/>
          </w:divBdr>
        </w:div>
        <w:div w:id="403257761">
          <w:marLeft w:val="907"/>
          <w:marRight w:val="0"/>
          <w:marTop w:val="0"/>
          <w:marBottom w:val="80"/>
          <w:divBdr>
            <w:top w:val="none" w:sz="0" w:space="0" w:color="auto"/>
            <w:left w:val="none" w:sz="0" w:space="0" w:color="auto"/>
            <w:bottom w:val="none" w:sz="0" w:space="0" w:color="auto"/>
            <w:right w:val="none" w:sz="0" w:space="0" w:color="auto"/>
          </w:divBdr>
        </w:div>
        <w:div w:id="450974687">
          <w:marLeft w:val="360"/>
          <w:marRight w:val="0"/>
          <w:marTop w:val="0"/>
          <w:marBottom w:val="80"/>
          <w:divBdr>
            <w:top w:val="none" w:sz="0" w:space="0" w:color="auto"/>
            <w:left w:val="none" w:sz="0" w:space="0" w:color="auto"/>
            <w:bottom w:val="none" w:sz="0" w:space="0" w:color="auto"/>
            <w:right w:val="none" w:sz="0" w:space="0" w:color="auto"/>
          </w:divBdr>
        </w:div>
        <w:div w:id="652566111">
          <w:marLeft w:val="907"/>
          <w:marRight w:val="0"/>
          <w:marTop w:val="0"/>
          <w:marBottom w:val="80"/>
          <w:divBdr>
            <w:top w:val="none" w:sz="0" w:space="0" w:color="auto"/>
            <w:left w:val="none" w:sz="0" w:space="0" w:color="auto"/>
            <w:bottom w:val="none" w:sz="0" w:space="0" w:color="auto"/>
            <w:right w:val="none" w:sz="0" w:space="0" w:color="auto"/>
          </w:divBdr>
        </w:div>
        <w:div w:id="712535315">
          <w:marLeft w:val="907"/>
          <w:marRight w:val="0"/>
          <w:marTop w:val="0"/>
          <w:marBottom w:val="80"/>
          <w:divBdr>
            <w:top w:val="none" w:sz="0" w:space="0" w:color="auto"/>
            <w:left w:val="none" w:sz="0" w:space="0" w:color="auto"/>
            <w:bottom w:val="none" w:sz="0" w:space="0" w:color="auto"/>
            <w:right w:val="none" w:sz="0" w:space="0" w:color="auto"/>
          </w:divBdr>
        </w:div>
        <w:div w:id="1048724937">
          <w:marLeft w:val="360"/>
          <w:marRight w:val="0"/>
          <w:marTop w:val="0"/>
          <w:marBottom w:val="80"/>
          <w:divBdr>
            <w:top w:val="none" w:sz="0" w:space="0" w:color="auto"/>
            <w:left w:val="none" w:sz="0" w:space="0" w:color="auto"/>
            <w:bottom w:val="none" w:sz="0" w:space="0" w:color="auto"/>
            <w:right w:val="none" w:sz="0" w:space="0" w:color="auto"/>
          </w:divBdr>
        </w:div>
        <w:div w:id="1104226796">
          <w:marLeft w:val="360"/>
          <w:marRight w:val="0"/>
          <w:marTop w:val="0"/>
          <w:marBottom w:val="80"/>
          <w:divBdr>
            <w:top w:val="none" w:sz="0" w:space="0" w:color="auto"/>
            <w:left w:val="none" w:sz="0" w:space="0" w:color="auto"/>
            <w:bottom w:val="none" w:sz="0" w:space="0" w:color="auto"/>
            <w:right w:val="none" w:sz="0" w:space="0" w:color="auto"/>
          </w:divBdr>
        </w:div>
        <w:div w:id="1122306256">
          <w:marLeft w:val="360"/>
          <w:marRight w:val="0"/>
          <w:marTop w:val="0"/>
          <w:marBottom w:val="80"/>
          <w:divBdr>
            <w:top w:val="none" w:sz="0" w:space="0" w:color="auto"/>
            <w:left w:val="none" w:sz="0" w:space="0" w:color="auto"/>
            <w:bottom w:val="none" w:sz="0" w:space="0" w:color="auto"/>
            <w:right w:val="none" w:sz="0" w:space="0" w:color="auto"/>
          </w:divBdr>
        </w:div>
        <w:div w:id="2050104345">
          <w:marLeft w:val="907"/>
          <w:marRight w:val="0"/>
          <w:marTop w:val="0"/>
          <w:marBottom w:val="80"/>
          <w:divBdr>
            <w:top w:val="none" w:sz="0" w:space="0" w:color="auto"/>
            <w:left w:val="none" w:sz="0" w:space="0" w:color="auto"/>
            <w:bottom w:val="none" w:sz="0" w:space="0" w:color="auto"/>
            <w:right w:val="none" w:sz="0" w:space="0" w:color="auto"/>
          </w:divBdr>
        </w:div>
      </w:divsChild>
    </w:div>
    <w:div w:id="651761598">
      <w:bodyDiv w:val="1"/>
      <w:marLeft w:val="0"/>
      <w:marRight w:val="0"/>
      <w:marTop w:val="0"/>
      <w:marBottom w:val="0"/>
      <w:divBdr>
        <w:top w:val="none" w:sz="0" w:space="0" w:color="auto"/>
        <w:left w:val="none" w:sz="0" w:space="0" w:color="auto"/>
        <w:bottom w:val="none" w:sz="0" w:space="0" w:color="auto"/>
        <w:right w:val="none" w:sz="0" w:space="0" w:color="auto"/>
      </w:divBdr>
      <w:divsChild>
        <w:div w:id="965619803">
          <w:marLeft w:val="1080"/>
          <w:marRight w:val="0"/>
          <w:marTop w:val="100"/>
          <w:marBottom w:val="0"/>
          <w:divBdr>
            <w:top w:val="none" w:sz="0" w:space="0" w:color="auto"/>
            <w:left w:val="none" w:sz="0" w:space="0" w:color="auto"/>
            <w:bottom w:val="none" w:sz="0" w:space="0" w:color="auto"/>
            <w:right w:val="none" w:sz="0" w:space="0" w:color="auto"/>
          </w:divBdr>
        </w:div>
        <w:div w:id="1550722009">
          <w:marLeft w:val="1080"/>
          <w:marRight w:val="0"/>
          <w:marTop w:val="100"/>
          <w:marBottom w:val="0"/>
          <w:divBdr>
            <w:top w:val="none" w:sz="0" w:space="0" w:color="auto"/>
            <w:left w:val="none" w:sz="0" w:space="0" w:color="auto"/>
            <w:bottom w:val="none" w:sz="0" w:space="0" w:color="auto"/>
            <w:right w:val="none" w:sz="0" w:space="0" w:color="auto"/>
          </w:divBdr>
        </w:div>
      </w:divsChild>
    </w:div>
    <w:div w:id="652568025">
      <w:bodyDiv w:val="1"/>
      <w:marLeft w:val="0"/>
      <w:marRight w:val="0"/>
      <w:marTop w:val="0"/>
      <w:marBottom w:val="0"/>
      <w:divBdr>
        <w:top w:val="none" w:sz="0" w:space="0" w:color="auto"/>
        <w:left w:val="none" w:sz="0" w:space="0" w:color="auto"/>
        <w:bottom w:val="none" w:sz="0" w:space="0" w:color="auto"/>
        <w:right w:val="none" w:sz="0" w:space="0" w:color="auto"/>
      </w:divBdr>
    </w:div>
    <w:div w:id="655379615">
      <w:bodyDiv w:val="1"/>
      <w:marLeft w:val="0"/>
      <w:marRight w:val="0"/>
      <w:marTop w:val="0"/>
      <w:marBottom w:val="0"/>
      <w:divBdr>
        <w:top w:val="none" w:sz="0" w:space="0" w:color="auto"/>
        <w:left w:val="none" w:sz="0" w:space="0" w:color="auto"/>
        <w:bottom w:val="none" w:sz="0" w:space="0" w:color="auto"/>
        <w:right w:val="none" w:sz="0" w:space="0" w:color="auto"/>
      </w:divBdr>
      <w:divsChild>
        <w:div w:id="928856656">
          <w:marLeft w:val="1800"/>
          <w:marRight w:val="0"/>
          <w:marTop w:val="82"/>
          <w:marBottom w:val="0"/>
          <w:divBdr>
            <w:top w:val="none" w:sz="0" w:space="0" w:color="auto"/>
            <w:left w:val="none" w:sz="0" w:space="0" w:color="auto"/>
            <w:bottom w:val="none" w:sz="0" w:space="0" w:color="auto"/>
            <w:right w:val="none" w:sz="0" w:space="0" w:color="auto"/>
          </w:divBdr>
        </w:div>
      </w:divsChild>
    </w:div>
    <w:div w:id="656687020">
      <w:bodyDiv w:val="1"/>
      <w:marLeft w:val="0"/>
      <w:marRight w:val="0"/>
      <w:marTop w:val="0"/>
      <w:marBottom w:val="0"/>
      <w:divBdr>
        <w:top w:val="none" w:sz="0" w:space="0" w:color="auto"/>
        <w:left w:val="none" w:sz="0" w:space="0" w:color="auto"/>
        <w:bottom w:val="none" w:sz="0" w:space="0" w:color="auto"/>
        <w:right w:val="none" w:sz="0" w:space="0" w:color="auto"/>
      </w:divBdr>
    </w:div>
    <w:div w:id="656693906">
      <w:bodyDiv w:val="1"/>
      <w:marLeft w:val="0"/>
      <w:marRight w:val="0"/>
      <w:marTop w:val="0"/>
      <w:marBottom w:val="0"/>
      <w:divBdr>
        <w:top w:val="none" w:sz="0" w:space="0" w:color="auto"/>
        <w:left w:val="none" w:sz="0" w:space="0" w:color="auto"/>
        <w:bottom w:val="none" w:sz="0" w:space="0" w:color="auto"/>
        <w:right w:val="none" w:sz="0" w:space="0" w:color="auto"/>
      </w:divBdr>
    </w:div>
    <w:div w:id="657148742">
      <w:bodyDiv w:val="1"/>
      <w:marLeft w:val="0"/>
      <w:marRight w:val="0"/>
      <w:marTop w:val="0"/>
      <w:marBottom w:val="0"/>
      <w:divBdr>
        <w:top w:val="none" w:sz="0" w:space="0" w:color="auto"/>
        <w:left w:val="none" w:sz="0" w:space="0" w:color="auto"/>
        <w:bottom w:val="none" w:sz="0" w:space="0" w:color="auto"/>
        <w:right w:val="none" w:sz="0" w:space="0" w:color="auto"/>
      </w:divBdr>
    </w:div>
    <w:div w:id="672028411">
      <w:bodyDiv w:val="1"/>
      <w:marLeft w:val="0"/>
      <w:marRight w:val="0"/>
      <w:marTop w:val="0"/>
      <w:marBottom w:val="0"/>
      <w:divBdr>
        <w:top w:val="none" w:sz="0" w:space="0" w:color="auto"/>
        <w:left w:val="none" w:sz="0" w:space="0" w:color="auto"/>
        <w:bottom w:val="none" w:sz="0" w:space="0" w:color="auto"/>
        <w:right w:val="none" w:sz="0" w:space="0" w:color="auto"/>
      </w:divBdr>
      <w:divsChild>
        <w:div w:id="25102773">
          <w:marLeft w:val="360"/>
          <w:marRight w:val="0"/>
          <w:marTop w:val="0"/>
          <w:marBottom w:val="120"/>
          <w:divBdr>
            <w:top w:val="none" w:sz="0" w:space="0" w:color="auto"/>
            <w:left w:val="none" w:sz="0" w:space="0" w:color="auto"/>
            <w:bottom w:val="none" w:sz="0" w:space="0" w:color="auto"/>
            <w:right w:val="none" w:sz="0" w:space="0" w:color="auto"/>
          </w:divBdr>
        </w:div>
        <w:div w:id="876938335">
          <w:marLeft w:val="907"/>
          <w:marRight w:val="0"/>
          <w:marTop w:val="0"/>
          <w:marBottom w:val="120"/>
          <w:divBdr>
            <w:top w:val="none" w:sz="0" w:space="0" w:color="auto"/>
            <w:left w:val="none" w:sz="0" w:space="0" w:color="auto"/>
            <w:bottom w:val="none" w:sz="0" w:space="0" w:color="auto"/>
            <w:right w:val="none" w:sz="0" w:space="0" w:color="auto"/>
          </w:divBdr>
        </w:div>
        <w:div w:id="1665621181">
          <w:marLeft w:val="907"/>
          <w:marRight w:val="0"/>
          <w:marTop w:val="0"/>
          <w:marBottom w:val="120"/>
          <w:divBdr>
            <w:top w:val="none" w:sz="0" w:space="0" w:color="auto"/>
            <w:left w:val="none" w:sz="0" w:space="0" w:color="auto"/>
            <w:bottom w:val="none" w:sz="0" w:space="0" w:color="auto"/>
            <w:right w:val="none" w:sz="0" w:space="0" w:color="auto"/>
          </w:divBdr>
        </w:div>
        <w:div w:id="1901674881">
          <w:marLeft w:val="907"/>
          <w:marRight w:val="0"/>
          <w:marTop w:val="0"/>
          <w:marBottom w:val="120"/>
          <w:divBdr>
            <w:top w:val="none" w:sz="0" w:space="0" w:color="auto"/>
            <w:left w:val="none" w:sz="0" w:space="0" w:color="auto"/>
            <w:bottom w:val="none" w:sz="0" w:space="0" w:color="auto"/>
            <w:right w:val="none" w:sz="0" w:space="0" w:color="auto"/>
          </w:divBdr>
        </w:div>
        <w:div w:id="1906641995">
          <w:marLeft w:val="907"/>
          <w:marRight w:val="0"/>
          <w:marTop w:val="0"/>
          <w:marBottom w:val="120"/>
          <w:divBdr>
            <w:top w:val="none" w:sz="0" w:space="0" w:color="auto"/>
            <w:left w:val="none" w:sz="0" w:space="0" w:color="auto"/>
            <w:bottom w:val="none" w:sz="0" w:space="0" w:color="auto"/>
            <w:right w:val="none" w:sz="0" w:space="0" w:color="auto"/>
          </w:divBdr>
        </w:div>
        <w:div w:id="2005163803">
          <w:marLeft w:val="360"/>
          <w:marRight w:val="0"/>
          <w:marTop w:val="0"/>
          <w:marBottom w:val="120"/>
          <w:divBdr>
            <w:top w:val="none" w:sz="0" w:space="0" w:color="auto"/>
            <w:left w:val="none" w:sz="0" w:space="0" w:color="auto"/>
            <w:bottom w:val="none" w:sz="0" w:space="0" w:color="auto"/>
            <w:right w:val="none" w:sz="0" w:space="0" w:color="auto"/>
          </w:divBdr>
        </w:div>
      </w:divsChild>
    </w:div>
    <w:div w:id="673460527">
      <w:bodyDiv w:val="1"/>
      <w:marLeft w:val="0"/>
      <w:marRight w:val="0"/>
      <w:marTop w:val="0"/>
      <w:marBottom w:val="0"/>
      <w:divBdr>
        <w:top w:val="none" w:sz="0" w:space="0" w:color="auto"/>
        <w:left w:val="none" w:sz="0" w:space="0" w:color="auto"/>
        <w:bottom w:val="none" w:sz="0" w:space="0" w:color="auto"/>
        <w:right w:val="none" w:sz="0" w:space="0" w:color="auto"/>
      </w:divBdr>
    </w:div>
    <w:div w:id="688408462">
      <w:bodyDiv w:val="1"/>
      <w:marLeft w:val="0"/>
      <w:marRight w:val="0"/>
      <w:marTop w:val="0"/>
      <w:marBottom w:val="0"/>
      <w:divBdr>
        <w:top w:val="none" w:sz="0" w:space="0" w:color="auto"/>
        <w:left w:val="none" w:sz="0" w:space="0" w:color="auto"/>
        <w:bottom w:val="none" w:sz="0" w:space="0" w:color="auto"/>
        <w:right w:val="none" w:sz="0" w:space="0" w:color="auto"/>
      </w:divBdr>
    </w:div>
    <w:div w:id="689839026">
      <w:bodyDiv w:val="1"/>
      <w:marLeft w:val="0"/>
      <w:marRight w:val="0"/>
      <w:marTop w:val="0"/>
      <w:marBottom w:val="0"/>
      <w:divBdr>
        <w:top w:val="none" w:sz="0" w:space="0" w:color="auto"/>
        <w:left w:val="none" w:sz="0" w:space="0" w:color="auto"/>
        <w:bottom w:val="none" w:sz="0" w:space="0" w:color="auto"/>
        <w:right w:val="none" w:sz="0" w:space="0" w:color="auto"/>
      </w:divBdr>
      <w:divsChild>
        <w:div w:id="137496096">
          <w:marLeft w:val="1166"/>
          <w:marRight w:val="0"/>
          <w:marTop w:val="86"/>
          <w:marBottom w:val="0"/>
          <w:divBdr>
            <w:top w:val="none" w:sz="0" w:space="0" w:color="auto"/>
            <w:left w:val="none" w:sz="0" w:space="0" w:color="auto"/>
            <w:bottom w:val="none" w:sz="0" w:space="0" w:color="auto"/>
            <w:right w:val="none" w:sz="0" w:space="0" w:color="auto"/>
          </w:divBdr>
        </w:div>
        <w:div w:id="158497458">
          <w:marLeft w:val="1166"/>
          <w:marRight w:val="0"/>
          <w:marTop w:val="86"/>
          <w:marBottom w:val="0"/>
          <w:divBdr>
            <w:top w:val="none" w:sz="0" w:space="0" w:color="auto"/>
            <w:left w:val="none" w:sz="0" w:space="0" w:color="auto"/>
            <w:bottom w:val="none" w:sz="0" w:space="0" w:color="auto"/>
            <w:right w:val="none" w:sz="0" w:space="0" w:color="auto"/>
          </w:divBdr>
        </w:div>
        <w:div w:id="648751968">
          <w:marLeft w:val="1166"/>
          <w:marRight w:val="0"/>
          <w:marTop w:val="86"/>
          <w:marBottom w:val="0"/>
          <w:divBdr>
            <w:top w:val="none" w:sz="0" w:space="0" w:color="auto"/>
            <w:left w:val="none" w:sz="0" w:space="0" w:color="auto"/>
            <w:bottom w:val="none" w:sz="0" w:space="0" w:color="auto"/>
            <w:right w:val="none" w:sz="0" w:space="0" w:color="auto"/>
          </w:divBdr>
        </w:div>
        <w:div w:id="675614090">
          <w:marLeft w:val="547"/>
          <w:marRight w:val="0"/>
          <w:marTop w:val="240"/>
          <w:marBottom w:val="0"/>
          <w:divBdr>
            <w:top w:val="none" w:sz="0" w:space="0" w:color="auto"/>
            <w:left w:val="none" w:sz="0" w:space="0" w:color="auto"/>
            <w:bottom w:val="none" w:sz="0" w:space="0" w:color="auto"/>
            <w:right w:val="none" w:sz="0" w:space="0" w:color="auto"/>
          </w:divBdr>
        </w:div>
        <w:div w:id="1054621572">
          <w:marLeft w:val="547"/>
          <w:marRight w:val="0"/>
          <w:marTop w:val="240"/>
          <w:marBottom w:val="0"/>
          <w:divBdr>
            <w:top w:val="none" w:sz="0" w:space="0" w:color="auto"/>
            <w:left w:val="none" w:sz="0" w:space="0" w:color="auto"/>
            <w:bottom w:val="none" w:sz="0" w:space="0" w:color="auto"/>
            <w:right w:val="none" w:sz="0" w:space="0" w:color="auto"/>
          </w:divBdr>
        </w:div>
        <w:div w:id="1224827526">
          <w:marLeft w:val="1166"/>
          <w:marRight w:val="0"/>
          <w:marTop w:val="86"/>
          <w:marBottom w:val="0"/>
          <w:divBdr>
            <w:top w:val="none" w:sz="0" w:space="0" w:color="auto"/>
            <w:left w:val="none" w:sz="0" w:space="0" w:color="auto"/>
            <w:bottom w:val="none" w:sz="0" w:space="0" w:color="auto"/>
            <w:right w:val="none" w:sz="0" w:space="0" w:color="auto"/>
          </w:divBdr>
        </w:div>
        <w:div w:id="2045132080">
          <w:marLeft w:val="547"/>
          <w:marRight w:val="0"/>
          <w:marTop w:val="240"/>
          <w:marBottom w:val="0"/>
          <w:divBdr>
            <w:top w:val="none" w:sz="0" w:space="0" w:color="auto"/>
            <w:left w:val="none" w:sz="0" w:space="0" w:color="auto"/>
            <w:bottom w:val="none" w:sz="0" w:space="0" w:color="auto"/>
            <w:right w:val="none" w:sz="0" w:space="0" w:color="auto"/>
          </w:divBdr>
        </w:div>
      </w:divsChild>
    </w:div>
    <w:div w:id="704477602">
      <w:bodyDiv w:val="1"/>
      <w:marLeft w:val="0"/>
      <w:marRight w:val="0"/>
      <w:marTop w:val="0"/>
      <w:marBottom w:val="0"/>
      <w:divBdr>
        <w:top w:val="none" w:sz="0" w:space="0" w:color="auto"/>
        <w:left w:val="none" w:sz="0" w:space="0" w:color="auto"/>
        <w:bottom w:val="none" w:sz="0" w:space="0" w:color="auto"/>
        <w:right w:val="none" w:sz="0" w:space="0" w:color="auto"/>
      </w:divBdr>
    </w:div>
    <w:div w:id="707224478">
      <w:bodyDiv w:val="1"/>
      <w:marLeft w:val="0"/>
      <w:marRight w:val="0"/>
      <w:marTop w:val="0"/>
      <w:marBottom w:val="0"/>
      <w:divBdr>
        <w:top w:val="none" w:sz="0" w:space="0" w:color="auto"/>
        <w:left w:val="none" w:sz="0" w:space="0" w:color="auto"/>
        <w:bottom w:val="none" w:sz="0" w:space="0" w:color="auto"/>
        <w:right w:val="none" w:sz="0" w:space="0" w:color="auto"/>
      </w:divBdr>
      <w:divsChild>
        <w:div w:id="1692029632">
          <w:marLeft w:val="648"/>
          <w:marRight w:val="0"/>
          <w:marTop w:val="48"/>
          <w:marBottom w:val="0"/>
          <w:divBdr>
            <w:top w:val="none" w:sz="0" w:space="0" w:color="auto"/>
            <w:left w:val="none" w:sz="0" w:space="0" w:color="auto"/>
            <w:bottom w:val="none" w:sz="0" w:space="0" w:color="auto"/>
            <w:right w:val="none" w:sz="0" w:space="0" w:color="auto"/>
          </w:divBdr>
        </w:div>
      </w:divsChild>
    </w:div>
    <w:div w:id="711423667">
      <w:bodyDiv w:val="1"/>
      <w:marLeft w:val="0"/>
      <w:marRight w:val="0"/>
      <w:marTop w:val="0"/>
      <w:marBottom w:val="0"/>
      <w:divBdr>
        <w:top w:val="none" w:sz="0" w:space="0" w:color="auto"/>
        <w:left w:val="none" w:sz="0" w:space="0" w:color="auto"/>
        <w:bottom w:val="none" w:sz="0" w:space="0" w:color="auto"/>
        <w:right w:val="none" w:sz="0" w:space="0" w:color="auto"/>
      </w:divBdr>
    </w:div>
    <w:div w:id="719718046">
      <w:bodyDiv w:val="1"/>
      <w:marLeft w:val="0"/>
      <w:marRight w:val="0"/>
      <w:marTop w:val="0"/>
      <w:marBottom w:val="0"/>
      <w:divBdr>
        <w:top w:val="none" w:sz="0" w:space="0" w:color="auto"/>
        <w:left w:val="none" w:sz="0" w:space="0" w:color="auto"/>
        <w:bottom w:val="none" w:sz="0" w:space="0" w:color="auto"/>
        <w:right w:val="none" w:sz="0" w:space="0" w:color="auto"/>
      </w:divBdr>
      <w:divsChild>
        <w:div w:id="280918913">
          <w:marLeft w:val="1181"/>
          <w:marRight w:val="0"/>
          <w:marTop w:val="80"/>
          <w:marBottom w:val="0"/>
          <w:divBdr>
            <w:top w:val="none" w:sz="0" w:space="0" w:color="auto"/>
            <w:left w:val="none" w:sz="0" w:space="0" w:color="auto"/>
            <w:bottom w:val="none" w:sz="0" w:space="0" w:color="auto"/>
            <w:right w:val="none" w:sz="0" w:space="0" w:color="auto"/>
          </w:divBdr>
        </w:div>
        <w:div w:id="1463647507">
          <w:marLeft w:val="1181"/>
          <w:marRight w:val="0"/>
          <w:marTop w:val="80"/>
          <w:marBottom w:val="0"/>
          <w:divBdr>
            <w:top w:val="none" w:sz="0" w:space="0" w:color="auto"/>
            <w:left w:val="none" w:sz="0" w:space="0" w:color="auto"/>
            <w:bottom w:val="none" w:sz="0" w:space="0" w:color="auto"/>
            <w:right w:val="none" w:sz="0" w:space="0" w:color="auto"/>
          </w:divBdr>
        </w:div>
        <w:div w:id="1653027432">
          <w:marLeft w:val="1181"/>
          <w:marRight w:val="0"/>
          <w:marTop w:val="80"/>
          <w:marBottom w:val="0"/>
          <w:divBdr>
            <w:top w:val="none" w:sz="0" w:space="0" w:color="auto"/>
            <w:left w:val="none" w:sz="0" w:space="0" w:color="auto"/>
            <w:bottom w:val="none" w:sz="0" w:space="0" w:color="auto"/>
            <w:right w:val="none" w:sz="0" w:space="0" w:color="auto"/>
          </w:divBdr>
        </w:div>
        <w:div w:id="1945460425">
          <w:marLeft w:val="1181"/>
          <w:marRight w:val="0"/>
          <w:marTop w:val="80"/>
          <w:marBottom w:val="0"/>
          <w:divBdr>
            <w:top w:val="none" w:sz="0" w:space="0" w:color="auto"/>
            <w:left w:val="none" w:sz="0" w:space="0" w:color="auto"/>
            <w:bottom w:val="none" w:sz="0" w:space="0" w:color="auto"/>
            <w:right w:val="none" w:sz="0" w:space="0" w:color="auto"/>
          </w:divBdr>
        </w:div>
      </w:divsChild>
    </w:div>
    <w:div w:id="723019180">
      <w:bodyDiv w:val="1"/>
      <w:marLeft w:val="0"/>
      <w:marRight w:val="0"/>
      <w:marTop w:val="0"/>
      <w:marBottom w:val="0"/>
      <w:divBdr>
        <w:top w:val="none" w:sz="0" w:space="0" w:color="auto"/>
        <w:left w:val="none" w:sz="0" w:space="0" w:color="auto"/>
        <w:bottom w:val="none" w:sz="0" w:space="0" w:color="auto"/>
        <w:right w:val="none" w:sz="0" w:space="0" w:color="auto"/>
      </w:divBdr>
    </w:div>
    <w:div w:id="746001513">
      <w:bodyDiv w:val="1"/>
      <w:marLeft w:val="0"/>
      <w:marRight w:val="0"/>
      <w:marTop w:val="0"/>
      <w:marBottom w:val="0"/>
      <w:divBdr>
        <w:top w:val="none" w:sz="0" w:space="0" w:color="auto"/>
        <w:left w:val="none" w:sz="0" w:space="0" w:color="auto"/>
        <w:bottom w:val="none" w:sz="0" w:space="0" w:color="auto"/>
        <w:right w:val="none" w:sz="0" w:space="0" w:color="auto"/>
      </w:divBdr>
    </w:div>
    <w:div w:id="757561402">
      <w:bodyDiv w:val="1"/>
      <w:marLeft w:val="0"/>
      <w:marRight w:val="0"/>
      <w:marTop w:val="0"/>
      <w:marBottom w:val="0"/>
      <w:divBdr>
        <w:top w:val="none" w:sz="0" w:space="0" w:color="auto"/>
        <w:left w:val="none" w:sz="0" w:space="0" w:color="auto"/>
        <w:bottom w:val="none" w:sz="0" w:space="0" w:color="auto"/>
        <w:right w:val="none" w:sz="0" w:space="0" w:color="auto"/>
      </w:divBdr>
    </w:div>
    <w:div w:id="769393034">
      <w:bodyDiv w:val="1"/>
      <w:marLeft w:val="0"/>
      <w:marRight w:val="0"/>
      <w:marTop w:val="0"/>
      <w:marBottom w:val="0"/>
      <w:divBdr>
        <w:top w:val="none" w:sz="0" w:space="0" w:color="auto"/>
        <w:left w:val="none" w:sz="0" w:space="0" w:color="auto"/>
        <w:bottom w:val="none" w:sz="0" w:space="0" w:color="auto"/>
        <w:right w:val="none" w:sz="0" w:space="0" w:color="auto"/>
      </w:divBdr>
      <w:divsChild>
        <w:div w:id="27335730">
          <w:marLeft w:val="1166"/>
          <w:marRight w:val="0"/>
          <w:marTop w:val="67"/>
          <w:marBottom w:val="0"/>
          <w:divBdr>
            <w:top w:val="none" w:sz="0" w:space="0" w:color="auto"/>
            <w:left w:val="none" w:sz="0" w:space="0" w:color="auto"/>
            <w:bottom w:val="none" w:sz="0" w:space="0" w:color="auto"/>
            <w:right w:val="none" w:sz="0" w:space="0" w:color="auto"/>
          </w:divBdr>
        </w:div>
        <w:div w:id="320668060">
          <w:marLeft w:val="547"/>
          <w:marRight w:val="0"/>
          <w:marTop w:val="86"/>
          <w:marBottom w:val="0"/>
          <w:divBdr>
            <w:top w:val="none" w:sz="0" w:space="0" w:color="auto"/>
            <w:left w:val="none" w:sz="0" w:space="0" w:color="auto"/>
            <w:bottom w:val="none" w:sz="0" w:space="0" w:color="auto"/>
            <w:right w:val="none" w:sz="0" w:space="0" w:color="auto"/>
          </w:divBdr>
        </w:div>
        <w:div w:id="420376031">
          <w:marLeft w:val="1166"/>
          <w:marRight w:val="0"/>
          <w:marTop w:val="67"/>
          <w:marBottom w:val="0"/>
          <w:divBdr>
            <w:top w:val="none" w:sz="0" w:space="0" w:color="auto"/>
            <w:left w:val="none" w:sz="0" w:space="0" w:color="auto"/>
            <w:bottom w:val="none" w:sz="0" w:space="0" w:color="auto"/>
            <w:right w:val="none" w:sz="0" w:space="0" w:color="auto"/>
          </w:divBdr>
        </w:div>
        <w:div w:id="772163231">
          <w:marLeft w:val="1166"/>
          <w:marRight w:val="0"/>
          <w:marTop w:val="67"/>
          <w:marBottom w:val="0"/>
          <w:divBdr>
            <w:top w:val="none" w:sz="0" w:space="0" w:color="auto"/>
            <w:left w:val="none" w:sz="0" w:space="0" w:color="auto"/>
            <w:bottom w:val="none" w:sz="0" w:space="0" w:color="auto"/>
            <w:right w:val="none" w:sz="0" w:space="0" w:color="auto"/>
          </w:divBdr>
        </w:div>
        <w:div w:id="851145346">
          <w:marLeft w:val="547"/>
          <w:marRight w:val="0"/>
          <w:marTop w:val="86"/>
          <w:marBottom w:val="0"/>
          <w:divBdr>
            <w:top w:val="none" w:sz="0" w:space="0" w:color="auto"/>
            <w:left w:val="none" w:sz="0" w:space="0" w:color="auto"/>
            <w:bottom w:val="none" w:sz="0" w:space="0" w:color="auto"/>
            <w:right w:val="none" w:sz="0" w:space="0" w:color="auto"/>
          </w:divBdr>
        </w:div>
        <w:div w:id="893152984">
          <w:marLeft w:val="547"/>
          <w:marRight w:val="0"/>
          <w:marTop w:val="86"/>
          <w:marBottom w:val="0"/>
          <w:divBdr>
            <w:top w:val="none" w:sz="0" w:space="0" w:color="auto"/>
            <w:left w:val="none" w:sz="0" w:space="0" w:color="auto"/>
            <w:bottom w:val="none" w:sz="0" w:space="0" w:color="auto"/>
            <w:right w:val="none" w:sz="0" w:space="0" w:color="auto"/>
          </w:divBdr>
        </w:div>
        <w:div w:id="1056509184">
          <w:marLeft w:val="1166"/>
          <w:marRight w:val="0"/>
          <w:marTop w:val="67"/>
          <w:marBottom w:val="0"/>
          <w:divBdr>
            <w:top w:val="none" w:sz="0" w:space="0" w:color="auto"/>
            <w:left w:val="none" w:sz="0" w:space="0" w:color="auto"/>
            <w:bottom w:val="none" w:sz="0" w:space="0" w:color="auto"/>
            <w:right w:val="none" w:sz="0" w:space="0" w:color="auto"/>
          </w:divBdr>
        </w:div>
        <w:div w:id="1309285394">
          <w:marLeft w:val="1166"/>
          <w:marRight w:val="0"/>
          <w:marTop w:val="67"/>
          <w:marBottom w:val="0"/>
          <w:divBdr>
            <w:top w:val="none" w:sz="0" w:space="0" w:color="auto"/>
            <w:left w:val="none" w:sz="0" w:space="0" w:color="auto"/>
            <w:bottom w:val="none" w:sz="0" w:space="0" w:color="auto"/>
            <w:right w:val="none" w:sz="0" w:space="0" w:color="auto"/>
          </w:divBdr>
        </w:div>
        <w:div w:id="1396926890">
          <w:marLeft w:val="1166"/>
          <w:marRight w:val="0"/>
          <w:marTop w:val="67"/>
          <w:marBottom w:val="0"/>
          <w:divBdr>
            <w:top w:val="none" w:sz="0" w:space="0" w:color="auto"/>
            <w:left w:val="none" w:sz="0" w:space="0" w:color="auto"/>
            <w:bottom w:val="none" w:sz="0" w:space="0" w:color="auto"/>
            <w:right w:val="none" w:sz="0" w:space="0" w:color="auto"/>
          </w:divBdr>
        </w:div>
        <w:div w:id="1631593580">
          <w:marLeft w:val="1166"/>
          <w:marRight w:val="0"/>
          <w:marTop w:val="67"/>
          <w:marBottom w:val="0"/>
          <w:divBdr>
            <w:top w:val="none" w:sz="0" w:space="0" w:color="auto"/>
            <w:left w:val="none" w:sz="0" w:space="0" w:color="auto"/>
            <w:bottom w:val="none" w:sz="0" w:space="0" w:color="auto"/>
            <w:right w:val="none" w:sz="0" w:space="0" w:color="auto"/>
          </w:divBdr>
        </w:div>
        <w:div w:id="2046833076">
          <w:marLeft w:val="547"/>
          <w:marRight w:val="0"/>
          <w:marTop w:val="86"/>
          <w:marBottom w:val="0"/>
          <w:divBdr>
            <w:top w:val="none" w:sz="0" w:space="0" w:color="auto"/>
            <w:left w:val="none" w:sz="0" w:space="0" w:color="auto"/>
            <w:bottom w:val="none" w:sz="0" w:space="0" w:color="auto"/>
            <w:right w:val="none" w:sz="0" w:space="0" w:color="auto"/>
          </w:divBdr>
        </w:div>
      </w:divsChild>
    </w:div>
    <w:div w:id="774902681">
      <w:bodyDiv w:val="1"/>
      <w:marLeft w:val="0"/>
      <w:marRight w:val="0"/>
      <w:marTop w:val="0"/>
      <w:marBottom w:val="0"/>
      <w:divBdr>
        <w:top w:val="none" w:sz="0" w:space="0" w:color="auto"/>
        <w:left w:val="none" w:sz="0" w:space="0" w:color="auto"/>
        <w:bottom w:val="none" w:sz="0" w:space="0" w:color="auto"/>
        <w:right w:val="none" w:sz="0" w:space="0" w:color="auto"/>
      </w:divBdr>
      <w:divsChild>
        <w:div w:id="82606667">
          <w:marLeft w:val="0"/>
          <w:marRight w:val="0"/>
          <w:marTop w:val="0"/>
          <w:marBottom w:val="0"/>
          <w:divBdr>
            <w:top w:val="none" w:sz="0" w:space="0" w:color="auto"/>
            <w:left w:val="none" w:sz="0" w:space="0" w:color="auto"/>
            <w:bottom w:val="none" w:sz="0" w:space="0" w:color="auto"/>
            <w:right w:val="none" w:sz="0" w:space="0" w:color="auto"/>
          </w:divBdr>
        </w:div>
        <w:div w:id="107941441">
          <w:marLeft w:val="0"/>
          <w:marRight w:val="0"/>
          <w:marTop w:val="0"/>
          <w:marBottom w:val="0"/>
          <w:divBdr>
            <w:top w:val="none" w:sz="0" w:space="0" w:color="auto"/>
            <w:left w:val="none" w:sz="0" w:space="0" w:color="auto"/>
            <w:bottom w:val="none" w:sz="0" w:space="0" w:color="auto"/>
            <w:right w:val="none" w:sz="0" w:space="0" w:color="auto"/>
          </w:divBdr>
        </w:div>
        <w:div w:id="110905883">
          <w:marLeft w:val="0"/>
          <w:marRight w:val="0"/>
          <w:marTop w:val="0"/>
          <w:marBottom w:val="0"/>
          <w:divBdr>
            <w:top w:val="none" w:sz="0" w:space="0" w:color="auto"/>
            <w:left w:val="none" w:sz="0" w:space="0" w:color="auto"/>
            <w:bottom w:val="none" w:sz="0" w:space="0" w:color="auto"/>
            <w:right w:val="none" w:sz="0" w:space="0" w:color="auto"/>
          </w:divBdr>
        </w:div>
        <w:div w:id="216403887">
          <w:marLeft w:val="0"/>
          <w:marRight w:val="0"/>
          <w:marTop w:val="0"/>
          <w:marBottom w:val="0"/>
          <w:divBdr>
            <w:top w:val="none" w:sz="0" w:space="0" w:color="auto"/>
            <w:left w:val="none" w:sz="0" w:space="0" w:color="auto"/>
            <w:bottom w:val="none" w:sz="0" w:space="0" w:color="auto"/>
            <w:right w:val="none" w:sz="0" w:space="0" w:color="auto"/>
          </w:divBdr>
        </w:div>
        <w:div w:id="244265455">
          <w:marLeft w:val="0"/>
          <w:marRight w:val="0"/>
          <w:marTop w:val="0"/>
          <w:marBottom w:val="0"/>
          <w:divBdr>
            <w:top w:val="none" w:sz="0" w:space="0" w:color="auto"/>
            <w:left w:val="none" w:sz="0" w:space="0" w:color="auto"/>
            <w:bottom w:val="none" w:sz="0" w:space="0" w:color="auto"/>
            <w:right w:val="none" w:sz="0" w:space="0" w:color="auto"/>
          </w:divBdr>
        </w:div>
        <w:div w:id="284391117">
          <w:marLeft w:val="0"/>
          <w:marRight w:val="0"/>
          <w:marTop w:val="0"/>
          <w:marBottom w:val="0"/>
          <w:divBdr>
            <w:top w:val="none" w:sz="0" w:space="0" w:color="auto"/>
            <w:left w:val="none" w:sz="0" w:space="0" w:color="auto"/>
            <w:bottom w:val="none" w:sz="0" w:space="0" w:color="auto"/>
            <w:right w:val="none" w:sz="0" w:space="0" w:color="auto"/>
          </w:divBdr>
        </w:div>
        <w:div w:id="735711423">
          <w:marLeft w:val="0"/>
          <w:marRight w:val="0"/>
          <w:marTop w:val="0"/>
          <w:marBottom w:val="0"/>
          <w:divBdr>
            <w:top w:val="none" w:sz="0" w:space="0" w:color="auto"/>
            <w:left w:val="none" w:sz="0" w:space="0" w:color="auto"/>
            <w:bottom w:val="none" w:sz="0" w:space="0" w:color="auto"/>
            <w:right w:val="none" w:sz="0" w:space="0" w:color="auto"/>
          </w:divBdr>
        </w:div>
        <w:div w:id="821852068">
          <w:marLeft w:val="0"/>
          <w:marRight w:val="0"/>
          <w:marTop w:val="0"/>
          <w:marBottom w:val="0"/>
          <w:divBdr>
            <w:top w:val="none" w:sz="0" w:space="0" w:color="auto"/>
            <w:left w:val="none" w:sz="0" w:space="0" w:color="auto"/>
            <w:bottom w:val="none" w:sz="0" w:space="0" w:color="auto"/>
            <w:right w:val="none" w:sz="0" w:space="0" w:color="auto"/>
          </w:divBdr>
        </w:div>
        <w:div w:id="1089961822">
          <w:marLeft w:val="0"/>
          <w:marRight w:val="0"/>
          <w:marTop w:val="0"/>
          <w:marBottom w:val="0"/>
          <w:divBdr>
            <w:top w:val="none" w:sz="0" w:space="0" w:color="auto"/>
            <w:left w:val="none" w:sz="0" w:space="0" w:color="auto"/>
            <w:bottom w:val="none" w:sz="0" w:space="0" w:color="auto"/>
            <w:right w:val="none" w:sz="0" w:space="0" w:color="auto"/>
          </w:divBdr>
        </w:div>
        <w:div w:id="1123888186">
          <w:marLeft w:val="0"/>
          <w:marRight w:val="0"/>
          <w:marTop w:val="0"/>
          <w:marBottom w:val="0"/>
          <w:divBdr>
            <w:top w:val="none" w:sz="0" w:space="0" w:color="auto"/>
            <w:left w:val="none" w:sz="0" w:space="0" w:color="auto"/>
            <w:bottom w:val="none" w:sz="0" w:space="0" w:color="auto"/>
            <w:right w:val="none" w:sz="0" w:space="0" w:color="auto"/>
          </w:divBdr>
        </w:div>
        <w:div w:id="1209679553">
          <w:marLeft w:val="0"/>
          <w:marRight w:val="0"/>
          <w:marTop w:val="0"/>
          <w:marBottom w:val="0"/>
          <w:divBdr>
            <w:top w:val="none" w:sz="0" w:space="0" w:color="auto"/>
            <w:left w:val="none" w:sz="0" w:space="0" w:color="auto"/>
            <w:bottom w:val="none" w:sz="0" w:space="0" w:color="auto"/>
            <w:right w:val="none" w:sz="0" w:space="0" w:color="auto"/>
          </w:divBdr>
        </w:div>
        <w:div w:id="1358891197">
          <w:marLeft w:val="0"/>
          <w:marRight w:val="0"/>
          <w:marTop w:val="0"/>
          <w:marBottom w:val="0"/>
          <w:divBdr>
            <w:top w:val="none" w:sz="0" w:space="0" w:color="auto"/>
            <w:left w:val="none" w:sz="0" w:space="0" w:color="auto"/>
            <w:bottom w:val="none" w:sz="0" w:space="0" w:color="auto"/>
            <w:right w:val="none" w:sz="0" w:space="0" w:color="auto"/>
          </w:divBdr>
        </w:div>
        <w:div w:id="1411655276">
          <w:marLeft w:val="0"/>
          <w:marRight w:val="0"/>
          <w:marTop w:val="0"/>
          <w:marBottom w:val="0"/>
          <w:divBdr>
            <w:top w:val="none" w:sz="0" w:space="0" w:color="auto"/>
            <w:left w:val="none" w:sz="0" w:space="0" w:color="auto"/>
            <w:bottom w:val="none" w:sz="0" w:space="0" w:color="auto"/>
            <w:right w:val="none" w:sz="0" w:space="0" w:color="auto"/>
          </w:divBdr>
        </w:div>
        <w:div w:id="1885869124">
          <w:marLeft w:val="0"/>
          <w:marRight w:val="0"/>
          <w:marTop w:val="0"/>
          <w:marBottom w:val="0"/>
          <w:divBdr>
            <w:top w:val="none" w:sz="0" w:space="0" w:color="auto"/>
            <w:left w:val="none" w:sz="0" w:space="0" w:color="auto"/>
            <w:bottom w:val="none" w:sz="0" w:space="0" w:color="auto"/>
            <w:right w:val="none" w:sz="0" w:space="0" w:color="auto"/>
          </w:divBdr>
        </w:div>
        <w:div w:id="1967587900">
          <w:marLeft w:val="0"/>
          <w:marRight w:val="0"/>
          <w:marTop w:val="0"/>
          <w:marBottom w:val="0"/>
          <w:divBdr>
            <w:top w:val="none" w:sz="0" w:space="0" w:color="auto"/>
            <w:left w:val="none" w:sz="0" w:space="0" w:color="auto"/>
            <w:bottom w:val="none" w:sz="0" w:space="0" w:color="auto"/>
            <w:right w:val="none" w:sz="0" w:space="0" w:color="auto"/>
          </w:divBdr>
        </w:div>
      </w:divsChild>
    </w:div>
    <w:div w:id="781267599">
      <w:bodyDiv w:val="1"/>
      <w:marLeft w:val="0"/>
      <w:marRight w:val="0"/>
      <w:marTop w:val="0"/>
      <w:marBottom w:val="0"/>
      <w:divBdr>
        <w:top w:val="none" w:sz="0" w:space="0" w:color="auto"/>
        <w:left w:val="none" w:sz="0" w:space="0" w:color="auto"/>
        <w:bottom w:val="none" w:sz="0" w:space="0" w:color="auto"/>
        <w:right w:val="none" w:sz="0" w:space="0" w:color="auto"/>
      </w:divBdr>
      <w:divsChild>
        <w:div w:id="623536186">
          <w:marLeft w:val="0"/>
          <w:marRight w:val="0"/>
          <w:marTop w:val="0"/>
          <w:marBottom w:val="0"/>
          <w:divBdr>
            <w:top w:val="none" w:sz="0" w:space="0" w:color="auto"/>
            <w:left w:val="none" w:sz="0" w:space="0" w:color="auto"/>
            <w:bottom w:val="none" w:sz="0" w:space="0" w:color="auto"/>
            <w:right w:val="none" w:sz="0" w:space="0" w:color="auto"/>
          </w:divBdr>
          <w:divsChild>
            <w:div w:id="1769887140">
              <w:marLeft w:val="0"/>
              <w:marRight w:val="0"/>
              <w:marTop w:val="0"/>
              <w:marBottom w:val="0"/>
              <w:divBdr>
                <w:top w:val="none" w:sz="0" w:space="0" w:color="auto"/>
                <w:left w:val="none" w:sz="0" w:space="0" w:color="auto"/>
                <w:bottom w:val="none" w:sz="0" w:space="0" w:color="auto"/>
                <w:right w:val="none" w:sz="0" w:space="0" w:color="auto"/>
              </w:divBdr>
              <w:divsChild>
                <w:div w:id="1796213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3114404">
      <w:bodyDiv w:val="1"/>
      <w:marLeft w:val="0"/>
      <w:marRight w:val="0"/>
      <w:marTop w:val="0"/>
      <w:marBottom w:val="0"/>
      <w:divBdr>
        <w:top w:val="none" w:sz="0" w:space="0" w:color="auto"/>
        <w:left w:val="none" w:sz="0" w:space="0" w:color="auto"/>
        <w:bottom w:val="none" w:sz="0" w:space="0" w:color="auto"/>
        <w:right w:val="none" w:sz="0" w:space="0" w:color="auto"/>
      </w:divBdr>
    </w:div>
    <w:div w:id="790782810">
      <w:bodyDiv w:val="1"/>
      <w:marLeft w:val="0"/>
      <w:marRight w:val="0"/>
      <w:marTop w:val="0"/>
      <w:marBottom w:val="0"/>
      <w:divBdr>
        <w:top w:val="none" w:sz="0" w:space="0" w:color="auto"/>
        <w:left w:val="none" w:sz="0" w:space="0" w:color="auto"/>
        <w:bottom w:val="none" w:sz="0" w:space="0" w:color="auto"/>
        <w:right w:val="none" w:sz="0" w:space="0" w:color="auto"/>
      </w:divBdr>
    </w:div>
    <w:div w:id="792141502">
      <w:bodyDiv w:val="1"/>
      <w:marLeft w:val="0"/>
      <w:marRight w:val="0"/>
      <w:marTop w:val="0"/>
      <w:marBottom w:val="0"/>
      <w:divBdr>
        <w:top w:val="none" w:sz="0" w:space="0" w:color="auto"/>
        <w:left w:val="none" w:sz="0" w:space="0" w:color="auto"/>
        <w:bottom w:val="none" w:sz="0" w:space="0" w:color="auto"/>
        <w:right w:val="none" w:sz="0" w:space="0" w:color="auto"/>
      </w:divBdr>
      <w:divsChild>
        <w:div w:id="712920740">
          <w:marLeft w:val="360"/>
          <w:marRight w:val="0"/>
          <w:marTop w:val="120"/>
          <w:marBottom w:val="0"/>
          <w:divBdr>
            <w:top w:val="none" w:sz="0" w:space="0" w:color="auto"/>
            <w:left w:val="none" w:sz="0" w:space="0" w:color="auto"/>
            <w:bottom w:val="none" w:sz="0" w:space="0" w:color="auto"/>
            <w:right w:val="none" w:sz="0" w:space="0" w:color="auto"/>
          </w:divBdr>
        </w:div>
        <w:div w:id="1265455117">
          <w:marLeft w:val="360"/>
          <w:marRight w:val="0"/>
          <w:marTop w:val="120"/>
          <w:marBottom w:val="0"/>
          <w:divBdr>
            <w:top w:val="none" w:sz="0" w:space="0" w:color="auto"/>
            <w:left w:val="none" w:sz="0" w:space="0" w:color="auto"/>
            <w:bottom w:val="none" w:sz="0" w:space="0" w:color="auto"/>
            <w:right w:val="none" w:sz="0" w:space="0" w:color="auto"/>
          </w:divBdr>
        </w:div>
      </w:divsChild>
    </w:div>
    <w:div w:id="795753127">
      <w:bodyDiv w:val="1"/>
      <w:marLeft w:val="0"/>
      <w:marRight w:val="0"/>
      <w:marTop w:val="0"/>
      <w:marBottom w:val="0"/>
      <w:divBdr>
        <w:top w:val="none" w:sz="0" w:space="0" w:color="auto"/>
        <w:left w:val="none" w:sz="0" w:space="0" w:color="auto"/>
        <w:bottom w:val="none" w:sz="0" w:space="0" w:color="auto"/>
        <w:right w:val="none" w:sz="0" w:space="0" w:color="auto"/>
      </w:divBdr>
    </w:div>
    <w:div w:id="804662697">
      <w:bodyDiv w:val="1"/>
      <w:marLeft w:val="0"/>
      <w:marRight w:val="0"/>
      <w:marTop w:val="0"/>
      <w:marBottom w:val="0"/>
      <w:divBdr>
        <w:top w:val="none" w:sz="0" w:space="0" w:color="auto"/>
        <w:left w:val="none" w:sz="0" w:space="0" w:color="auto"/>
        <w:bottom w:val="none" w:sz="0" w:space="0" w:color="auto"/>
        <w:right w:val="none" w:sz="0" w:space="0" w:color="auto"/>
      </w:divBdr>
    </w:div>
    <w:div w:id="816336601">
      <w:bodyDiv w:val="1"/>
      <w:marLeft w:val="0"/>
      <w:marRight w:val="0"/>
      <w:marTop w:val="0"/>
      <w:marBottom w:val="0"/>
      <w:divBdr>
        <w:top w:val="none" w:sz="0" w:space="0" w:color="auto"/>
        <w:left w:val="none" w:sz="0" w:space="0" w:color="auto"/>
        <w:bottom w:val="none" w:sz="0" w:space="0" w:color="auto"/>
        <w:right w:val="none" w:sz="0" w:space="0" w:color="auto"/>
      </w:divBdr>
    </w:div>
    <w:div w:id="819032414">
      <w:bodyDiv w:val="1"/>
      <w:marLeft w:val="0"/>
      <w:marRight w:val="0"/>
      <w:marTop w:val="0"/>
      <w:marBottom w:val="0"/>
      <w:divBdr>
        <w:top w:val="none" w:sz="0" w:space="0" w:color="auto"/>
        <w:left w:val="none" w:sz="0" w:space="0" w:color="auto"/>
        <w:bottom w:val="none" w:sz="0" w:space="0" w:color="auto"/>
        <w:right w:val="none" w:sz="0" w:space="0" w:color="auto"/>
      </w:divBdr>
    </w:div>
    <w:div w:id="820079272">
      <w:bodyDiv w:val="1"/>
      <w:marLeft w:val="0"/>
      <w:marRight w:val="0"/>
      <w:marTop w:val="0"/>
      <w:marBottom w:val="0"/>
      <w:divBdr>
        <w:top w:val="none" w:sz="0" w:space="0" w:color="auto"/>
        <w:left w:val="none" w:sz="0" w:space="0" w:color="auto"/>
        <w:bottom w:val="none" w:sz="0" w:space="0" w:color="auto"/>
        <w:right w:val="none" w:sz="0" w:space="0" w:color="auto"/>
      </w:divBdr>
      <w:divsChild>
        <w:div w:id="1329750602">
          <w:marLeft w:val="1080"/>
          <w:marRight w:val="0"/>
          <w:marTop w:val="100"/>
          <w:marBottom w:val="0"/>
          <w:divBdr>
            <w:top w:val="none" w:sz="0" w:space="0" w:color="auto"/>
            <w:left w:val="none" w:sz="0" w:space="0" w:color="auto"/>
            <w:bottom w:val="none" w:sz="0" w:space="0" w:color="auto"/>
            <w:right w:val="none" w:sz="0" w:space="0" w:color="auto"/>
          </w:divBdr>
        </w:div>
        <w:div w:id="1018972897">
          <w:marLeft w:val="1080"/>
          <w:marRight w:val="0"/>
          <w:marTop w:val="100"/>
          <w:marBottom w:val="0"/>
          <w:divBdr>
            <w:top w:val="none" w:sz="0" w:space="0" w:color="auto"/>
            <w:left w:val="none" w:sz="0" w:space="0" w:color="auto"/>
            <w:bottom w:val="none" w:sz="0" w:space="0" w:color="auto"/>
            <w:right w:val="none" w:sz="0" w:space="0" w:color="auto"/>
          </w:divBdr>
        </w:div>
      </w:divsChild>
    </w:div>
    <w:div w:id="864052480">
      <w:bodyDiv w:val="1"/>
      <w:marLeft w:val="0"/>
      <w:marRight w:val="0"/>
      <w:marTop w:val="0"/>
      <w:marBottom w:val="0"/>
      <w:divBdr>
        <w:top w:val="none" w:sz="0" w:space="0" w:color="auto"/>
        <w:left w:val="none" w:sz="0" w:space="0" w:color="auto"/>
        <w:bottom w:val="none" w:sz="0" w:space="0" w:color="auto"/>
        <w:right w:val="none" w:sz="0" w:space="0" w:color="auto"/>
      </w:divBdr>
      <w:divsChild>
        <w:div w:id="117381036">
          <w:marLeft w:val="1886"/>
          <w:marRight w:val="0"/>
          <w:marTop w:val="77"/>
          <w:marBottom w:val="0"/>
          <w:divBdr>
            <w:top w:val="none" w:sz="0" w:space="0" w:color="auto"/>
            <w:left w:val="none" w:sz="0" w:space="0" w:color="auto"/>
            <w:bottom w:val="none" w:sz="0" w:space="0" w:color="auto"/>
            <w:right w:val="none" w:sz="0" w:space="0" w:color="auto"/>
          </w:divBdr>
        </w:div>
        <w:div w:id="1619138820">
          <w:marLeft w:val="1886"/>
          <w:marRight w:val="0"/>
          <w:marTop w:val="77"/>
          <w:marBottom w:val="0"/>
          <w:divBdr>
            <w:top w:val="none" w:sz="0" w:space="0" w:color="auto"/>
            <w:left w:val="none" w:sz="0" w:space="0" w:color="auto"/>
            <w:bottom w:val="none" w:sz="0" w:space="0" w:color="auto"/>
            <w:right w:val="none" w:sz="0" w:space="0" w:color="auto"/>
          </w:divBdr>
        </w:div>
        <w:div w:id="1903179660">
          <w:marLeft w:val="1166"/>
          <w:marRight w:val="0"/>
          <w:marTop w:val="96"/>
          <w:marBottom w:val="0"/>
          <w:divBdr>
            <w:top w:val="none" w:sz="0" w:space="0" w:color="auto"/>
            <w:left w:val="none" w:sz="0" w:space="0" w:color="auto"/>
            <w:bottom w:val="none" w:sz="0" w:space="0" w:color="auto"/>
            <w:right w:val="none" w:sz="0" w:space="0" w:color="auto"/>
          </w:divBdr>
        </w:div>
      </w:divsChild>
    </w:div>
    <w:div w:id="866992954">
      <w:bodyDiv w:val="1"/>
      <w:marLeft w:val="0"/>
      <w:marRight w:val="0"/>
      <w:marTop w:val="0"/>
      <w:marBottom w:val="0"/>
      <w:divBdr>
        <w:top w:val="none" w:sz="0" w:space="0" w:color="auto"/>
        <w:left w:val="none" w:sz="0" w:space="0" w:color="auto"/>
        <w:bottom w:val="none" w:sz="0" w:space="0" w:color="auto"/>
        <w:right w:val="none" w:sz="0" w:space="0" w:color="auto"/>
      </w:divBdr>
    </w:div>
    <w:div w:id="868489006">
      <w:bodyDiv w:val="1"/>
      <w:marLeft w:val="0"/>
      <w:marRight w:val="0"/>
      <w:marTop w:val="0"/>
      <w:marBottom w:val="0"/>
      <w:divBdr>
        <w:top w:val="none" w:sz="0" w:space="0" w:color="auto"/>
        <w:left w:val="none" w:sz="0" w:space="0" w:color="auto"/>
        <w:bottom w:val="none" w:sz="0" w:space="0" w:color="auto"/>
        <w:right w:val="none" w:sz="0" w:space="0" w:color="auto"/>
      </w:divBdr>
      <w:divsChild>
        <w:div w:id="431051259">
          <w:marLeft w:val="547"/>
          <w:marRight w:val="0"/>
          <w:marTop w:val="240"/>
          <w:marBottom w:val="0"/>
          <w:divBdr>
            <w:top w:val="none" w:sz="0" w:space="0" w:color="auto"/>
            <w:left w:val="none" w:sz="0" w:space="0" w:color="auto"/>
            <w:bottom w:val="none" w:sz="0" w:space="0" w:color="auto"/>
            <w:right w:val="none" w:sz="0" w:space="0" w:color="auto"/>
          </w:divBdr>
        </w:div>
        <w:div w:id="472910762">
          <w:marLeft w:val="1800"/>
          <w:marRight w:val="0"/>
          <w:marTop w:val="77"/>
          <w:marBottom w:val="0"/>
          <w:divBdr>
            <w:top w:val="none" w:sz="0" w:space="0" w:color="auto"/>
            <w:left w:val="none" w:sz="0" w:space="0" w:color="auto"/>
            <w:bottom w:val="none" w:sz="0" w:space="0" w:color="auto"/>
            <w:right w:val="none" w:sz="0" w:space="0" w:color="auto"/>
          </w:divBdr>
        </w:div>
        <w:div w:id="498346959">
          <w:marLeft w:val="1800"/>
          <w:marRight w:val="0"/>
          <w:marTop w:val="77"/>
          <w:marBottom w:val="0"/>
          <w:divBdr>
            <w:top w:val="none" w:sz="0" w:space="0" w:color="auto"/>
            <w:left w:val="none" w:sz="0" w:space="0" w:color="auto"/>
            <w:bottom w:val="none" w:sz="0" w:space="0" w:color="auto"/>
            <w:right w:val="none" w:sz="0" w:space="0" w:color="auto"/>
          </w:divBdr>
        </w:div>
        <w:div w:id="604115734">
          <w:marLeft w:val="1166"/>
          <w:marRight w:val="0"/>
          <w:marTop w:val="86"/>
          <w:marBottom w:val="0"/>
          <w:divBdr>
            <w:top w:val="none" w:sz="0" w:space="0" w:color="auto"/>
            <w:left w:val="none" w:sz="0" w:space="0" w:color="auto"/>
            <w:bottom w:val="none" w:sz="0" w:space="0" w:color="auto"/>
            <w:right w:val="none" w:sz="0" w:space="0" w:color="auto"/>
          </w:divBdr>
        </w:div>
        <w:div w:id="1058555169">
          <w:marLeft w:val="547"/>
          <w:marRight w:val="0"/>
          <w:marTop w:val="240"/>
          <w:marBottom w:val="0"/>
          <w:divBdr>
            <w:top w:val="none" w:sz="0" w:space="0" w:color="auto"/>
            <w:left w:val="none" w:sz="0" w:space="0" w:color="auto"/>
            <w:bottom w:val="none" w:sz="0" w:space="0" w:color="auto"/>
            <w:right w:val="none" w:sz="0" w:space="0" w:color="auto"/>
          </w:divBdr>
        </w:div>
        <w:div w:id="1106998286">
          <w:marLeft w:val="1166"/>
          <w:marRight w:val="0"/>
          <w:marTop w:val="86"/>
          <w:marBottom w:val="0"/>
          <w:divBdr>
            <w:top w:val="none" w:sz="0" w:space="0" w:color="auto"/>
            <w:left w:val="none" w:sz="0" w:space="0" w:color="auto"/>
            <w:bottom w:val="none" w:sz="0" w:space="0" w:color="auto"/>
            <w:right w:val="none" w:sz="0" w:space="0" w:color="auto"/>
          </w:divBdr>
        </w:div>
        <w:div w:id="1295254425">
          <w:marLeft w:val="1800"/>
          <w:marRight w:val="0"/>
          <w:marTop w:val="77"/>
          <w:marBottom w:val="0"/>
          <w:divBdr>
            <w:top w:val="none" w:sz="0" w:space="0" w:color="auto"/>
            <w:left w:val="none" w:sz="0" w:space="0" w:color="auto"/>
            <w:bottom w:val="none" w:sz="0" w:space="0" w:color="auto"/>
            <w:right w:val="none" w:sz="0" w:space="0" w:color="auto"/>
          </w:divBdr>
        </w:div>
        <w:div w:id="1453750599">
          <w:marLeft w:val="1166"/>
          <w:marRight w:val="0"/>
          <w:marTop w:val="86"/>
          <w:marBottom w:val="0"/>
          <w:divBdr>
            <w:top w:val="none" w:sz="0" w:space="0" w:color="auto"/>
            <w:left w:val="none" w:sz="0" w:space="0" w:color="auto"/>
            <w:bottom w:val="none" w:sz="0" w:space="0" w:color="auto"/>
            <w:right w:val="none" w:sz="0" w:space="0" w:color="auto"/>
          </w:divBdr>
        </w:div>
        <w:div w:id="1489592922">
          <w:marLeft w:val="1800"/>
          <w:marRight w:val="0"/>
          <w:marTop w:val="77"/>
          <w:marBottom w:val="0"/>
          <w:divBdr>
            <w:top w:val="none" w:sz="0" w:space="0" w:color="auto"/>
            <w:left w:val="none" w:sz="0" w:space="0" w:color="auto"/>
            <w:bottom w:val="none" w:sz="0" w:space="0" w:color="auto"/>
            <w:right w:val="none" w:sz="0" w:space="0" w:color="auto"/>
          </w:divBdr>
        </w:div>
        <w:div w:id="1772235246">
          <w:marLeft w:val="1800"/>
          <w:marRight w:val="0"/>
          <w:marTop w:val="77"/>
          <w:marBottom w:val="0"/>
          <w:divBdr>
            <w:top w:val="none" w:sz="0" w:space="0" w:color="auto"/>
            <w:left w:val="none" w:sz="0" w:space="0" w:color="auto"/>
            <w:bottom w:val="none" w:sz="0" w:space="0" w:color="auto"/>
            <w:right w:val="none" w:sz="0" w:space="0" w:color="auto"/>
          </w:divBdr>
        </w:div>
        <w:div w:id="1891114789">
          <w:marLeft w:val="1800"/>
          <w:marRight w:val="0"/>
          <w:marTop w:val="77"/>
          <w:marBottom w:val="0"/>
          <w:divBdr>
            <w:top w:val="none" w:sz="0" w:space="0" w:color="auto"/>
            <w:left w:val="none" w:sz="0" w:space="0" w:color="auto"/>
            <w:bottom w:val="none" w:sz="0" w:space="0" w:color="auto"/>
            <w:right w:val="none" w:sz="0" w:space="0" w:color="auto"/>
          </w:divBdr>
        </w:div>
        <w:div w:id="2081518176">
          <w:marLeft w:val="1166"/>
          <w:marRight w:val="0"/>
          <w:marTop w:val="86"/>
          <w:marBottom w:val="0"/>
          <w:divBdr>
            <w:top w:val="none" w:sz="0" w:space="0" w:color="auto"/>
            <w:left w:val="none" w:sz="0" w:space="0" w:color="auto"/>
            <w:bottom w:val="none" w:sz="0" w:space="0" w:color="auto"/>
            <w:right w:val="none" w:sz="0" w:space="0" w:color="auto"/>
          </w:divBdr>
        </w:div>
      </w:divsChild>
    </w:div>
    <w:div w:id="876695913">
      <w:bodyDiv w:val="1"/>
      <w:marLeft w:val="0"/>
      <w:marRight w:val="0"/>
      <w:marTop w:val="0"/>
      <w:marBottom w:val="0"/>
      <w:divBdr>
        <w:top w:val="none" w:sz="0" w:space="0" w:color="auto"/>
        <w:left w:val="none" w:sz="0" w:space="0" w:color="auto"/>
        <w:bottom w:val="none" w:sz="0" w:space="0" w:color="auto"/>
        <w:right w:val="none" w:sz="0" w:space="0" w:color="auto"/>
      </w:divBdr>
    </w:div>
    <w:div w:id="879510425">
      <w:bodyDiv w:val="1"/>
      <w:marLeft w:val="0"/>
      <w:marRight w:val="0"/>
      <w:marTop w:val="0"/>
      <w:marBottom w:val="0"/>
      <w:divBdr>
        <w:top w:val="none" w:sz="0" w:space="0" w:color="auto"/>
        <w:left w:val="none" w:sz="0" w:space="0" w:color="auto"/>
        <w:bottom w:val="none" w:sz="0" w:space="0" w:color="auto"/>
        <w:right w:val="none" w:sz="0" w:space="0" w:color="auto"/>
      </w:divBdr>
    </w:div>
    <w:div w:id="880477805">
      <w:bodyDiv w:val="1"/>
      <w:marLeft w:val="0"/>
      <w:marRight w:val="0"/>
      <w:marTop w:val="0"/>
      <w:marBottom w:val="0"/>
      <w:divBdr>
        <w:top w:val="none" w:sz="0" w:space="0" w:color="auto"/>
        <w:left w:val="none" w:sz="0" w:space="0" w:color="auto"/>
        <w:bottom w:val="none" w:sz="0" w:space="0" w:color="auto"/>
        <w:right w:val="none" w:sz="0" w:space="0" w:color="auto"/>
      </w:divBdr>
      <w:divsChild>
        <w:div w:id="95290333">
          <w:marLeft w:val="734"/>
          <w:marRight w:val="0"/>
          <w:marTop w:val="120"/>
          <w:marBottom w:val="0"/>
          <w:divBdr>
            <w:top w:val="none" w:sz="0" w:space="0" w:color="auto"/>
            <w:left w:val="none" w:sz="0" w:space="0" w:color="auto"/>
            <w:bottom w:val="none" w:sz="0" w:space="0" w:color="auto"/>
            <w:right w:val="none" w:sz="0" w:space="0" w:color="auto"/>
          </w:divBdr>
        </w:div>
        <w:div w:id="104085892">
          <w:marLeft w:val="734"/>
          <w:marRight w:val="0"/>
          <w:marTop w:val="120"/>
          <w:marBottom w:val="0"/>
          <w:divBdr>
            <w:top w:val="none" w:sz="0" w:space="0" w:color="auto"/>
            <w:left w:val="none" w:sz="0" w:space="0" w:color="auto"/>
            <w:bottom w:val="none" w:sz="0" w:space="0" w:color="auto"/>
            <w:right w:val="none" w:sz="0" w:space="0" w:color="auto"/>
          </w:divBdr>
        </w:div>
        <w:div w:id="640886744">
          <w:marLeft w:val="1181"/>
          <w:marRight w:val="0"/>
          <w:marTop w:val="120"/>
          <w:marBottom w:val="0"/>
          <w:divBdr>
            <w:top w:val="none" w:sz="0" w:space="0" w:color="auto"/>
            <w:left w:val="none" w:sz="0" w:space="0" w:color="auto"/>
            <w:bottom w:val="none" w:sz="0" w:space="0" w:color="auto"/>
            <w:right w:val="none" w:sz="0" w:space="0" w:color="auto"/>
          </w:divBdr>
        </w:div>
        <w:div w:id="1416783140">
          <w:marLeft w:val="1181"/>
          <w:marRight w:val="0"/>
          <w:marTop w:val="120"/>
          <w:marBottom w:val="0"/>
          <w:divBdr>
            <w:top w:val="none" w:sz="0" w:space="0" w:color="auto"/>
            <w:left w:val="none" w:sz="0" w:space="0" w:color="auto"/>
            <w:bottom w:val="none" w:sz="0" w:space="0" w:color="auto"/>
            <w:right w:val="none" w:sz="0" w:space="0" w:color="auto"/>
          </w:divBdr>
        </w:div>
        <w:div w:id="1932468031">
          <w:marLeft w:val="734"/>
          <w:marRight w:val="0"/>
          <w:marTop w:val="120"/>
          <w:marBottom w:val="0"/>
          <w:divBdr>
            <w:top w:val="none" w:sz="0" w:space="0" w:color="auto"/>
            <w:left w:val="none" w:sz="0" w:space="0" w:color="auto"/>
            <w:bottom w:val="none" w:sz="0" w:space="0" w:color="auto"/>
            <w:right w:val="none" w:sz="0" w:space="0" w:color="auto"/>
          </w:divBdr>
        </w:div>
        <w:div w:id="2000377543">
          <w:marLeft w:val="734"/>
          <w:marRight w:val="0"/>
          <w:marTop w:val="120"/>
          <w:marBottom w:val="0"/>
          <w:divBdr>
            <w:top w:val="none" w:sz="0" w:space="0" w:color="auto"/>
            <w:left w:val="none" w:sz="0" w:space="0" w:color="auto"/>
            <w:bottom w:val="none" w:sz="0" w:space="0" w:color="auto"/>
            <w:right w:val="none" w:sz="0" w:space="0" w:color="auto"/>
          </w:divBdr>
        </w:div>
      </w:divsChild>
    </w:div>
    <w:div w:id="886261645">
      <w:bodyDiv w:val="1"/>
      <w:marLeft w:val="0"/>
      <w:marRight w:val="0"/>
      <w:marTop w:val="0"/>
      <w:marBottom w:val="0"/>
      <w:divBdr>
        <w:top w:val="none" w:sz="0" w:space="0" w:color="auto"/>
        <w:left w:val="none" w:sz="0" w:space="0" w:color="auto"/>
        <w:bottom w:val="none" w:sz="0" w:space="0" w:color="auto"/>
        <w:right w:val="none" w:sz="0" w:space="0" w:color="auto"/>
      </w:divBdr>
    </w:div>
    <w:div w:id="889611356">
      <w:bodyDiv w:val="1"/>
      <w:marLeft w:val="0"/>
      <w:marRight w:val="0"/>
      <w:marTop w:val="0"/>
      <w:marBottom w:val="0"/>
      <w:divBdr>
        <w:top w:val="none" w:sz="0" w:space="0" w:color="auto"/>
        <w:left w:val="none" w:sz="0" w:space="0" w:color="auto"/>
        <w:bottom w:val="none" w:sz="0" w:space="0" w:color="auto"/>
        <w:right w:val="none" w:sz="0" w:space="0" w:color="auto"/>
      </w:divBdr>
    </w:div>
    <w:div w:id="901407376">
      <w:bodyDiv w:val="1"/>
      <w:marLeft w:val="0"/>
      <w:marRight w:val="0"/>
      <w:marTop w:val="0"/>
      <w:marBottom w:val="0"/>
      <w:divBdr>
        <w:top w:val="none" w:sz="0" w:space="0" w:color="auto"/>
        <w:left w:val="none" w:sz="0" w:space="0" w:color="auto"/>
        <w:bottom w:val="none" w:sz="0" w:space="0" w:color="auto"/>
        <w:right w:val="none" w:sz="0" w:space="0" w:color="auto"/>
      </w:divBdr>
    </w:div>
    <w:div w:id="902105298">
      <w:bodyDiv w:val="1"/>
      <w:marLeft w:val="0"/>
      <w:marRight w:val="0"/>
      <w:marTop w:val="0"/>
      <w:marBottom w:val="0"/>
      <w:divBdr>
        <w:top w:val="none" w:sz="0" w:space="0" w:color="auto"/>
        <w:left w:val="none" w:sz="0" w:space="0" w:color="auto"/>
        <w:bottom w:val="none" w:sz="0" w:space="0" w:color="auto"/>
        <w:right w:val="none" w:sz="0" w:space="0" w:color="auto"/>
      </w:divBdr>
      <w:divsChild>
        <w:div w:id="979461996">
          <w:marLeft w:val="0"/>
          <w:marRight w:val="0"/>
          <w:marTop w:val="0"/>
          <w:marBottom w:val="0"/>
          <w:divBdr>
            <w:top w:val="none" w:sz="0" w:space="0" w:color="auto"/>
            <w:left w:val="none" w:sz="0" w:space="0" w:color="auto"/>
            <w:bottom w:val="none" w:sz="0" w:space="0" w:color="auto"/>
            <w:right w:val="none" w:sz="0" w:space="0" w:color="auto"/>
          </w:divBdr>
          <w:divsChild>
            <w:div w:id="691498780">
              <w:marLeft w:val="0"/>
              <w:marRight w:val="0"/>
              <w:marTop w:val="0"/>
              <w:marBottom w:val="0"/>
              <w:divBdr>
                <w:top w:val="none" w:sz="0" w:space="0" w:color="auto"/>
                <w:left w:val="none" w:sz="0" w:space="0" w:color="auto"/>
                <w:bottom w:val="none" w:sz="0" w:space="0" w:color="auto"/>
                <w:right w:val="none" w:sz="0" w:space="0" w:color="auto"/>
              </w:divBdr>
              <w:divsChild>
                <w:div w:id="2030139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7229495">
      <w:bodyDiv w:val="1"/>
      <w:marLeft w:val="0"/>
      <w:marRight w:val="0"/>
      <w:marTop w:val="0"/>
      <w:marBottom w:val="0"/>
      <w:divBdr>
        <w:top w:val="none" w:sz="0" w:space="0" w:color="auto"/>
        <w:left w:val="none" w:sz="0" w:space="0" w:color="auto"/>
        <w:bottom w:val="none" w:sz="0" w:space="0" w:color="auto"/>
        <w:right w:val="none" w:sz="0" w:space="0" w:color="auto"/>
      </w:divBdr>
    </w:div>
    <w:div w:id="915936602">
      <w:bodyDiv w:val="1"/>
      <w:marLeft w:val="0"/>
      <w:marRight w:val="0"/>
      <w:marTop w:val="0"/>
      <w:marBottom w:val="0"/>
      <w:divBdr>
        <w:top w:val="none" w:sz="0" w:space="0" w:color="auto"/>
        <w:left w:val="none" w:sz="0" w:space="0" w:color="auto"/>
        <w:bottom w:val="none" w:sz="0" w:space="0" w:color="auto"/>
        <w:right w:val="none" w:sz="0" w:space="0" w:color="auto"/>
      </w:divBdr>
    </w:div>
    <w:div w:id="916981784">
      <w:bodyDiv w:val="1"/>
      <w:marLeft w:val="0"/>
      <w:marRight w:val="0"/>
      <w:marTop w:val="0"/>
      <w:marBottom w:val="0"/>
      <w:divBdr>
        <w:top w:val="none" w:sz="0" w:space="0" w:color="auto"/>
        <w:left w:val="none" w:sz="0" w:space="0" w:color="auto"/>
        <w:bottom w:val="none" w:sz="0" w:space="0" w:color="auto"/>
        <w:right w:val="none" w:sz="0" w:space="0" w:color="auto"/>
      </w:divBdr>
      <w:divsChild>
        <w:div w:id="24064489">
          <w:marLeft w:val="360"/>
          <w:marRight w:val="0"/>
          <w:marTop w:val="120"/>
          <w:marBottom w:val="0"/>
          <w:divBdr>
            <w:top w:val="none" w:sz="0" w:space="0" w:color="auto"/>
            <w:left w:val="none" w:sz="0" w:space="0" w:color="auto"/>
            <w:bottom w:val="none" w:sz="0" w:space="0" w:color="auto"/>
            <w:right w:val="none" w:sz="0" w:space="0" w:color="auto"/>
          </w:divBdr>
        </w:div>
        <w:div w:id="486753749">
          <w:marLeft w:val="360"/>
          <w:marRight w:val="0"/>
          <w:marTop w:val="120"/>
          <w:marBottom w:val="0"/>
          <w:divBdr>
            <w:top w:val="none" w:sz="0" w:space="0" w:color="auto"/>
            <w:left w:val="none" w:sz="0" w:space="0" w:color="auto"/>
            <w:bottom w:val="none" w:sz="0" w:space="0" w:color="auto"/>
            <w:right w:val="none" w:sz="0" w:space="0" w:color="auto"/>
          </w:divBdr>
        </w:div>
        <w:div w:id="632176978">
          <w:marLeft w:val="360"/>
          <w:marRight w:val="0"/>
          <w:marTop w:val="120"/>
          <w:marBottom w:val="0"/>
          <w:divBdr>
            <w:top w:val="none" w:sz="0" w:space="0" w:color="auto"/>
            <w:left w:val="none" w:sz="0" w:space="0" w:color="auto"/>
            <w:bottom w:val="none" w:sz="0" w:space="0" w:color="auto"/>
            <w:right w:val="none" w:sz="0" w:space="0" w:color="auto"/>
          </w:divBdr>
        </w:div>
        <w:div w:id="731275523">
          <w:marLeft w:val="907"/>
          <w:marRight w:val="0"/>
          <w:marTop w:val="120"/>
          <w:marBottom w:val="0"/>
          <w:divBdr>
            <w:top w:val="none" w:sz="0" w:space="0" w:color="auto"/>
            <w:left w:val="none" w:sz="0" w:space="0" w:color="auto"/>
            <w:bottom w:val="none" w:sz="0" w:space="0" w:color="auto"/>
            <w:right w:val="none" w:sz="0" w:space="0" w:color="auto"/>
          </w:divBdr>
        </w:div>
        <w:div w:id="986861527">
          <w:marLeft w:val="907"/>
          <w:marRight w:val="0"/>
          <w:marTop w:val="120"/>
          <w:marBottom w:val="0"/>
          <w:divBdr>
            <w:top w:val="none" w:sz="0" w:space="0" w:color="auto"/>
            <w:left w:val="none" w:sz="0" w:space="0" w:color="auto"/>
            <w:bottom w:val="none" w:sz="0" w:space="0" w:color="auto"/>
            <w:right w:val="none" w:sz="0" w:space="0" w:color="auto"/>
          </w:divBdr>
        </w:div>
        <w:div w:id="1212763645">
          <w:marLeft w:val="360"/>
          <w:marRight w:val="0"/>
          <w:marTop w:val="120"/>
          <w:marBottom w:val="0"/>
          <w:divBdr>
            <w:top w:val="none" w:sz="0" w:space="0" w:color="auto"/>
            <w:left w:val="none" w:sz="0" w:space="0" w:color="auto"/>
            <w:bottom w:val="none" w:sz="0" w:space="0" w:color="auto"/>
            <w:right w:val="none" w:sz="0" w:space="0" w:color="auto"/>
          </w:divBdr>
        </w:div>
        <w:div w:id="1684474518">
          <w:marLeft w:val="360"/>
          <w:marRight w:val="0"/>
          <w:marTop w:val="120"/>
          <w:marBottom w:val="0"/>
          <w:divBdr>
            <w:top w:val="none" w:sz="0" w:space="0" w:color="auto"/>
            <w:left w:val="none" w:sz="0" w:space="0" w:color="auto"/>
            <w:bottom w:val="none" w:sz="0" w:space="0" w:color="auto"/>
            <w:right w:val="none" w:sz="0" w:space="0" w:color="auto"/>
          </w:divBdr>
        </w:div>
      </w:divsChild>
    </w:div>
    <w:div w:id="919289968">
      <w:bodyDiv w:val="1"/>
      <w:marLeft w:val="0"/>
      <w:marRight w:val="0"/>
      <w:marTop w:val="0"/>
      <w:marBottom w:val="0"/>
      <w:divBdr>
        <w:top w:val="none" w:sz="0" w:space="0" w:color="auto"/>
        <w:left w:val="none" w:sz="0" w:space="0" w:color="auto"/>
        <w:bottom w:val="none" w:sz="0" w:space="0" w:color="auto"/>
        <w:right w:val="none" w:sz="0" w:space="0" w:color="auto"/>
      </w:divBdr>
      <w:divsChild>
        <w:div w:id="514224901">
          <w:marLeft w:val="360"/>
          <w:marRight w:val="0"/>
          <w:marTop w:val="120"/>
          <w:marBottom w:val="0"/>
          <w:divBdr>
            <w:top w:val="none" w:sz="0" w:space="0" w:color="auto"/>
            <w:left w:val="none" w:sz="0" w:space="0" w:color="auto"/>
            <w:bottom w:val="none" w:sz="0" w:space="0" w:color="auto"/>
            <w:right w:val="none" w:sz="0" w:space="0" w:color="auto"/>
          </w:divBdr>
        </w:div>
      </w:divsChild>
    </w:div>
    <w:div w:id="922179195">
      <w:bodyDiv w:val="1"/>
      <w:marLeft w:val="0"/>
      <w:marRight w:val="0"/>
      <w:marTop w:val="0"/>
      <w:marBottom w:val="0"/>
      <w:divBdr>
        <w:top w:val="none" w:sz="0" w:space="0" w:color="auto"/>
        <w:left w:val="none" w:sz="0" w:space="0" w:color="auto"/>
        <w:bottom w:val="none" w:sz="0" w:space="0" w:color="auto"/>
        <w:right w:val="none" w:sz="0" w:space="0" w:color="auto"/>
      </w:divBdr>
    </w:div>
    <w:div w:id="927076757">
      <w:bodyDiv w:val="1"/>
      <w:marLeft w:val="0"/>
      <w:marRight w:val="0"/>
      <w:marTop w:val="0"/>
      <w:marBottom w:val="0"/>
      <w:divBdr>
        <w:top w:val="none" w:sz="0" w:space="0" w:color="auto"/>
        <w:left w:val="none" w:sz="0" w:space="0" w:color="auto"/>
        <w:bottom w:val="none" w:sz="0" w:space="0" w:color="auto"/>
        <w:right w:val="none" w:sz="0" w:space="0" w:color="auto"/>
      </w:divBdr>
      <w:divsChild>
        <w:div w:id="356080586">
          <w:marLeft w:val="360"/>
          <w:marRight w:val="0"/>
          <w:marTop w:val="0"/>
          <w:marBottom w:val="120"/>
          <w:divBdr>
            <w:top w:val="none" w:sz="0" w:space="0" w:color="auto"/>
            <w:left w:val="none" w:sz="0" w:space="0" w:color="auto"/>
            <w:bottom w:val="none" w:sz="0" w:space="0" w:color="auto"/>
            <w:right w:val="none" w:sz="0" w:space="0" w:color="auto"/>
          </w:divBdr>
        </w:div>
        <w:div w:id="582644131">
          <w:marLeft w:val="907"/>
          <w:marRight w:val="0"/>
          <w:marTop w:val="0"/>
          <w:marBottom w:val="120"/>
          <w:divBdr>
            <w:top w:val="none" w:sz="0" w:space="0" w:color="auto"/>
            <w:left w:val="none" w:sz="0" w:space="0" w:color="auto"/>
            <w:bottom w:val="none" w:sz="0" w:space="0" w:color="auto"/>
            <w:right w:val="none" w:sz="0" w:space="0" w:color="auto"/>
          </w:divBdr>
        </w:div>
        <w:div w:id="868294146">
          <w:marLeft w:val="907"/>
          <w:marRight w:val="0"/>
          <w:marTop w:val="0"/>
          <w:marBottom w:val="120"/>
          <w:divBdr>
            <w:top w:val="none" w:sz="0" w:space="0" w:color="auto"/>
            <w:left w:val="none" w:sz="0" w:space="0" w:color="auto"/>
            <w:bottom w:val="none" w:sz="0" w:space="0" w:color="auto"/>
            <w:right w:val="none" w:sz="0" w:space="0" w:color="auto"/>
          </w:divBdr>
        </w:div>
        <w:div w:id="1059475779">
          <w:marLeft w:val="907"/>
          <w:marRight w:val="0"/>
          <w:marTop w:val="0"/>
          <w:marBottom w:val="120"/>
          <w:divBdr>
            <w:top w:val="none" w:sz="0" w:space="0" w:color="auto"/>
            <w:left w:val="none" w:sz="0" w:space="0" w:color="auto"/>
            <w:bottom w:val="none" w:sz="0" w:space="0" w:color="auto"/>
            <w:right w:val="none" w:sz="0" w:space="0" w:color="auto"/>
          </w:divBdr>
        </w:div>
        <w:div w:id="1218736415">
          <w:marLeft w:val="360"/>
          <w:marRight w:val="0"/>
          <w:marTop w:val="0"/>
          <w:marBottom w:val="120"/>
          <w:divBdr>
            <w:top w:val="none" w:sz="0" w:space="0" w:color="auto"/>
            <w:left w:val="none" w:sz="0" w:space="0" w:color="auto"/>
            <w:bottom w:val="none" w:sz="0" w:space="0" w:color="auto"/>
            <w:right w:val="none" w:sz="0" w:space="0" w:color="auto"/>
          </w:divBdr>
        </w:div>
        <w:div w:id="1512068336">
          <w:marLeft w:val="907"/>
          <w:marRight w:val="0"/>
          <w:marTop w:val="0"/>
          <w:marBottom w:val="120"/>
          <w:divBdr>
            <w:top w:val="none" w:sz="0" w:space="0" w:color="auto"/>
            <w:left w:val="none" w:sz="0" w:space="0" w:color="auto"/>
            <w:bottom w:val="none" w:sz="0" w:space="0" w:color="auto"/>
            <w:right w:val="none" w:sz="0" w:space="0" w:color="auto"/>
          </w:divBdr>
        </w:div>
        <w:div w:id="1928536802">
          <w:marLeft w:val="907"/>
          <w:marRight w:val="0"/>
          <w:marTop w:val="0"/>
          <w:marBottom w:val="120"/>
          <w:divBdr>
            <w:top w:val="none" w:sz="0" w:space="0" w:color="auto"/>
            <w:left w:val="none" w:sz="0" w:space="0" w:color="auto"/>
            <w:bottom w:val="none" w:sz="0" w:space="0" w:color="auto"/>
            <w:right w:val="none" w:sz="0" w:space="0" w:color="auto"/>
          </w:divBdr>
        </w:div>
        <w:div w:id="2100368427">
          <w:marLeft w:val="907"/>
          <w:marRight w:val="0"/>
          <w:marTop w:val="0"/>
          <w:marBottom w:val="120"/>
          <w:divBdr>
            <w:top w:val="none" w:sz="0" w:space="0" w:color="auto"/>
            <w:left w:val="none" w:sz="0" w:space="0" w:color="auto"/>
            <w:bottom w:val="none" w:sz="0" w:space="0" w:color="auto"/>
            <w:right w:val="none" w:sz="0" w:space="0" w:color="auto"/>
          </w:divBdr>
        </w:div>
      </w:divsChild>
    </w:div>
    <w:div w:id="928195160">
      <w:bodyDiv w:val="1"/>
      <w:marLeft w:val="0"/>
      <w:marRight w:val="0"/>
      <w:marTop w:val="0"/>
      <w:marBottom w:val="0"/>
      <w:divBdr>
        <w:top w:val="none" w:sz="0" w:space="0" w:color="auto"/>
        <w:left w:val="none" w:sz="0" w:space="0" w:color="auto"/>
        <w:bottom w:val="none" w:sz="0" w:space="0" w:color="auto"/>
        <w:right w:val="none" w:sz="0" w:space="0" w:color="auto"/>
      </w:divBdr>
    </w:div>
    <w:div w:id="928394115">
      <w:bodyDiv w:val="1"/>
      <w:marLeft w:val="0"/>
      <w:marRight w:val="0"/>
      <w:marTop w:val="0"/>
      <w:marBottom w:val="0"/>
      <w:divBdr>
        <w:top w:val="none" w:sz="0" w:space="0" w:color="auto"/>
        <w:left w:val="none" w:sz="0" w:space="0" w:color="auto"/>
        <w:bottom w:val="none" w:sz="0" w:space="0" w:color="auto"/>
        <w:right w:val="none" w:sz="0" w:space="0" w:color="auto"/>
      </w:divBdr>
    </w:div>
    <w:div w:id="932469270">
      <w:bodyDiv w:val="1"/>
      <w:marLeft w:val="0"/>
      <w:marRight w:val="0"/>
      <w:marTop w:val="0"/>
      <w:marBottom w:val="0"/>
      <w:divBdr>
        <w:top w:val="none" w:sz="0" w:space="0" w:color="auto"/>
        <w:left w:val="none" w:sz="0" w:space="0" w:color="auto"/>
        <w:bottom w:val="none" w:sz="0" w:space="0" w:color="auto"/>
        <w:right w:val="none" w:sz="0" w:space="0" w:color="auto"/>
      </w:divBdr>
    </w:div>
    <w:div w:id="955452224">
      <w:bodyDiv w:val="1"/>
      <w:marLeft w:val="0"/>
      <w:marRight w:val="0"/>
      <w:marTop w:val="0"/>
      <w:marBottom w:val="0"/>
      <w:divBdr>
        <w:top w:val="none" w:sz="0" w:space="0" w:color="auto"/>
        <w:left w:val="none" w:sz="0" w:space="0" w:color="auto"/>
        <w:bottom w:val="none" w:sz="0" w:space="0" w:color="auto"/>
        <w:right w:val="none" w:sz="0" w:space="0" w:color="auto"/>
      </w:divBdr>
    </w:div>
    <w:div w:id="957375613">
      <w:bodyDiv w:val="1"/>
      <w:marLeft w:val="0"/>
      <w:marRight w:val="0"/>
      <w:marTop w:val="0"/>
      <w:marBottom w:val="0"/>
      <w:divBdr>
        <w:top w:val="none" w:sz="0" w:space="0" w:color="auto"/>
        <w:left w:val="none" w:sz="0" w:space="0" w:color="auto"/>
        <w:bottom w:val="none" w:sz="0" w:space="0" w:color="auto"/>
        <w:right w:val="none" w:sz="0" w:space="0" w:color="auto"/>
      </w:divBdr>
    </w:div>
    <w:div w:id="962346185">
      <w:bodyDiv w:val="1"/>
      <w:marLeft w:val="0"/>
      <w:marRight w:val="0"/>
      <w:marTop w:val="0"/>
      <w:marBottom w:val="0"/>
      <w:divBdr>
        <w:top w:val="none" w:sz="0" w:space="0" w:color="auto"/>
        <w:left w:val="none" w:sz="0" w:space="0" w:color="auto"/>
        <w:bottom w:val="none" w:sz="0" w:space="0" w:color="auto"/>
        <w:right w:val="none" w:sz="0" w:space="0" w:color="auto"/>
      </w:divBdr>
      <w:divsChild>
        <w:div w:id="1282688052">
          <w:marLeft w:val="403"/>
          <w:marRight w:val="0"/>
          <w:marTop w:val="120"/>
          <w:marBottom w:val="0"/>
          <w:divBdr>
            <w:top w:val="none" w:sz="0" w:space="0" w:color="auto"/>
            <w:left w:val="none" w:sz="0" w:space="0" w:color="auto"/>
            <w:bottom w:val="none" w:sz="0" w:space="0" w:color="auto"/>
            <w:right w:val="none" w:sz="0" w:space="0" w:color="auto"/>
          </w:divBdr>
        </w:div>
        <w:div w:id="1507475786">
          <w:marLeft w:val="403"/>
          <w:marRight w:val="0"/>
          <w:marTop w:val="120"/>
          <w:marBottom w:val="0"/>
          <w:divBdr>
            <w:top w:val="none" w:sz="0" w:space="0" w:color="auto"/>
            <w:left w:val="none" w:sz="0" w:space="0" w:color="auto"/>
            <w:bottom w:val="none" w:sz="0" w:space="0" w:color="auto"/>
            <w:right w:val="none" w:sz="0" w:space="0" w:color="auto"/>
          </w:divBdr>
        </w:div>
        <w:div w:id="1705475185">
          <w:marLeft w:val="403"/>
          <w:marRight w:val="0"/>
          <w:marTop w:val="120"/>
          <w:marBottom w:val="0"/>
          <w:divBdr>
            <w:top w:val="none" w:sz="0" w:space="0" w:color="auto"/>
            <w:left w:val="none" w:sz="0" w:space="0" w:color="auto"/>
            <w:bottom w:val="none" w:sz="0" w:space="0" w:color="auto"/>
            <w:right w:val="none" w:sz="0" w:space="0" w:color="auto"/>
          </w:divBdr>
        </w:div>
      </w:divsChild>
    </w:div>
    <w:div w:id="971520027">
      <w:bodyDiv w:val="1"/>
      <w:marLeft w:val="0"/>
      <w:marRight w:val="0"/>
      <w:marTop w:val="0"/>
      <w:marBottom w:val="0"/>
      <w:divBdr>
        <w:top w:val="none" w:sz="0" w:space="0" w:color="auto"/>
        <w:left w:val="none" w:sz="0" w:space="0" w:color="auto"/>
        <w:bottom w:val="none" w:sz="0" w:space="0" w:color="auto"/>
        <w:right w:val="none" w:sz="0" w:space="0" w:color="auto"/>
      </w:divBdr>
      <w:divsChild>
        <w:div w:id="338775105">
          <w:marLeft w:val="1166"/>
          <w:marRight w:val="0"/>
          <w:marTop w:val="96"/>
          <w:marBottom w:val="0"/>
          <w:divBdr>
            <w:top w:val="none" w:sz="0" w:space="0" w:color="auto"/>
            <w:left w:val="none" w:sz="0" w:space="0" w:color="auto"/>
            <w:bottom w:val="none" w:sz="0" w:space="0" w:color="auto"/>
            <w:right w:val="none" w:sz="0" w:space="0" w:color="auto"/>
          </w:divBdr>
        </w:div>
        <w:div w:id="639267085">
          <w:marLeft w:val="1166"/>
          <w:marRight w:val="0"/>
          <w:marTop w:val="96"/>
          <w:marBottom w:val="0"/>
          <w:divBdr>
            <w:top w:val="none" w:sz="0" w:space="0" w:color="auto"/>
            <w:left w:val="none" w:sz="0" w:space="0" w:color="auto"/>
            <w:bottom w:val="none" w:sz="0" w:space="0" w:color="auto"/>
            <w:right w:val="none" w:sz="0" w:space="0" w:color="auto"/>
          </w:divBdr>
        </w:div>
        <w:div w:id="820193118">
          <w:marLeft w:val="1166"/>
          <w:marRight w:val="0"/>
          <w:marTop w:val="96"/>
          <w:marBottom w:val="0"/>
          <w:divBdr>
            <w:top w:val="none" w:sz="0" w:space="0" w:color="auto"/>
            <w:left w:val="none" w:sz="0" w:space="0" w:color="auto"/>
            <w:bottom w:val="none" w:sz="0" w:space="0" w:color="auto"/>
            <w:right w:val="none" w:sz="0" w:space="0" w:color="auto"/>
          </w:divBdr>
        </w:div>
        <w:div w:id="1508521683">
          <w:marLeft w:val="547"/>
          <w:marRight w:val="0"/>
          <w:marTop w:val="96"/>
          <w:marBottom w:val="0"/>
          <w:divBdr>
            <w:top w:val="none" w:sz="0" w:space="0" w:color="auto"/>
            <w:left w:val="none" w:sz="0" w:space="0" w:color="auto"/>
            <w:bottom w:val="none" w:sz="0" w:space="0" w:color="auto"/>
            <w:right w:val="none" w:sz="0" w:space="0" w:color="auto"/>
          </w:divBdr>
        </w:div>
      </w:divsChild>
    </w:div>
    <w:div w:id="975648269">
      <w:bodyDiv w:val="1"/>
      <w:marLeft w:val="0"/>
      <w:marRight w:val="0"/>
      <w:marTop w:val="0"/>
      <w:marBottom w:val="0"/>
      <w:divBdr>
        <w:top w:val="none" w:sz="0" w:space="0" w:color="auto"/>
        <w:left w:val="none" w:sz="0" w:space="0" w:color="auto"/>
        <w:bottom w:val="none" w:sz="0" w:space="0" w:color="auto"/>
        <w:right w:val="none" w:sz="0" w:space="0" w:color="auto"/>
      </w:divBdr>
    </w:div>
    <w:div w:id="991522832">
      <w:bodyDiv w:val="1"/>
      <w:marLeft w:val="0"/>
      <w:marRight w:val="0"/>
      <w:marTop w:val="0"/>
      <w:marBottom w:val="0"/>
      <w:divBdr>
        <w:top w:val="none" w:sz="0" w:space="0" w:color="auto"/>
        <w:left w:val="none" w:sz="0" w:space="0" w:color="auto"/>
        <w:bottom w:val="none" w:sz="0" w:space="0" w:color="auto"/>
        <w:right w:val="none" w:sz="0" w:space="0" w:color="auto"/>
      </w:divBdr>
    </w:div>
    <w:div w:id="995112701">
      <w:bodyDiv w:val="1"/>
      <w:marLeft w:val="0"/>
      <w:marRight w:val="0"/>
      <w:marTop w:val="0"/>
      <w:marBottom w:val="0"/>
      <w:divBdr>
        <w:top w:val="none" w:sz="0" w:space="0" w:color="auto"/>
        <w:left w:val="none" w:sz="0" w:space="0" w:color="auto"/>
        <w:bottom w:val="none" w:sz="0" w:space="0" w:color="auto"/>
        <w:right w:val="none" w:sz="0" w:space="0" w:color="auto"/>
      </w:divBdr>
    </w:div>
    <w:div w:id="995720206">
      <w:bodyDiv w:val="1"/>
      <w:marLeft w:val="0"/>
      <w:marRight w:val="0"/>
      <w:marTop w:val="0"/>
      <w:marBottom w:val="0"/>
      <w:divBdr>
        <w:top w:val="none" w:sz="0" w:space="0" w:color="auto"/>
        <w:left w:val="none" w:sz="0" w:space="0" w:color="auto"/>
        <w:bottom w:val="none" w:sz="0" w:space="0" w:color="auto"/>
        <w:right w:val="none" w:sz="0" w:space="0" w:color="auto"/>
      </w:divBdr>
    </w:div>
    <w:div w:id="1001201386">
      <w:bodyDiv w:val="1"/>
      <w:marLeft w:val="0"/>
      <w:marRight w:val="0"/>
      <w:marTop w:val="0"/>
      <w:marBottom w:val="0"/>
      <w:divBdr>
        <w:top w:val="none" w:sz="0" w:space="0" w:color="auto"/>
        <w:left w:val="none" w:sz="0" w:space="0" w:color="auto"/>
        <w:bottom w:val="none" w:sz="0" w:space="0" w:color="auto"/>
        <w:right w:val="none" w:sz="0" w:space="0" w:color="auto"/>
      </w:divBdr>
    </w:div>
    <w:div w:id="1007555696">
      <w:bodyDiv w:val="1"/>
      <w:marLeft w:val="0"/>
      <w:marRight w:val="0"/>
      <w:marTop w:val="0"/>
      <w:marBottom w:val="0"/>
      <w:divBdr>
        <w:top w:val="none" w:sz="0" w:space="0" w:color="auto"/>
        <w:left w:val="none" w:sz="0" w:space="0" w:color="auto"/>
        <w:bottom w:val="none" w:sz="0" w:space="0" w:color="auto"/>
        <w:right w:val="none" w:sz="0" w:space="0" w:color="auto"/>
      </w:divBdr>
    </w:div>
    <w:div w:id="1011833557">
      <w:bodyDiv w:val="1"/>
      <w:marLeft w:val="0"/>
      <w:marRight w:val="0"/>
      <w:marTop w:val="0"/>
      <w:marBottom w:val="0"/>
      <w:divBdr>
        <w:top w:val="none" w:sz="0" w:space="0" w:color="auto"/>
        <w:left w:val="none" w:sz="0" w:space="0" w:color="auto"/>
        <w:bottom w:val="none" w:sz="0" w:space="0" w:color="auto"/>
        <w:right w:val="none" w:sz="0" w:space="0" w:color="auto"/>
      </w:divBdr>
    </w:div>
    <w:div w:id="1012759014">
      <w:bodyDiv w:val="1"/>
      <w:marLeft w:val="0"/>
      <w:marRight w:val="0"/>
      <w:marTop w:val="0"/>
      <w:marBottom w:val="0"/>
      <w:divBdr>
        <w:top w:val="none" w:sz="0" w:space="0" w:color="auto"/>
        <w:left w:val="none" w:sz="0" w:space="0" w:color="auto"/>
        <w:bottom w:val="none" w:sz="0" w:space="0" w:color="auto"/>
        <w:right w:val="none" w:sz="0" w:space="0" w:color="auto"/>
      </w:divBdr>
    </w:div>
    <w:div w:id="1013411135">
      <w:bodyDiv w:val="1"/>
      <w:marLeft w:val="0"/>
      <w:marRight w:val="0"/>
      <w:marTop w:val="0"/>
      <w:marBottom w:val="0"/>
      <w:divBdr>
        <w:top w:val="none" w:sz="0" w:space="0" w:color="auto"/>
        <w:left w:val="none" w:sz="0" w:space="0" w:color="auto"/>
        <w:bottom w:val="none" w:sz="0" w:space="0" w:color="auto"/>
        <w:right w:val="none" w:sz="0" w:space="0" w:color="auto"/>
      </w:divBdr>
      <w:divsChild>
        <w:div w:id="1373070548">
          <w:marLeft w:val="0"/>
          <w:marRight w:val="0"/>
          <w:marTop w:val="0"/>
          <w:marBottom w:val="0"/>
          <w:divBdr>
            <w:top w:val="none" w:sz="0" w:space="0" w:color="auto"/>
            <w:left w:val="none" w:sz="0" w:space="0" w:color="auto"/>
            <w:bottom w:val="none" w:sz="0" w:space="0" w:color="auto"/>
            <w:right w:val="none" w:sz="0" w:space="0" w:color="auto"/>
          </w:divBdr>
          <w:divsChild>
            <w:div w:id="63258467">
              <w:marLeft w:val="0"/>
              <w:marRight w:val="0"/>
              <w:marTop w:val="0"/>
              <w:marBottom w:val="0"/>
              <w:divBdr>
                <w:top w:val="none" w:sz="0" w:space="0" w:color="auto"/>
                <w:left w:val="none" w:sz="0" w:space="0" w:color="auto"/>
                <w:bottom w:val="none" w:sz="0" w:space="0" w:color="auto"/>
                <w:right w:val="none" w:sz="0" w:space="0" w:color="auto"/>
              </w:divBdr>
              <w:divsChild>
                <w:div w:id="1722633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4647672">
      <w:bodyDiv w:val="1"/>
      <w:marLeft w:val="0"/>
      <w:marRight w:val="0"/>
      <w:marTop w:val="0"/>
      <w:marBottom w:val="0"/>
      <w:divBdr>
        <w:top w:val="none" w:sz="0" w:space="0" w:color="auto"/>
        <w:left w:val="none" w:sz="0" w:space="0" w:color="auto"/>
        <w:bottom w:val="none" w:sz="0" w:space="0" w:color="auto"/>
        <w:right w:val="none" w:sz="0" w:space="0" w:color="auto"/>
      </w:divBdr>
    </w:div>
    <w:div w:id="1017390341">
      <w:bodyDiv w:val="1"/>
      <w:marLeft w:val="0"/>
      <w:marRight w:val="0"/>
      <w:marTop w:val="0"/>
      <w:marBottom w:val="0"/>
      <w:divBdr>
        <w:top w:val="none" w:sz="0" w:space="0" w:color="auto"/>
        <w:left w:val="none" w:sz="0" w:space="0" w:color="auto"/>
        <w:bottom w:val="none" w:sz="0" w:space="0" w:color="auto"/>
        <w:right w:val="none" w:sz="0" w:space="0" w:color="auto"/>
      </w:divBdr>
      <w:divsChild>
        <w:div w:id="1061976861">
          <w:marLeft w:val="547"/>
          <w:marRight w:val="0"/>
          <w:marTop w:val="115"/>
          <w:marBottom w:val="0"/>
          <w:divBdr>
            <w:top w:val="none" w:sz="0" w:space="0" w:color="auto"/>
            <w:left w:val="none" w:sz="0" w:space="0" w:color="auto"/>
            <w:bottom w:val="none" w:sz="0" w:space="0" w:color="auto"/>
            <w:right w:val="none" w:sz="0" w:space="0" w:color="auto"/>
          </w:divBdr>
        </w:div>
      </w:divsChild>
    </w:div>
    <w:div w:id="1017998623">
      <w:bodyDiv w:val="1"/>
      <w:marLeft w:val="0"/>
      <w:marRight w:val="0"/>
      <w:marTop w:val="0"/>
      <w:marBottom w:val="0"/>
      <w:divBdr>
        <w:top w:val="none" w:sz="0" w:space="0" w:color="auto"/>
        <w:left w:val="none" w:sz="0" w:space="0" w:color="auto"/>
        <w:bottom w:val="none" w:sz="0" w:space="0" w:color="auto"/>
        <w:right w:val="none" w:sz="0" w:space="0" w:color="auto"/>
      </w:divBdr>
    </w:div>
    <w:div w:id="1031032639">
      <w:bodyDiv w:val="1"/>
      <w:marLeft w:val="0"/>
      <w:marRight w:val="0"/>
      <w:marTop w:val="0"/>
      <w:marBottom w:val="0"/>
      <w:divBdr>
        <w:top w:val="none" w:sz="0" w:space="0" w:color="auto"/>
        <w:left w:val="none" w:sz="0" w:space="0" w:color="auto"/>
        <w:bottom w:val="none" w:sz="0" w:space="0" w:color="auto"/>
        <w:right w:val="none" w:sz="0" w:space="0" w:color="auto"/>
      </w:divBdr>
    </w:div>
    <w:div w:id="1031151615">
      <w:bodyDiv w:val="1"/>
      <w:marLeft w:val="0"/>
      <w:marRight w:val="0"/>
      <w:marTop w:val="0"/>
      <w:marBottom w:val="0"/>
      <w:divBdr>
        <w:top w:val="none" w:sz="0" w:space="0" w:color="auto"/>
        <w:left w:val="none" w:sz="0" w:space="0" w:color="auto"/>
        <w:bottom w:val="none" w:sz="0" w:space="0" w:color="auto"/>
        <w:right w:val="none" w:sz="0" w:space="0" w:color="auto"/>
      </w:divBdr>
    </w:div>
    <w:div w:id="1033463427">
      <w:bodyDiv w:val="1"/>
      <w:marLeft w:val="0"/>
      <w:marRight w:val="0"/>
      <w:marTop w:val="0"/>
      <w:marBottom w:val="0"/>
      <w:divBdr>
        <w:top w:val="none" w:sz="0" w:space="0" w:color="auto"/>
        <w:left w:val="none" w:sz="0" w:space="0" w:color="auto"/>
        <w:bottom w:val="none" w:sz="0" w:space="0" w:color="auto"/>
        <w:right w:val="none" w:sz="0" w:space="0" w:color="auto"/>
      </w:divBdr>
    </w:div>
    <w:div w:id="1039814331">
      <w:bodyDiv w:val="1"/>
      <w:marLeft w:val="0"/>
      <w:marRight w:val="0"/>
      <w:marTop w:val="0"/>
      <w:marBottom w:val="0"/>
      <w:divBdr>
        <w:top w:val="none" w:sz="0" w:space="0" w:color="auto"/>
        <w:left w:val="none" w:sz="0" w:space="0" w:color="auto"/>
        <w:bottom w:val="none" w:sz="0" w:space="0" w:color="auto"/>
        <w:right w:val="none" w:sz="0" w:space="0" w:color="auto"/>
      </w:divBdr>
    </w:div>
    <w:div w:id="1040544900">
      <w:bodyDiv w:val="1"/>
      <w:marLeft w:val="0"/>
      <w:marRight w:val="0"/>
      <w:marTop w:val="0"/>
      <w:marBottom w:val="0"/>
      <w:divBdr>
        <w:top w:val="none" w:sz="0" w:space="0" w:color="auto"/>
        <w:left w:val="none" w:sz="0" w:space="0" w:color="auto"/>
        <w:bottom w:val="none" w:sz="0" w:space="0" w:color="auto"/>
        <w:right w:val="none" w:sz="0" w:space="0" w:color="auto"/>
      </w:divBdr>
    </w:div>
    <w:div w:id="1042558388">
      <w:bodyDiv w:val="1"/>
      <w:marLeft w:val="0"/>
      <w:marRight w:val="0"/>
      <w:marTop w:val="0"/>
      <w:marBottom w:val="0"/>
      <w:divBdr>
        <w:top w:val="none" w:sz="0" w:space="0" w:color="auto"/>
        <w:left w:val="none" w:sz="0" w:space="0" w:color="auto"/>
        <w:bottom w:val="none" w:sz="0" w:space="0" w:color="auto"/>
        <w:right w:val="none" w:sz="0" w:space="0" w:color="auto"/>
      </w:divBdr>
    </w:div>
    <w:div w:id="1045132172">
      <w:bodyDiv w:val="1"/>
      <w:marLeft w:val="0"/>
      <w:marRight w:val="0"/>
      <w:marTop w:val="0"/>
      <w:marBottom w:val="0"/>
      <w:divBdr>
        <w:top w:val="none" w:sz="0" w:space="0" w:color="auto"/>
        <w:left w:val="none" w:sz="0" w:space="0" w:color="auto"/>
        <w:bottom w:val="none" w:sz="0" w:space="0" w:color="auto"/>
        <w:right w:val="none" w:sz="0" w:space="0" w:color="auto"/>
      </w:divBdr>
      <w:divsChild>
        <w:div w:id="9260941">
          <w:marLeft w:val="547"/>
          <w:marRight w:val="0"/>
          <w:marTop w:val="115"/>
          <w:marBottom w:val="0"/>
          <w:divBdr>
            <w:top w:val="none" w:sz="0" w:space="0" w:color="auto"/>
            <w:left w:val="none" w:sz="0" w:space="0" w:color="auto"/>
            <w:bottom w:val="none" w:sz="0" w:space="0" w:color="auto"/>
            <w:right w:val="none" w:sz="0" w:space="0" w:color="auto"/>
          </w:divBdr>
        </w:div>
        <w:div w:id="181630338">
          <w:marLeft w:val="1166"/>
          <w:marRight w:val="0"/>
          <w:marTop w:val="96"/>
          <w:marBottom w:val="0"/>
          <w:divBdr>
            <w:top w:val="none" w:sz="0" w:space="0" w:color="auto"/>
            <w:left w:val="none" w:sz="0" w:space="0" w:color="auto"/>
            <w:bottom w:val="none" w:sz="0" w:space="0" w:color="auto"/>
            <w:right w:val="none" w:sz="0" w:space="0" w:color="auto"/>
          </w:divBdr>
        </w:div>
        <w:div w:id="650136615">
          <w:marLeft w:val="547"/>
          <w:marRight w:val="0"/>
          <w:marTop w:val="115"/>
          <w:marBottom w:val="0"/>
          <w:divBdr>
            <w:top w:val="none" w:sz="0" w:space="0" w:color="auto"/>
            <w:left w:val="none" w:sz="0" w:space="0" w:color="auto"/>
            <w:bottom w:val="none" w:sz="0" w:space="0" w:color="auto"/>
            <w:right w:val="none" w:sz="0" w:space="0" w:color="auto"/>
          </w:divBdr>
        </w:div>
        <w:div w:id="719475749">
          <w:marLeft w:val="1166"/>
          <w:marRight w:val="0"/>
          <w:marTop w:val="96"/>
          <w:marBottom w:val="0"/>
          <w:divBdr>
            <w:top w:val="none" w:sz="0" w:space="0" w:color="auto"/>
            <w:left w:val="none" w:sz="0" w:space="0" w:color="auto"/>
            <w:bottom w:val="none" w:sz="0" w:space="0" w:color="auto"/>
            <w:right w:val="none" w:sz="0" w:space="0" w:color="auto"/>
          </w:divBdr>
        </w:div>
        <w:div w:id="947658231">
          <w:marLeft w:val="1166"/>
          <w:marRight w:val="0"/>
          <w:marTop w:val="96"/>
          <w:marBottom w:val="0"/>
          <w:divBdr>
            <w:top w:val="none" w:sz="0" w:space="0" w:color="auto"/>
            <w:left w:val="none" w:sz="0" w:space="0" w:color="auto"/>
            <w:bottom w:val="none" w:sz="0" w:space="0" w:color="auto"/>
            <w:right w:val="none" w:sz="0" w:space="0" w:color="auto"/>
          </w:divBdr>
        </w:div>
        <w:div w:id="1223980283">
          <w:marLeft w:val="547"/>
          <w:marRight w:val="0"/>
          <w:marTop w:val="115"/>
          <w:marBottom w:val="0"/>
          <w:divBdr>
            <w:top w:val="none" w:sz="0" w:space="0" w:color="auto"/>
            <w:left w:val="none" w:sz="0" w:space="0" w:color="auto"/>
            <w:bottom w:val="none" w:sz="0" w:space="0" w:color="auto"/>
            <w:right w:val="none" w:sz="0" w:space="0" w:color="auto"/>
          </w:divBdr>
        </w:div>
        <w:div w:id="1561020642">
          <w:marLeft w:val="1800"/>
          <w:marRight w:val="0"/>
          <w:marTop w:val="86"/>
          <w:marBottom w:val="0"/>
          <w:divBdr>
            <w:top w:val="none" w:sz="0" w:space="0" w:color="auto"/>
            <w:left w:val="none" w:sz="0" w:space="0" w:color="auto"/>
            <w:bottom w:val="none" w:sz="0" w:space="0" w:color="auto"/>
            <w:right w:val="none" w:sz="0" w:space="0" w:color="auto"/>
          </w:divBdr>
        </w:div>
        <w:div w:id="1738819804">
          <w:marLeft w:val="1166"/>
          <w:marRight w:val="0"/>
          <w:marTop w:val="96"/>
          <w:marBottom w:val="0"/>
          <w:divBdr>
            <w:top w:val="none" w:sz="0" w:space="0" w:color="auto"/>
            <w:left w:val="none" w:sz="0" w:space="0" w:color="auto"/>
            <w:bottom w:val="none" w:sz="0" w:space="0" w:color="auto"/>
            <w:right w:val="none" w:sz="0" w:space="0" w:color="auto"/>
          </w:divBdr>
        </w:div>
        <w:div w:id="1784424485">
          <w:marLeft w:val="547"/>
          <w:marRight w:val="0"/>
          <w:marTop w:val="115"/>
          <w:marBottom w:val="0"/>
          <w:divBdr>
            <w:top w:val="none" w:sz="0" w:space="0" w:color="auto"/>
            <w:left w:val="none" w:sz="0" w:space="0" w:color="auto"/>
            <w:bottom w:val="none" w:sz="0" w:space="0" w:color="auto"/>
            <w:right w:val="none" w:sz="0" w:space="0" w:color="auto"/>
          </w:divBdr>
        </w:div>
      </w:divsChild>
    </w:div>
    <w:div w:id="1055467003">
      <w:bodyDiv w:val="1"/>
      <w:marLeft w:val="0"/>
      <w:marRight w:val="0"/>
      <w:marTop w:val="0"/>
      <w:marBottom w:val="0"/>
      <w:divBdr>
        <w:top w:val="none" w:sz="0" w:space="0" w:color="auto"/>
        <w:left w:val="none" w:sz="0" w:space="0" w:color="auto"/>
        <w:bottom w:val="none" w:sz="0" w:space="0" w:color="auto"/>
        <w:right w:val="none" w:sz="0" w:space="0" w:color="auto"/>
      </w:divBdr>
    </w:div>
    <w:div w:id="1059784435">
      <w:bodyDiv w:val="1"/>
      <w:marLeft w:val="0"/>
      <w:marRight w:val="0"/>
      <w:marTop w:val="0"/>
      <w:marBottom w:val="0"/>
      <w:divBdr>
        <w:top w:val="none" w:sz="0" w:space="0" w:color="auto"/>
        <w:left w:val="none" w:sz="0" w:space="0" w:color="auto"/>
        <w:bottom w:val="none" w:sz="0" w:space="0" w:color="auto"/>
        <w:right w:val="none" w:sz="0" w:space="0" w:color="auto"/>
      </w:divBdr>
    </w:div>
    <w:div w:id="1062370473">
      <w:bodyDiv w:val="1"/>
      <w:marLeft w:val="0"/>
      <w:marRight w:val="0"/>
      <w:marTop w:val="0"/>
      <w:marBottom w:val="0"/>
      <w:divBdr>
        <w:top w:val="none" w:sz="0" w:space="0" w:color="auto"/>
        <w:left w:val="none" w:sz="0" w:space="0" w:color="auto"/>
        <w:bottom w:val="none" w:sz="0" w:space="0" w:color="auto"/>
        <w:right w:val="none" w:sz="0" w:space="0" w:color="auto"/>
      </w:divBdr>
      <w:divsChild>
        <w:div w:id="1365596332">
          <w:marLeft w:val="0"/>
          <w:marRight w:val="0"/>
          <w:marTop w:val="0"/>
          <w:marBottom w:val="0"/>
          <w:divBdr>
            <w:top w:val="none" w:sz="0" w:space="0" w:color="auto"/>
            <w:left w:val="none" w:sz="0" w:space="0" w:color="auto"/>
            <w:bottom w:val="none" w:sz="0" w:space="0" w:color="auto"/>
            <w:right w:val="none" w:sz="0" w:space="0" w:color="auto"/>
          </w:divBdr>
        </w:div>
        <w:div w:id="1419138623">
          <w:marLeft w:val="0"/>
          <w:marRight w:val="0"/>
          <w:marTop w:val="0"/>
          <w:marBottom w:val="0"/>
          <w:divBdr>
            <w:top w:val="none" w:sz="0" w:space="0" w:color="auto"/>
            <w:left w:val="none" w:sz="0" w:space="0" w:color="auto"/>
            <w:bottom w:val="none" w:sz="0" w:space="0" w:color="auto"/>
            <w:right w:val="none" w:sz="0" w:space="0" w:color="auto"/>
          </w:divBdr>
        </w:div>
        <w:div w:id="1375810185">
          <w:marLeft w:val="0"/>
          <w:marRight w:val="0"/>
          <w:marTop w:val="0"/>
          <w:marBottom w:val="0"/>
          <w:divBdr>
            <w:top w:val="none" w:sz="0" w:space="0" w:color="auto"/>
            <w:left w:val="none" w:sz="0" w:space="0" w:color="auto"/>
            <w:bottom w:val="none" w:sz="0" w:space="0" w:color="auto"/>
            <w:right w:val="none" w:sz="0" w:space="0" w:color="auto"/>
          </w:divBdr>
        </w:div>
      </w:divsChild>
    </w:div>
    <w:div w:id="1073967344">
      <w:bodyDiv w:val="1"/>
      <w:marLeft w:val="0"/>
      <w:marRight w:val="0"/>
      <w:marTop w:val="0"/>
      <w:marBottom w:val="0"/>
      <w:divBdr>
        <w:top w:val="none" w:sz="0" w:space="0" w:color="auto"/>
        <w:left w:val="none" w:sz="0" w:space="0" w:color="auto"/>
        <w:bottom w:val="none" w:sz="0" w:space="0" w:color="auto"/>
        <w:right w:val="none" w:sz="0" w:space="0" w:color="auto"/>
      </w:divBdr>
    </w:div>
    <w:div w:id="1077289274">
      <w:bodyDiv w:val="1"/>
      <w:marLeft w:val="0"/>
      <w:marRight w:val="0"/>
      <w:marTop w:val="0"/>
      <w:marBottom w:val="0"/>
      <w:divBdr>
        <w:top w:val="none" w:sz="0" w:space="0" w:color="auto"/>
        <w:left w:val="none" w:sz="0" w:space="0" w:color="auto"/>
        <w:bottom w:val="none" w:sz="0" w:space="0" w:color="auto"/>
        <w:right w:val="none" w:sz="0" w:space="0" w:color="auto"/>
      </w:divBdr>
    </w:div>
    <w:div w:id="1086267554">
      <w:bodyDiv w:val="1"/>
      <w:marLeft w:val="0"/>
      <w:marRight w:val="0"/>
      <w:marTop w:val="0"/>
      <w:marBottom w:val="0"/>
      <w:divBdr>
        <w:top w:val="none" w:sz="0" w:space="0" w:color="auto"/>
        <w:left w:val="none" w:sz="0" w:space="0" w:color="auto"/>
        <w:bottom w:val="none" w:sz="0" w:space="0" w:color="auto"/>
        <w:right w:val="none" w:sz="0" w:space="0" w:color="auto"/>
      </w:divBdr>
    </w:div>
    <w:div w:id="1092354140">
      <w:bodyDiv w:val="1"/>
      <w:marLeft w:val="0"/>
      <w:marRight w:val="0"/>
      <w:marTop w:val="0"/>
      <w:marBottom w:val="0"/>
      <w:divBdr>
        <w:top w:val="none" w:sz="0" w:space="0" w:color="auto"/>
        <w:left w:val="none" w:sz="0" w:space="0" w:color="auto"/>
        <w:bottom w:val="none" w:sz="0" w:space="0" w:color="auto"/>
        <w:right w:val="none" w:sz="0" w:space="0" w:color="auto"/>
      </w:divBdr>
      <w:divsChild>
        <w:div w:id="499346738">
          <w:marLeft w:val="1166"/>
          <w:marRight w:val="0"/>
          <w:marTop w:val="86"/>
          <w:marBottom w:val="0"/>
          <w:divBdr>
            <w:top w:val="none" w:sz="0" w:space="0" w:color="auto"/>
            <w:left w:val="none" w:sz="0" w:space="0" w:color="auto"/>
            <w:bottom w:val="none" w:sz="0" w:space="0" w:color="auto"/>
            <w:right w:val="none" w:sz="0" w:space="0" w:color="auto"/>
          </w:divBdr>
        </w:div>
        <w:div w:id="784009532">
          <w:marLeft w:val="1166"/>
          <w:marRight w:val="0"/>
          <w:marTop w:val="86"/>
          <w:marBottom w:val="0"/>
          <w:divBdr>
            <w:top w:val="none" w:sz="0" w:space="0" w:color="auto"/>
            <w:left w:val="none" w:sz="0" w:space="0" w:color="auto"/>
            <w:bottom w:val="none" w:sz="0" w:space="0" w:color="auto"/>
            <w:right w:val="none" w:sz="0" w:space="0" w:color="auto"/>
          </w:divBdr>
        </w:div>
        <w:div w:id="1265112181">
          <w:marLeft w:val="1166"/>
          <w:marRight w:val="0"/>
          <w:marTop w:val="240"/>
          <w:marBottom w:val="0"/>
          <w:divBdr>
            <w:top w:val="none" w:sz="0" w:space="0" w:color="auto"/>
            <w:left w:val="none" w:sz="0" w:space="0" w:color="auto"/>
            <w:bottom w:val="none" w:sz="0" w:space="0" w:color="auto"/>
            <w:right w:val="none" w:sz="0" w:space="0" w:color="auto"/>
          </w:divBdr>
        </w:div>
      </w:divsChild>
    </w:div>
    <w:div w:id="1095052273">
      <w:bodyDiv w:val="1"/>
      <w:marLeft w:val="0"/>
      <w:marRight w:val="0"/>
      <w:marTop w:val="0"/>
      <w:marBottom w:val="0"/>
      <w:divBdr>
        <w:top w:val="none" w:sz="0" w:space="0" w:color="auto"/>
        <w:left w:val="none" w:sz="0" w:space="0" w:color="auto"/>
        <w:bottom w:val="none" w:sz="0" w:space="0" w:color="auto"/>
        <w:right w:val="none" w:sz="0" w:space="0" w:color="auto"/>
      </w:divBdr>
    </w:div>
    <w:div w:id="1098910258">
      <w:bodyDiv w:val="1"/>
      <w:marLeft w:val="0"/>
      <w:marRight w:val="0"/>
      <w:marTop w:val="0"/>
      <w:marBottom w:val="0"/>
      <w:divBdr>
        <w:top w:val="none" w:sz="0" w:space="0" w:color="auto"/>
        <w:left w:val="none" w:sz="0" w:space="0" w:color="auto"/>
        <w:bottom w:val="none" w:sz="0" w:space="0" w:color="auto"/>
        <w:right w:val="none" w:sz="0" w:space="0" w:color="auto"/>
      </w:divBdr>
    </w:div>
    <w:div w:id="1113134886">
      <w:bodyDiv w:val="1"/>
      <w:marLeft w:val="0"/>
      <w:marRight w:val="0"/>
      <w:marTop w:val="0"/>
      <w:marBottom w:val="0"/>
      <w:divBdr>
        <w:top w:val="none" w:sz="0" w:space="0" w:color="auto"/>
        <w:left w:val="none" w:sz="0" w:space="0" w:color="auto"/>
        <w:bottom w:val="none" w:sz="0" w:space="0" w:color="auto"/>
        <w:right w:val="none" w:sz="0" w:space="0" w:color="auto"/>
      </w:divBdr>
    </w:div>
    <w:div w:id="1114518227">
      <w:bodyDiv w:val="1"/>
      <w:marLeft w:val="0"/>
      <w:marRight w:val="0"/>
      <w:marTop w:val="0"/>
      <w:marBottom w:val="0"/>
      <w:divBdr>
        <w:top w:val="none" w:sz="0" w:space="0" w:color="auto"/>
        <w:left w:val="none" w:sz="0" w:space="0" w:color="auto"/>
        <w:bottom w:val="none" w:sz="0" w:space="0" w:color="auto"/>
        <w:right w:val="none" w:sz="0" w:space="0" w:color="auto"/>
      </w:divBdr>
    </w:div>
    <w:div w:id="1115753190">
      <w:bodyDiv w:val="1"/>
      <w:marLeft w:val="0"/>
      <w:marRight w:val="0"/>
      <w:marTop w:val="0"/>
      <w:marBottom w:val="0"/>
      <w:divBdr>
        <w:top w:val="none" w:sz="0" w:space="0" w:color="auto"/>
        <w:left w:val="none" w:sz="0" w:space="0" w:color="auto"/>
        <w:bottom w:val="none" w:sz="0" w:space="0" w:color="auto"/>
        <w:right w:val="none" w:sz="0" w:space="0" w:color="auto"/>
      </w:divBdr>
    </w:div>
    <w:div w:id="1131899597">
      <w:bodyDiv w:val="1"/>
      <w:marLeft w:val="0"/>
      <w:marRight w:val="0"/>
      <w:marTop w:val="0"/>
      <w:marBottom w:val="0"/>
      <w:divBdr>
        <w:top w:val="none" w:sz="0" w:space="0" w:color="auto"/>
        <w:left w:val="none" w:sz="0" w:space="0" w:color="auto"/>
        <w:bottom w:val="none" w:sz="0" w:space="0" w:color="auto"/>
        <w:right w:val="none" w:sz="0" w:space="0" w:color="auto"/>
      </w:divBdr>
      <w:divsChild>
        <w:div w:id="1337996377">
          <w:marLeft w:val="0"/>
          <w:marRight w:val="0"/>
          <w:marTop w:val="0"/>
          <w:marBottom w:val="0"/>
          <w:divBdr>
            <w:top w:val="none" w:sz="0" w:space="0" w:color="auto"/>
            <w:left w:val="none" w:sz="0" w:space="0" w:color="auto"/>
            <w:bottom w:val="none" w:sz="0" w:space="0" w:color="auto"/>
            <w:right w:val="none" w:sz="0" w:space="0" w:color="auto"/>
          </w:divBdr>
          <w:divsChild>
            <w:div w:id="61610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946035">
      <w:bodyDiv w:val="1"/>
      <w:marLeft w:val="0"/>
      <w:marRight w:val="0"/>
      <w:marTop w:val="0"/>
      <w:marBottom w:val="0"/>
      <w:divBdr>
        <w:top w:val="none" w:sz="0" w:space="0" w:color="auto"/>
        <w:left w:val="none" w:sz="0" w:space="0" w:color="auto"/>
        <w:bottom w:val="none" w:sz="0" w:space="0" w:color="auto"/>
        <w:right w:val="none" w:sz="0" w:space="0" w:color="auto"/>
      </w:divBdr>
    </w:div>
    <w:div w:id="1136029636">
      <w:bodyDiv w:val="1"/>
      <w:marLeft w:val="0"/>
      <w:marRight w:val="0"/>
      <w:marTop w:val="0"/>
      <w:marBottom w:val="0"/>
      <w:divBdr>
        <w:top w:val="none" w:sz="0" w:space="0" w:color="auto"/>
        <w:left w:val="none" w:sz="0" w:space="0" w:color="auto"/>
        <w:bottom w:val="none" w:sz="0" w:space="0" w:color="auto"/>
        <w:right w:val="none" w:sz="0" w:space="0" w:color="auto"/>
      </w:divBdr>
    </w:div>
    <w:div w:id="1137458527">
      <w:bodyDiv w:val="1"/>
      <w:marLeft w:val="0"/>
      <w:marRight w:val="0"/>
      <w:marTop w:val="0"/>
      <w:marBottom w:val="0"/>
      <w:divBdr>
        <w:top w:val="none" w:sz="0" w:space="0" w:color="auto"/>
        <w:left w:val="none" w:sz="0" w:space="0" w:color="auto"/>
        <w:bottom w:val="none" w:sz="0" w:space="0" w:color="auto"/>
        <w:right w:val="none" w:sz="0" w:space="0" w:color="auto"/>
      </w:divBdr>
    </w:div>
    <w:div w:id="1137796331">
      <w:bodyDiv w:val="1"/>
      <w:marLeft w:val="0"/>
      <w:marRight w:val="0"/>
      <w:marTop w:val="0"/>
      <w:marBottom w:val="0"/>
      <w:divBdr>
        <w:top w:val="none" w:sz="0" w:space="0" w:color="auto"/>
        <w:left w:val="none" w:sz="0" w:space="0" w:color="auto"/>
        <w:bottom w:val="none" w:sz="0" w:space="0" w:color="auto"/>
        <w:right w:val="none" w:sz="0" w:space="0" w:color="auto"/>
      </w:divBdr>
    </w:div>
    <w:div w:id="1139112223">
      <w:bodyDiv w:val="1"/>
      <w:marLeft w:val="0"/>
      <w:marRight w:val="0"/>
      <w:marTop w:val="0"/>
      <w:marBottom w:val="0"/>
      <w:divBdr>
        <w:top w:val="none" w:sz="0" w:space="0" w:color="auto"/>
        <w:left w:val="none" w:sz="0" w:space="0" w:color="auto"/>
        <w:bottom w:val="none" w:sz="0" w:space="0" w:color="auto"/>
        <w:right w:val="none" w:sz="0" w:space="0" w:color="auto"/>
      </w:divBdr>
    </w:div>
    <w:div w:id="1152216004">
      <w:bodyDiv w:val="1"/>
      <w:marLeft w:val="0"/>
      <w:marRight w:val="0"/>
      <w:marTop w:val="0"/>
      <w:marBottom w:val="0"/>
      <w:divBdr>
        <w:top w:val="none" w:sz="0" w:space="0" w:color="auto"/>
        <w:left w:val="none" w:sz="0" w:space="0" w:color="auto"/>
        <w:bottom w:val="none" w:sz="0" w:space="0" w:color="auto"/>
        <w:right w:val="none" w:sz="0" w:space="0" w:color="auto"/>
      </w:divBdr>
    </w:div>
    <w:div w:id="1153333405">
      <w:bodyDiv w:val="1"/>
      <w:marLeft w:val="0"/>
      <w:marRight w:val="0"/>
      <w:marTop w:val="0"/>
      <w:marBottom w:val="0"/>
      <w:divBdr>
        <w:top w:val="none" w:sz="0" w:space="0" w:color="auto"/>
        <w:left w:val="none" w:sz="0" w:space="0" w:color="auto"/>
        <w:bottom w:val="none" w:sz="0" w:space="0" w:color="auto"/>
        <w:right w:val="none" w:sz="0" w:space="0" w:color="auto"/>
      </w:divBdr>
    </w:div>
    <w:div w:id="1156074091">
      <w:bodyDiv w:val="1"/>
      <w:marLeft w:val="0"/>
      <w:marRight w:val="0"/>
      <w:marTop w:val="0"/>
      <w:marBottom w:val="0"/>
      <w:divBdr>
        <w:top w:val="none" w:sz="0" w:space="0" w:color="auto"/>
        <w:left w:val="none" w:sz="0" w:space="0" w:color="auto"/>
        <w:bottom w:val="none" w:sz="0" w:space="0" w:color="auto"/>
        <w:right w:val="none" w:sz="0" w:space="0" w:color="auto"/>
      </w:divBdr>
      <w:divsChild>
        <w:div w:id="1327126863">
          <w:marLeft w:val="1166"/>
          <w:marRight w:val="0"/>
          <w:marTop w:val="134"/>
          <w:marBottom w:val="0"/>
          <w:divBdr>
            <w:top w:val="none" w:sz="0" w:space="0" w:color="auto"/>
            <w:left w:val="none" w:sz="0" w:space="0" w:color="auto"/>
            <w:bottom w:val="none" w:sz="0" w:space="0" w:color="auto"/>
            <w:right w:val="none" w:sz="0" w:space="0" w:color="auto"/>
          </w:divBdr>
        </w:div>
      </w:divsChild>
    </w:div>
    <w:div w:id="1157569706">
      <w:bodyDiv w:val="1"/>
      <w:marLeft w:val="0"/>
      <w:marRight w:val="0"/>
      <w:marTop w:val="0"/>
      <w:marBottom w:val="0"/>
      <w:divBdr>
        <w:top w:val="none" w:sz="0" w:space="0" w:color="auto"/>
        <w:left w:val="none" w:sz="0" w:space="0" w:color="auto"/>
        <w:bottom w:val="none" w:sz="0" w:space="0" w:color="auto"/>
        <w:right w:val="none" w:sz="0" w:space="0" w:color="auto"/>
      </w:divBdr>
      <w:divsChild>
        <w:div w:id="1432168439">
          <w:marLeft w:val="0"/>
          <w:marRight w:val="0"/>
          <w:marTop w:val="0"/>
          <w:marBottom w:val="0"/>
          <w:divBdr>
            <w:top w:val="none" w:sz="0" w:space="0" w:color="auto"/>
            <w:left w:val="none" w:sz="0" w:space="0" w:color="auto"/>
            <w:bottom w:val="none" w:sz="0" w:space="0" w:color="auto"/>
            <w:right w:val="none" w:sz="0" w:space="0" w:color="auto"/>
          </w:divBdr>
        </w:div>
        <w:div w:id="904294608">
          <w:marLeft w:val="0"/>
          <w:marRight w:val="0"/>
          <w:marTop w:val="0"/>
          <w:marBottom w:val="0"/>
          <w:divBdr>
            <w:top w:val="none" w:sz="0" w:space="0" w:color="auto"/>
            <w:left w:val="none" w:sz="0" w:space="0" w:color="auto"/>
            <w:bottom w:val="none" w:sz="0" w:space="0" w:color="auto"/>
            <w:right w:val="none" w:sz="0" w:space="0" w:color="auto"/>
          </w:divBdr>
        </w:div>
        <w:div w:id="318728172">
          <w:marLeft w:val="0"/>
          <w:marRight w:val="0"/>
          <w:marTop w:val="0"/>
          <w:marBottom w:val="0"/>
          <w:divBdr>
            <w:top w:val="none" w:sz="0" w:space="0" w:color="auto"/>
            <w:left w:val="none" w:sz="0" w:space="0" w:color="auto"/>
            <w:bottom w:val="none" w:sz="0" w:space="0" w:color="auto"/>
            <w:right w:val="none" w:sz="0" w:space="0" w:color="auto"/>
          </w:divBdr>
        </w:div>
        <w:div w:id="1581059405">
          <w:marLeft w:val="0"/>
          <w:marRight w:val="0"/>
          <w:marTop w:val="0"/>
          <w:marBottom w:val="0"/>
          <w:divBdr>
            <w:top w:val="none" w:sz="0" w:space="0" w:color="auto"/>
            <w:left w:val="none" w:sz="0" w:space="0" w:color="auto"/>
            <w:bottom w:val="none" w:sz="0" w:space="0" w:color="auto"/>
            <w:right w:val="none" w:sz="0" w:space="0" w:color="auto"/>
          </w:divBdr>
        </w:div>
      </w:divsChild>
    </w:div>
    <w:div w:id="1159035085">
      <w:bodyDiv w:val="1"/>
      <w:marLeft w:val="0"/>
      <w:marRight w:val="0"/>
      <w:marTop w:val="0"/>
      <w:marBottom w:val="0"/>
      <w:divBdr>
        <w:top w:val="none" w:sz="0" w:space="0" w:color="auto"/>
        <w:left w:val="none" w:sz="0" w:space="0" w:color="auto"/>
        <w:bottom w:val="none" w:sz="0" w:space="0" w:color="auto"/>
        <w:right w:val="none" w:sz="0" w:space="0" w:color="auto"/>
      </w:divBdr>
      <w:divsChild>
        <w:div w:id="1525360744">
          <w:marLeft w:val="0"/>
          <w:marRight w:val="0"/>
          <w:marTop w:val="0"/>
          <w:marBottom w:val="0"/>
          <w:divBdr>
            <w:top w:val="none" w:sz="0" w:space="0" w:color="auto"/>
            <w:left w:val="none" w:sz="0" w:space="0" w:color="auto"/>
            <w:bottom w:val="none" w:sz="0" w:space="0" w:color="auto"/>
            <w:right w:val="none" w:sz="0" w:space="0" w:color="auto"/>
          </w:divBdr>
        </w:div>
        <w:div w:id="975111322">
          <w:marLeft w:val="0"/>
          <w:marRight w:val="0"/>
          <w:marTop w:val="0"/>
          <w:marBottom w:val="0"/>
          <w:divBdr>
            <w:top w:val="none" w:sz="0" w:space="0" w:color="auto"/>
            <w:left w:val="none" w:sz="0" w:space="0" w:color="auto"/>
            <w:bottom w:val="none" w:sz="0" w:space="0" w:color="auto"/>
            <w:right w:val="none" w:sz="0" w:space="0" w:color="auto"/>
          </w:divBdr>
        </w:div>
        <w:div w:id="279455099">
          <w:marLeft w:val="0"/>
          <w:marRight w:val="0"/>
          <w:marTop w:val="0"/>
          <w:marBottom w:val="0"/>
          <w:divBdr>
            <w:top w:val="none" w:sz="0" w:space="0" w:color="auto"/>
            <w:left w:val="none" w:sz="0" w:space="0" w:color="auto"/>
            <w:bottom w:val="none" w:sz="0" w:space="0" w:color="auto"/>
            <w:right w:val="none" w:sz="0" w:space="0" w:color="auto"/>
          </w:divBdr>
        </w:div>
        <w:div w:id="2096436888">
          <w:marLeft w:val="0"/>
          <w:marRight w:val="0"/>
          <w:marTop w:val="0"/>
          <w:marBottom w:val="0"/>
          <w:divBdr>
            <w:top w:val="none" w:sz="0" w:space="0" w:color="auto"/>
            <w:left w:val="none" w:sz="0" w:space="0" w:color="auto"/>
            <w:bottom w:val="none" w:sz="0" w:space="0" w:color="auto"/>
            <w:right w:val="none" w:sz="0" w:space="0" w:color="auto"/>
          </w:divBdr>
        </w:div>
        <w:div w:id="1118180013">
          <w:marLeft w:val="0"/>
          <w:marRight w:val="0"/>
          <w:marTop w:val="0"/>
          <w:marBottom w:val="0"/>
          <w:divBdr>
            <w:top w:val="none" w:sz="0" w:space="0" w:color="auto"/>
            <w:left w:val="none" w:sz="0" w:space="0" w:color="auto"/>
            <w:bottom w:val="none" w:sz="0" w:space="0" w:color="auto"/>
            <w:right w:val="none" w:sz="0" w:space="0" w:color="auto"/>
          </w:divBdr>
        </w:div>
        <w:div w:id="2136368256">
          <w:marLeft w:val="0"/>
          <w:marRight w:val="0"/>
          <w:marTop w:val="0"/>
          <w:marBottom w:val="0"/>
          <w:divBdr>
            <w:top w:val="none" w:sz="0" w:space="0" w:color="auto"/>
            <w:left w:val="none" w:sz="0" w:space="0" w:color="auto"/>
            <w:bottom w:val="none" w:sz="0" w:space="0" w:color="auto"/>
            <w:right w:val="none" w:sz="0" w:space="0" w:color="auto"/>
          </w:divBdr>
        </w:div>
        <w:div w:id="668795404">
          <w:marLeft w:val="0"/>
          <w:marRight w:val="0"/>
          <w:marTop w:val="0"/>
          <w:marBottom w:val="0"/>
          <w:divBdr>
            <w:top w:val="none" w:sz="0" w:space="0" w:color="auto"/>
            <w:left w:val="none" w:sz="0" w:space="0" w:color="auto"/>
            <w:bottom w:val="none" w:sz="0" w:space="0" w:color="auto"/>
            <w:right w:val="none" w:sz="0" w:space="0" w:color="auto"/>
          </w:divBdr>
        </w:div>
        <w:div w:id="12610510">
          <w:marLeft w:val="0"/>
          <w:marRight w:val="0"/>
          <w:marTop w:val="0"/>
          <w:marBottom w:val="0"/>
          <w:divBdr>
            <w:top w:val="none" w:sz="0" w:space="0" w:color="auto"/>
            <w:left w:val="none" w:sz="0" w:space="0" w:color="auto"/>
            <w:bottom w:val="none" w:sz="0" w:space="0" w:color="auto"/>
            <w:right w:val="none" w:sz="0" w:space="0" w:color="auto"/>
          </w:divBdr>
        </w:div>
        <w:div w:id="1758020753">
          <w:marLeft w:val="0"/>
          <w:marRight w:val="0"/>
          <w:marTop w:val="0"/>
          <w:marBottom w:val="0"/>
          <w:divBdr>
            <w:top w:val="none" w:sz="0" w:space="0" w:color="auto"/>
            <w:left w:val="none" w:sz="0" w:space="0" w:color="auto"/>
            <w:bottom w:val="none" w:sz="0" w:space="0" w:color="auto"/>
            <w:right w:val="none" w:sz="0" w:space="0" w:color="auto"/>
          </w:divBdr>
        </w:div>
        <w:div w:id="305361993">
          <w:marLeft w:val="0"/>
          <w:marRight w:val="0"/>
          <w:marTop w:val="0"/>
          <w:marBottom w:val="0"/>
          <w:divBdr>
            <w:top w:val="none" w:sz="0" w:space="0" w:color="auto"/>
            <w:left w:val="none" w:sz="0" w:space="0" w:color="auto"/>
            <w:bottom w:val="none" w:sz="0" w:space="0" w:color="auto"/>
            <w:right w:val="none" w:sz="0" w:space="0" w:color="auto"/>
          </w:divBdr>
        </w:div>
        <w:div w:id="883374243">
          <w:marLeft w:val="0"/>
          <w:marRight w:val="0"/>
          <w:marTop w:val="0"/>
          <w:marBottom w:val="0"/>
          <w:divBdr>
            <w:top w:val="none" w:sz="0" w:space="0" w:color="auto"/>
            <w:left w:val="none" w:sz="0" w:space="0" w:color="auto"/>
            <w:bottom w:val="none" w:sz="0" w:space="0" w:color="auto"/>
            <w:right w:val="none" w:sz="0" w:space="0" w:color="auto"/>
          </w:divBdr>
        </w:div>
        <w:div w:id="1407261002">
          <w:marLeft w:val="0"/>
          <w:marRight w:val="0"/>
          <w:marTop w:val="0"/>
          <w:marBottom w:val="0"/>
          <w:divBdr>
            <w:top w:val="none" w:sz="0" w:space="0" w:color="auto"/>
            <w:left w:val="none" w:sz="0" w:space="0" w:color="auto"/>
            <w:bottom w:val="none" w:sz="0" w:space="0" w:color="auto"/>
            <w:right w:val="none" w:sz="0" w:space="0" w:color="auto"/>
          </w:divBdr>
        </w:div>
      </w:divsChild>
    </w:div>
    <w:div w:id="1164317332">
      <w:bodyDiv w:val="1"/>
      <w:marLeft w:val="0"/>
      <w:marRight w:val="0"/>
      <w:marTop w:val="0"/>
      <w:marBottom w:val="0"/>
      <w:divBdr>
        <w:top w:val="none" w:sz="0" w:space="0" w:color="auto"/>
        <w:left w:val="none" w:sz="0" w:space="0" w:color="auto"/>
        <w:bottom w:val="none" w:sz="0" w:space="0" w:color="auto"/>
        <w:right w:val="none" w:sz="0" w:space="0" w:color="auto"/>
      </w:divBdr>
    </w:div>
    <w:div w:id="1164399157">
      <w:bodyDiv w:val="1"/>
      <w:marLeft w:val="0"/>
      <w:marRight w:val="0"/>
      <w:marTop w:val="0"/>
      <w:marBottom w:val="0"/>
      <w:divBdr>
        <w:top w:val="none" w:sz="0" w:space="0" w:color="auto"/>
        <w:left w:val="none" w:sz="0" w:space="0" w:color="auto"/>
        <w:bottom w:val="none" w:sz="0" w:space="0" w:color="auto"/>
        <w:right w:val="none" w:sz="0" w:space="0" w:color="auto"/>
      </w:divBdr>
      <w:divsChild>
        <w:div w:id="1532570535">
          <w:marLeft w:val="547"/>
          <w:marRight w:val="0"/>
          <w:marTop w:val="96"/>
          <w:marBottom w:val="0"/>
          <w:divBdr>
            <w:top w:val="none" w:sz="0" w:space="0" w:color="auto"/>
            <w:left w:val="none" w:sz="0" w:space="0" w:color="auto"/>
            <w:bottom w:val="none" w:sz="0" w:space="0" w:color="auto"/>
            <w:right w:val="none" w:sz="0" w:space="0" w:color="auto"/>
          </w:divBdr>
        </w:div>
      </w:divsChild>
    </w:div>
    <w:div w:id="1168983357">
      <w:bodyDiv w:val="1"/>
      <w:marLeft w:val="0"/>
      <w:marRight w:val="0"/>
      <w:marTop w:val="0"/>
      <w:marBottom w:val="0"/>
      <w:divBdr>
        <w:top w:val="none" w:sz="0" w:space="0" w:color="auto"/>
        <w:left w:val="none" w:sz="0" w:space="0" w:color="auto"/>
        <w:bottom w:val="none" w:sz="0" w:space="0" w:color="auto"/>
        <w:right w:val="none" w:sz="0" w:space="0" w:color="auto"/>
      </w:divBdr>
      <w:divsChild>
        <w:div w:id="207959639">
          <w:marLeft w:val="1166"/>
          <w:marRight w:val="0"/>
          <w:marTop w:val="96"/>
          <w:marBottom w:val="0"/>
          <w:divBdr>
            <w:top w:val="none" w:sz="0" w:space="0" w:color="auto"/>
            <w:left w:val="none" w:sz="0" w:space="0" w:color="auto"/>
            <w:bottom w:val="none" w:sz="0" w:space="0" w:color="auto"/>
            <w:right w:val="none" w:sz="0" w:space="0" w:color="auto"/>
          </w:divBdr>
        </w:div>
        <w:div w:id="241571180">
          <w:marLeft w:val="547"/>
          <w:marRight w:val="0"/>
          <w:marTop w:val="240"/>
          <w:marBottom w:val="0"/>
          <w:divBdr>
            <w:top w:val="none" w:sz="0" w:space="0" w:color="auto"/>
            <w:left w:val="none" w:sz="0" w:space="0" w:color="auto"/>
            <w:bottom w:val="none" w:sz="0" w:space="0" w:color="auto"/>
            <w:right w:val="none" w:sz="0" w:space="0" w:color="auto"/>
          </w:divBdr>
        </w:div>
        <w:div w:id="616377859">
          <w:marLeft w:val="1166"/>
          <w:marRight w:val="0"/>
          <w:marTop w:val="96"/>
          <w:marBottom w:val="0"/>
          <w:divBdr>
            <w:top w:val="none" w:sz="0" w:space="0" w:color="auto"/>
            <w:left w:val="none" w:sz="0" w:space="0" w:color="auto"/>
            <w:bottom w:val="none" w:sz="0" w:space="0" w:color="auto"/>
            <w:right w:val="none" w:sz="0" w:space="0" w:color="auto"/>
          </w:divBdr>
        </w:div>
        <w:div w:id="750271834">
          <w:marLeft w:val="547"/>
          <w:marRight w:val="0"/>
          <w:marTop w:val="240"/>
          <w:marBottom w:val="0"/>
          <w:divBdr>
            <w:top w:val="none" w:sz="0" w:space="0" w:color="auto"/>
            <w:left w:val="none" w:sz="0" w:space="0" w:color="auto"/>
            <w:bottom w:val="none" w:sz="0" w:space="0" w:color="auto"/>
            <w:right w:val="none" w:sz="0" w:space="0" w:color="auto"/>
          </w:divBdr>
        </w:div>
        <w:div w:id="1027635950">
          <w:marLeft w:val="1166"/>
          <w:marRight w:val="0"/>
          <w:marTop w:val="96"/>
          <w:marBottom w:val="0"/>
          <w:divBdr>
            <w:top w:val="none" w:sz="0" w:space="0" w:color="auto"/>
            <w:left w:val="none" w:sz="0" w:space="0" w:color="auto"/>
            <w:bottom w:val="none" w:sz="0" w:space="0" w:color="auto"/>
            <w:right w:val="none" w:sz="0" w:space="0" w:color="auto"/>
          </w:divBdr>
        </w:div>
        <w:div w:id="1204829278">
          <w:marLeft w:val="1166"/>
          <w:marRight w:val="0"/>
          <w:marTop w:val="96"/>
          <w:marBottom w:val="0"/>
          <w:divBdr>
            <w:top w:val="none" w:sz="0" w:space="0" w:color="auto"/>
            <w:left w:val="none" w:sz="0" w:space="0" w:color="auto"/>
            <w:bottom w:val="none" w:sz="0" w:space="0" w:color="auto"/>
            <w:right w:val="none" w:sz="0" w:space="0" w:color="auto"/>
          </w:divBdr>
        </w:div>
        <w:div w:id="1236820484">
          <w:marLeft w:val="1166"/>
          <w:marRight w:val="0"/>
          <w:marTop w:val="96"/>
          <w:marBottom w:val="0"/>
          <w:divBdr>
            <w:top w:val="none" w:sz="0" w:space="0" w:color="auto"/>
            <w:left w:val="none" w:sz="0" w:space="0" w:color="auto"/>
            <w:bottom w:val="none" w:sz="0" w:space="0" w:color="auto"/>
            <w:right w:val="none" w:sz="0" w:space="0" w:color="auto"/>
          </w:divBdr>
        </w:div>
        <w:div w:id="2015766901">
          <w:marLeft w:val="1166"/>
          <w:marRight w:val="0"/>
          <w:marTop w:val="96"/>
          <w:marBottom w:val="0"/>
          <w:divBdr>
            <w:top w:val="none" w:sz="0" w:space="0" w:color="auto"/>
            <w:left w:val="none" w:sz="0" w:space="0" w:color="auto"/>
            <w:bottom w:val="none" w:sz="0" w:space="0" w:color="auto"/>
            <w:right w:val="none" w:sz="0" w:space="0" w:color="auto"/>
          </w:divBdr>
        </w:div>
      </w:divsChild>
    </w:div>
    <w:div w:id="1176262588">
      <w:bodyDiv w:val="1"/>
      <w:marLeft w:val="0"/>
      <w:marRight w:val="0"/>
      <w:marTop w:val="0"/>
      <w:marBottom w:val="0"/>
      <w:divBdr>
        <w:top w:val="none" w:sz="0" w:space="0" w:color="auto"/>
        <w:left w:val="none" w:sz="0" w:space="0" w:color="auto"/>
        <w:bottom w:val="none" w:sz="0" w:space="0" w:color="auto"/>
        <w:right w:val="none" w:sz="0" w:space="0" w:color="auto"/>
      </w:divBdr>
    </w:div>
    <w:div w:id="1178038988">
      <w:bodyDiv w:val="1"/>
      <w:marLeft w:val="0"/>
      <w:marRight w:val="0"/>
      <w:marTop w:val="0"/>
      <w:marBottom w:val="0"/>
      <w:divBdr>
        <w:top w:val="none" w:sz="0" w:space="0" w:color="auto"/>
        <w:left w:val="none" w:sz="0" w:space="0" w:color="auto"/>
        <w:bottom w:val="none" w:sz="0" w:space="0" w:color="auto"/>
        <w:right w:val="none" w:sz="0" w:space="0" w:color="auto"/>
      </w:divBdr>
    </w:div>
    <w:div w:id="1179848817">
      <w:bodyDiv w:val="1"/>
      <w:marLeft w:val="0"/>
      <w:marRight w:val="0"/>
      <w:marTop w:val="0"/>
      <w:marBottom w:val="0"/>
      <w:divBdr>
        <w:top w:val="none" w:sz="0" w:space="0" w:color="auto"/>
        <w:left w:val="none" w:sz="0" w:space="0" w:color="auto"/>
        <w:bottom w:val="none" w:sz="0" w:space="0" w:color="auto"/>
        <w:right w:val="none" w:sz="0" w:space="0" w:color="auto"/>
      </w:divBdr>
      <w:divsChild>
        <w:div w:id="47994292">
          <w:marLeft w:val="1166"/>
          <w:marRight w:val="0"/>
          <w:marTop w:val="96"/>
          <w:marBottom w:val="0"/>
          <w:divBdr>
            <w:top w:val="none" w:sz="0" w:space="0" w:color="auto"/>
            <w:left w:val="none" w:sz="0" w:space="0" w:color="auto"/>
            <w:bottom w:val="none" w:sz="0" w:space="0" w:color="auto"/>
            <w:right w:val="none" w:sz="0" w:space="0" w:color="auto"/>
          </w:divBdr>
        </w:div>
        <w:div w:id="858085103">
          <w:marLeft w:val="547"/>
          <w:marRight w:val="0"/>
          <w:marTop w:val="115"/>
          <w:marBottom w:val="0"/>
          <w:divBdr>
            <w:top w:val="none" w:sz="0" w:space="0" w:color="auto"/>
            <w:left w:val="none" w:sz="0" w:space="0" w:color="auto"/>
            <w:bottom w:val="none" w:sz="0" w:space="0" w:color="auto"/>
            <w:right w:val="none" w:sz="0" w:space="0" w:color="auto"/>
          </w:divBdr>
        </w:div>
        <w:div w:id="1482036904">
          <w:marLeft w:val="1166"/>
          <w:marRight w:val="0"/>
          <w:marTop w:val="96"/>
          <w:marBottom w:val="0"/>
          <w:divBdr>
            <w:top w:val="none" w:sz="0" w:space="0" w:color="auto"/>
            <w:left w:val="none" w:sz="0" w:space="0" w:color="auto"/>
            <w:bottom w:val="none" w:sz="0" w:space="0" w:color="auto"/>
            <w:right w:val="none" w:sz="0" w:space="0" w:color="auto"/>
          </w:divBdr>
        </w:div>
      </w:divsChild>
    </w:div>
    <w:div w:id="1180048501">
      <w:bodyDiv w:val="1"/>
      <w:marLeft w:val="0"/>
      <w:marRight w:val="0"/>
      <w:marTop w:val="0"/>
      <w:marBottom w:val="0"/>
      <w:divBdr>
        <w:top w:val="none" w:sz="0" w:space="0" w:color="auto"/>
        <w:left w:val="none" w:sz="0" w:space="0" w:color="auto"/>
        <w:bottom w:val="none" w:sz="0" w:space="0" w:color="auto"/>
        <w:right w:val="none" w:sz="0" w:space="0" w:color="auto"/>
      </w:divBdr>
    </w:div>
    <w:div w:id="1204635330">
      <w:bodyDiv w:val="1"/>
      <w:marLeft w:val="0"/>
      <w:marRight w:val="0"/>
      <w:marTop w:val="0"/>
      <w:marBottom w:val="0"/>
      <w:divBdr>
        <w:top w:val="none" w:sz="0" w:space="0" w:color="auto"/>
        <w:left w:val="none" w:sz="0" w:space="0" w:color="auto"/>
        <w:bottom w:val="none" w:sz="0" w:space="0" w:color="auto"/>
        <w:right w:val="none" w:sz="0" w:space="0" w:color="auto"/>
      </w:divBdr>
    </w:div>
    <w:div w:id="1204638982">
      <w:bodyDiv w:val="1"/>
      <w:marLeft w:val="0"/>
      <w:marRight w:val="0"/>
      <w:marTop w:val="0"/>
      <w:marBottom w:val="0"/>
      <w:divBdr>
        <w:top w:val="none" w:sz="0" w:space="0" w:color="auto"/>
        <w:left w:val="none" w:sz="0" w:space="0" w:color="auto"/>
        <w:bottom w:val="none" w:sz="0" w:space="0" w:color="auto"/>
        <w:right w:val="none" w:sz="0" w:space="0" w:color="auto"/>
      </w:divBdr>
    </w:div>
    <w:div w:id="1205291343">
      <w:bodyDiv w:val="1"/>
      <w:marLeft w:val="0"/>
      <w:marRight w:val="0"/>
      <w:marTop w:val="0"/>
      <w:marBottom w:val="0"/>
      <w:divBdr>
        <w:top w:val="none" w:sz="0" w:space="0" w:color="auto"/>
        <w:left w:val="none" w:sz="0" w:space="0" w:color="auto"/>
        <w:bottom w:val="none" w:sz="0" w:space="0" w:color="auto"/>
        <w:right w:val="none" w:sz="0" w:space="0" w:color="auto"/>
      </w:divBdr>
      <w:divsChild>
        <w:div w:id="2059082989">
          <w:marLeft w:val="360"/>
          <w:marRight w:val="0"/>
          <w:marTop w:val="120"/>
          <w:marBottom w:val="0"/>
          <w:divBdr>
            <w:top w:val="none" w:sz="0" w:space="0" w:color="auto"/>
            <w:left w:val="none" w:sz="0" w:space="0" w:color="auto"/>
            <w:bottom w:val="none" w:sz="0" w:space="0" w:color="auto"/>
            <w:right w:val="none" w:sz="0" w:space="0" w:color="auto"/>
          </w:divBdr>
        </w:div>
      </w:divsChild>
    </w:div>
    <w:div w:id="1205631126">
      <w:bodyDiv w:val="1"/>
      <w:marLeft w:val="0"/>
      <w:marRight w:val="0"/>
      <w:marTop w:val="0"/>
      <w:marBottom w:val="0"/>
      <w:divBdr>
        <w:top w:val="none" w:sz="0" w:space="0" w:color="auto"/>
        <w:left w:val="none" w:sz="0" w:space="0" w:color="auto"/>
        <w:bottom w:val="none" w:sz="0" w:space="0" w:color="auto"/>
        <w:right w:val="none" w:sz="0" w:space="0" w:color="auto"/>
      </w:divBdr>
      <w:divsChild>
        <w:div w:id="21827070">
          <w:marLeft w:val="1296"/>
          <w:marRight w:val="0"/>
          <w:marTop w:val="120"/>
          <w:marBottom w:val="0"/>
          <w:divBdr>
            <w:top w:val="none" w:sz="0" w:space="0" w:color="auto"/>
            <w:left w:val="none" w:sz="0" w:space="0" w:color="auto"/>
            <w:bottom w:val="none" w:sz="0" w:space="0" w:color="auto"/>
            <w:right w:val="none" w:sz="0" w:space="0" w:color="auto"/>
          </w:divBdr>
        </w:div>
        <w:div w:id="263460938">
          <w:marLeft w:val="835"/>
          <w:marRight w:val="0"/>
          <w:marTop w:val="120"/>
          <w:marBottom w:val="0"/>
          <w:divBdr>
            <w:top w:val="none" w:sz="0" w:space="0" w:color="auto"/>
            <w:left w:val="none" w:sz="0" w:space="0" w:color="auto"/>
            <w:bottom w:val="none" w:sz="0" w:space="0" w:color="auto"/>
            <w:right w:val="none" w:sz="0" w:space="0" w:color="auto"/>
          </w:divBdr>
        </w:div>
        <w:div w:id="445200285">
          <w:marLeft w:val="1296"/>
          <w:marRight w:val="0"/>
          <w:marTop w:val="120"/>
          <w:marBottom w:val="0"/>
          <w:divBdr>
            <w:top w:val="none" w:sz="0" w:space="0" w:color="auto"/>
            <w:left w:val="none" w:sz="0" w:space="0" w:color="auto"/>
            <w:bottom w:val="none" w:sz="0" w:space="0" w:color="auto"/>
            <w:right w:val="none" w:sz="0" w:space="0" w:color="auto"/>
          </w:divBdr>
        </w:div>
        <w:div w:id="487402107">
          <w:marLeft w:val="1296"/>
          <w:marRight w:val="0"/>
          <w:marTop w:val="120"/>
          <w:marBottom w:val="0"/>
          <w:divBdr>
            <w:top w:val="none" w:sz="0" w:space="0" w:color="auto"/>
            <w:left w:val="none" w:sz="0" w:space="0" w:color="auto"/>
            <w:bottom w:val="none" w:sz="0" w:space="0" w:color="auto"/>
            <w:right w:val="none" w:sz="0" w:space="0" w:color="auto"/>
          </w:divBdr>
        </w:div>
        <w:div w:id="509610953">
          <w:marLeft w:val="835"/>
          <w:marRight w:val="0"/>
          <w:marTop w:val="120"/>
          <w:marBottom w:val="0"/>
          <w:divBdr>
            <w:top w:val="none" w:sz="0" w:space="0" w:color="auto"/>
            <w:left w:val="none" w:sz="0" w:space="0" w:color="auto"/>
            <w:bottom w:val="none" w:sz="0" w:space="0" w:color="auto"/>
            <w:right w:val="none" w:sz="0" w:space="0" w:color="auto"/>
          </w:divBdr>
        </w:div>
        <w:div w:id="661127343">
          <w:marLeft w:val="1670"/>
          <w:marRight w:val="0"/>
          <w:marTop w:val="120"/>
          <w:marBottom w:val="0"/>
          <w:divBdr>
            <w:top w:val="none" w:sz="0" w:space="0" w:color="auto"/>
            <w:left w:val="none" w:sz="0" w:space="0" w:color="auto"/>
            <w:bottom w:val="none" w:sz="0" w:space="0" w:color="auto"/>
            <w:right w:val="none" w:sz="0" w:space="0" w:color="auto"/>
          </w:divBdr>
        </w:div>
        <w:div w:id="682709105">
          <w:marLeft w:val="1670"/>
          <w:marRight w:val="0"/>
          <w:marTop w:val="120"/>
          <w:marBottom w:val="0"/>
          <w:divBdr>
            <w:top w:val="none" w:sz="0" w:space="0" w:color="auto"/>
            <w:left w:val="none" w:sz="0" w:space="0" w:color="auto"/>
            <w:bottom w:val="none" w:sz="0" w:space="0" w:color="auto"/>
            <w:right w:val="none" w:sz="0" w:space="0" w:color="auto"/>
          </w:divBdr>
        </w:div>
        <w:div w:id="1115295547">
          <w:marLeft w:val="1670"/>
          <w:marRight w:val="0"/>
          <w:marTop w:val="120"/>
          <w:marBottom w:val="0"/>
          <w:divBdr>
            <w:top w:val="none" w:sz="0" w:space="0" w:color="auto"/>
            <w:left w:val="none" w:sz="0" w:space="0" w:color="auto"/>
            <w:bottom w:val="none" w:sz="0" w:space="0" w:color="auto"/>
            <w:right w:val="none" w:sz="0" w:space="0" w:color="auto"/>
          </w:divBdr>
        </w:div>
        <w:div w:id="1116172998">
          <w:marLeft w:val="1296"/>
          <w:marRight w:val="0"/>
          <w:marTop w:val="120"/>
          <w:marBottom w:val="0"/>
          <w:divBdr>
            <w:top w:val="none" w:sz="0" w:space="0" w:color="auto"/>
            <w:left w:val="none" w:sz="0" w:space="0" w:color="auto"/>
            <w:bottom w:val="none" w:sz="0" w:space="0" w:color="auto"/>
            <w:right w:val="none" w:sz="0" w:space="0" w:color="auto"/>
          </w:divBdr>
        </w:div>
        <w:div w:id="1305509124">
          <w:marLeft w:val="1296"/>
          <w:marRight w:val="0"/>
          <w:marTop w:val="120"/>
          <w:marBottom w:val="0"/>
          <w:divBdr>
            <w:top w:val="none" w:sz="0" w:space="0" w:color="auto"/>
            <w:left w:val="none" w:sz="0" w:space="0" w:color="auto"/>
            <w:bottom w:val="none" w:sz="0" w:space="0" w:color="auto"/>
            <w:right w:val="none" w:sz="0" w:space="0" w:color="auto"/>
          </w:divBdr>
        </w:div>
        <w:div w:id="1584412016">
          <w:marLeft w:val="403"/>
          <w:marRight w:val="0"/>
          <w:marTop w:val="120"/>
          <w:marBottom w:val="0"/>
          <w:divBdr>
            <w:top w:val="none" w:sz="0" w:space="0" w:color="auto"/>
            <w:left w:val="none" w:sz="0" w:space="0" w:color="auto"/>
            <w:bottom w:val="none" w:sz="0" w:space="0" w:color="auto"/>
            <w:right w:val="none" w:sz="0" w:space="0" w:color="auto"/>
          </w:divBdr>
        </w:div>
        <w:div w:id="1774591057">
          <w:marLeft w:val="835"/>
          <w:marRight w:val="0"/>
          <w:marTop w:val="120"/>
          <w:marBottom w:val="0"/>
          <w:divBdr>
            <w:top w:val="none" w:sz="0" w:space="0" w:color="auto"/>
            <w:left w:val="none" w:sz="0" w:space="0" w:color="auto"/>
            <w:bottom w:val="none" w:sz="0" w:space="0" w:color="auto"/>
            <w:right w:val="none" w:sz="0" w:space="0" w:color="auto"/>
          </w:divBdr>
        </w:div>
        <w:div w:id="1946189674">
          <w:marLeft w:val="1296"/>
          <w:marRight w:val="0"/>
          <w:marTop w:val="120"/>
          <w:marBottom w:val="0"/>
          <w:divBdr>
            <w:top w:val="none" w:sz="0" w:space="0" w:color="auto"/>
            <w:left w:val="none" w:sz="0" w:space="0" w:color="auto"/>
            <w:bottom w:val="none" w:sz="0" w:space="0" w:color="auto"/>
            <w:right w:val="none" w:sz="0" w:space="0" w:color="auto"/>
          </w:divBdr>
        </w:div>
        <w:div w:id="2024353625">
          <w:marLeft w:val="1296"/>
          <w:marRight w:val="0"/>
          <w:marTop w:val="120"/>
          <w:marBottom w:val="0"/>
          <w:divBdr>
            <w:top w:val="none" w:sz="0" w:space="0" w:color="auto"/>
            <w:left w:val="none" w:sz="0" w:space="0" w:color="auto"/>
            <w:bottom w:val="none" w:sz="0" w:space="0" w:color="auto"/>
            <w:right w:val="none" w:sz="0" w:space="0" w:color="auto"/>
          </w:divBdr>
        </w:div>
      </w:divsChild>
    </w:div>
    <w:div w:id="1207379195">
      <w:bodyDiv w:val="1"/>
      <w:marLeft w:val="0"/>
      <w:marRight w:val="0"/>
      <w:marTop w:val="0"/>
      <w:marBottom w:val="0"/>
      <w:divBdr>
        <w:top w:val="none" w:sz="0" w:space="0" w:color="auto"/>
        <w:left w:val="none" w:sz="0" w:space="0" w:color="auto"/>
        <w:bottom w:val="none" w:sz="0" w:space="0" w:color="auto"/>
        <w:right w:val="none" w:sz="0" w:space="0" w:color="auto"/>
      </w:divBdr>
    </w:div>
    <w:div w:id="1208182457">
      <w:bodyDiv w:val="1"/>
      <w:marLeft w:val="0"/>
      <w:marRight w:val="0"/>
      <w:marTop w:val="0"/>
      <w:marBottom w:val="0"/>
      <w:divBdr>
        <w:top w:val="none" w:sz="0" w:space="0" w:color="auto"/>
        <w:left w:val="none" w:sz="0" w:space="0" w:color="auto"/>
        <w:bottom w:val="none" w:sz="0" w:space="0" w:color="auto"/>
        <w:right w:val="none" w:sz="0" w:space="0" w:color="auto"/>
      </w:divBdr>
      <w:divsChild>
        <w:div w:id="98109905">
          <w:marLeft w:val="360"/>
          <w:marRight w:val="0"/>
          <w:marTop w:val="200"/>
          <w:marBottom w:val="0"/>
          <w:divBdr>
            <w:top w:val="none" w:sz="0" w:space="0" w:color="auto"/>
            <w:left w:val="none" w:sz="0" w:space="0" w:color="auto"/>
            <w:bottom w:val="none" w:sz="0" w:space="0" w:color="auto"/>
            <w:right w:val="none" w:sz="0" w:space="0" w:color="auto"/>
          </w:divBdr>
        </w:div>
        <w:div w:id="312176434">
          <w:marLeft w:val="1080"/>
          <w:marRight w:val="0"/>
          <w:marTop w:val="100"/>
          <w:marBottom w:val="0"/>
          <w:divBdr>
            <w:top w:val="none" w:sz="0" w:space="0" w:color="auto"/>
            <w:left w:val="none" w:sz="0" w:space="0" w:color="auto"/>
            <w:bottom w:val="none" w:sz="0" w:space="0" w:color="auto"/>
            <w:right w:val="none" w:sz="0" w:space="0" w:color="auto"/>
          </w:divBdr>
        </w:div>
        <w:div w:id="799957287">
          <w:marLeft w:val="1080"/>
          <w:marRight w:val="0"/>
          <w:marTop w:val="100"/>
          <w:marBottom w:val="0"/>
          <w:divBdr>
            <w:top w:val="none" w:sz="0" w:space="0" w:color="auto"/>
            <w:left w:val="none" w:sz="0" w:space="0" w:color="auto"/>
            <w:bottom w:val="none" w:sz="0" w:space="0" w:color="auto"/>
            <w:right w:val="none" w:sz="0" w:space="0" w:color="auto"/>
          </w:divBdr>
        </w:div>
        <w:div w:id="911159902">
          <w:marLeft w:val="1080"/>
          <w:marRight w:val="0"/>
          <w:marTop w:val="100"/>
          <w:marBottom w:val="0"/>
          <w:divBdr>
            <w:top w:val="none" w:sz="0" w:space="0" w:color="auto"/>
            <w:left w:val="none" w:sz="0" w:space="0" w:color="auto"/>
            <w:bottom w:val="none" w:sz="0" w:space="0" w:color="auto"/>
            <w:right w:val="none" w:sz="0" w:space="0" w:color="auto"/>
          </w:divBdr>
        </w:div>
        <w:div w:id="1407607507">
          <w:marLeft w:val="1080"/>
          <w:marRight w:val="0"/>
          <w:marTop w:val="100"/>
          <w:marBottom w:val="0"/>
          <w:divBdr>
            <w:top w:val="none" w:sz="0" w:space="0" w:color="auto"/>
            <w:left w:val="none" w:sz="0" w:space="0" w:color="auto"/>
            <w:bottom w:val="none" w:sz="0" w:space="0" w:color="auto"/>
            <w:right w:val="none" w:sz="0" w:space="0" w:color="auto"/>
          </w:divBdr>
        </w:div>
        <w:div w:id="1647127387">
          <w:marLeft w:val="1080"/>
          <w:marRight w:val="0"/>
          <w:marTop w:val="100"/>
          <w:marBottom w:val="0"/>
          <w:divBdr>
            <w:top w:val="none" w:sz="0" w:space="0" w:color="auto"/>
            <w:left w:val="none" w:sz="0" w:space="0" w:color="auto"/>
            <w:bottom w:val="none" w:sz="0" w:space="0" w:color="auto"/>
            <w:right w:val="none" w:sz="0" w:space="0" w:color="auto"/>
          </w:divBdr>
        </w:div>
        <w:div w:id="1872104364">
          <w:marLeft w:val="1080"/>
          <w:marRight w:val="0"/>
          <w:marTop w:val="100"/>
          <w:marBottom w:val="0"/>
          <w:divBdr>
            <w:top w:val="none" w:sz="0" w:space="0" w:color="auto"/>
            <w:left w:val="none" w:sz="0" w:space="0" w:color="auto"/>
            <w:bottom w:val="none" w:sz="0" w:space="0" w:color="auto"/>
            <w:right w:val="none" w:sz="0" w:space="0" w:color="auto"/>
          </w:divBdr>
        </w:div>
        <w:div w:id="1940288599">
          <w:marLeft w:val="360"/>
          <w:marRight w:val="0"/>
          <w:marTop w:val="200"/>
          <w:marBottom w:val="0"/>
          <w:divBdr>
            <w:top w:val="none" w:sz="0" w:space="0" w:color="auto"/>
            <w:left w:val="none" w:sz="0" w:space="0" w:color="auto"/>
            <w:bottom w:val="none" w:sz="0" w:space="0" w:color="auto"/>
            <w:right w:val="none" w:sz="0" w:space="0" w:color="auto"/>
          </w:divBdr>
        </w:div>
        <w:div w:id="2025521268">
          <w:marLeft w:val="1080"/>
          <w:marRight w:val="0"/>
          <w:marTop w:val="100"/>
          <w:marBottom w:val="0"/>
          <w:divBdr>
            <w:top w:val="none" w:sz="0" w:space="0" w:color="auto"/>
            <w:left w:val="none" w:sz="0" w:space="0" w:color="auto"/>
            <w:bottom w:val="none" w:sz="0" w:space="0" w:color="auto"/>
            <w:right w:val="none" w:sz="0" w:space="0" w:color="auto"/>
          </w:divBdr>
        </w:div>
      </w:divsChild>
    </w:div>
    <w:div w:id="1208882387">
      <w:bodyDiv w:val="1"/>
      <w:marLeft w:val="0"/>
      <w:marRight w:val="0"/>
      <w:marTop w:val="0"/>
      <w:marBottom w:val="0"/>
      <w:divBdr>
        <w:top w:val="none" w:sz="0" w:space="0" w:color="auto"/>
        <w:left w:val="none" w:sz="0" w:space="0" w:color="auto"/>
        <w:bottom w:val="none" w:sz="0" w:space="0" w:color="auto"/>
        <w:right w:val="none" w:sz="0" w:space="0" w:color="auto"/>
      </w:divBdr>
    </w:div>
    <w:div w:id="1220828498">
      <w:bodyDiv w:val="1"/>
      <w:marLeft w:val="0"/>
      <w:marRight w:val="0"/>
      <w:marTop w:val="0"/>
      <w:marBottom w:val="0"/>
      <w:divBdr>
        <w:top w:val="none" w:sz="0" w:space="0" w:color="auto"/>
        <w:left w:val="none" w:sz="0" w:space="0" w:color="auto"/>
        <w:bottom w:val="none" w:sz="0" w:space="0" w:color="auto"/>
        <w:right w:val="none" w:sz="0" w:space="0" w:color="auto"/>
      </w:divBdr>
    </w:div>
    <w:div w:id="1230727341">
      <w:bodyDiv w:val="1"/>
      <w:marLeft w:val="0"/>
      <w:marRight w:val="0"/>
      <w:marTop w:val="0"/>
      <w:marBottom w:val="0"/>
      <w:divBdr>
        <w:top w:val="none" w:sz="0" w:space="0" w:color="auto"/>
        <w:left w:val="none" w:sz="0" w:space="0" w:color="auto"/>
        <w:bottom w:val="none" w:sz="0" w:space="0" w:color="auto"/>
        <w:right w:val="none" w:sz="0" w:space="0" w:color="auto"/>
      </w:divBdr>
    </w:div>
    <w:div w:id="1240091138">
      <w:bodyDiv w:val="1"/>
      <w:marLeft w:val="0"/>
      <w:marRight w:val="0"/>
      <w:marTop w:val="0"/>
      <w:marBottom w:val="0"/>
      <w:divBdr>
        <w:top w:val="none" w:sz="0" w:space="0" w:color="auto"/>
        <w:left w:val="none" w:sz="0" w:space="0" w:color="auto"/>
        <w:bottom w:val="none" w:sz="0" w:space="0" w:color="auto"/>
        <w:right w:val="none" w:sz="0" w:space="0" w:color="auto"/>
      </w:divBdr>
    </w:div>
    <w:div w:id="1243836758">
      <w:bodyDiv w:val="1"/>
      <w:marLeft w:val="0"/>
      <w:marRight w:val="0"/>
      <w:marTop w:val="0"/>
      <w:marBottom w:val="0"/>
      <w:divBdr>
        <w:top w:val="none" w:sz="0" w:space="0" w:color="auto"/>
        <w:left w:val="none" w:sz="0" w:space="0" w:color="auto"/>
        <w:bottom w:val="none" w:sz="0" w:space="0" w:color="auto"/>
        <w:right w:val="none" w:sz="0" w:space="0" w:color="auto"/>
      </w:divBdr>
      <w:divsChild>
        <w:div w:id="126552895">
          <w:marLeft w:val="1166"/>
          <w:marRight w:val="0"/>
          <w:marTop w:val="86"/>
          <w:marBottom w:val="0"/>
          <w:divBdr>
            <w:top w:val="none" w:sz="0" w:space="0" w:color="auto"/>
            <w:left w:val="none" w:sz="0" w:space="0" w:color="auto"/>
            <w:bottom w:val="none" w:sz="0" w:space="0" w:color="auto"/>
            <w:right w:val="none" w:sz="0" w:space="0" w:color="auto"/>
          </w:divBdr>
        </w:div>
        <w:div w:id="914052504">
          <w:marLeft w:val="547"/>
          <w:marRight w:val="0"/>
          <w:marTop w:val="240"/>
          <w:marBottom w:val="0"/>
          <w:divBdr>
            <w:top w:val="none" w:sz="0" w:space="0" w:color="auto"/>
            <w:left w:val="none" w:sz="0" w:space="0" w:color="auto"/>
            <w:bottom w:val="none" w:sz="0" w:space="0" w:color="auto"/>
            <w:right w:val="none" w:sz="0" w:space="0" w:color="auto"/>
          </w:divBdr>
        </w:div>
        <w:div w:id="1095204341">
          <w:marLeft w:val="1166"/>
          <w:marRight w:val="0"/>
          <w:marTop w:val="86"/>
          <w:marBottom w:val="0"/>
          <w:divBdr>
            <w:top w:val="none" w:sz="0" w:space="0" w:color="auto"/>
            <w:left w:val="none" w:sz="0" w:space="0" w:color="auto"/>
            <w:bottom w:val="none" w:sz="0" w:space="0" w:color="auto"/>
            <w:right w:val="none" w:sz="0" w:space="0" w:color="auto"/>
          </w:divBdr>
        </w:div>
        <w:div w:id="1111097375">
          <w:marLeft w:val="1166"/>
          <w:marRight w:val="0"/>
          <w:marTop w:val="86"/>
          <w:marBottom w:val="0"/>
          <w:divBdr>
            <w:top w:val="none" w:sz="0" w:space="0" w:color="auto"/>
            <w:left w:val="none" w:sz="0" w:space="0" w:color="auto"/>
            <w:bottom w:val="none" w:sz="0" w:space="0" w:color="auto"/>
            <w:right w:val="none" w:sz="0" w:space="0" w:color="auto"/>
          </w:divBdr>
        </w:div>
        <w:div w:id="1228691257">
          <w:marLeft w:val="1166"/>
          <w:marRight w:val="0"/>
          <w:marTop w:val="86"/>
          <w:marBottom w:val="0"/>
          <w:divBdr>
            <w:top w:val="none" w:sz="0" w:space="0" w:color="auto"/>
            <w:left w:val="none" w:sz="0" w:space="0" w:color="auto"/>
            <w:bottom w:val="none" w:sz="0" w:space="0" w:color="auto"/>
            <w:right w:val="none" w:sz="0" w:space="0" w:color="auto"/>
          </w:divBdr>
        </w:div>
        <w:div w:id="1605848442">
          <w:marLeft w:val="547"/>
          <w:marRight w:val="0"/>
          <w:marTop w:val="240"/>
          <w:marBottom w:val="0"/>
          <w:divBdr>
            <w:top w:val="none" w:sz="0" w:space="0" w:color="auto"/>
            <w:left w:val="none" w:sz="0" w:space="0" w:color="auto"/>
            <w:bottom w:val="none" w:sz="0" w:space="0" w:color="auto"/>
            <w:right w:val="none" w:sz="0" w:space="0" w:color="auto"/>
          </w:divBdr>
        </w:div>
        <w:div w:id="2006128334">
          <w:marLeft w:val="1166"/>
          <w:marRight w:val="0"/>
          <w:marTop w:val="86"/>
          <w:marBottom w:val="0"/>
          <w:divBdr>
            <w:top w:val="none" w:sz="0" w:space="0" w:color="auto"/>
            <w:left w:val="none" w:sz="0" w:space="0" w:color="auto"/>
            <w:bottom w:val="none" w:sz="0" w:space="0" w:color="auto"/>
            <w:right w:val="none" w:sz="0" w:space="0" w:color="auto"/>
          </w:divBdr>
        </w:div>
      </w:divsChild>
    </w:div>
    <w:div w:id="1249999703">
      <w:bodyDiv w:val="1"/>
      <w:marLeft w:val="0"/>
      <w:marRight w:val="0"/>
      <w:marTop w:val="0"/>
      <w:marBottom w:val="0"/>
      <w:divBdr>
        <w:top w:val="none" w:sz="0" w:space="0" w:color="auto"/>
        <w:left w:val="none" w:sz="0" w:space="0" w:color="auto"/>
        <w:bottom w:val="none" w:sz="0" w:space="0" w:color="auto"/>
        <w:right w:val="none" w:sz="0" w:space="0" w:color="auto"/>
      </w:divBdr>
    </w:div>
    <w:div w:id="1257517934">
      <w:bodyDiv w:val="1"/>
      <w:marLeft w:val="0"/>
      <w:marRight w:val="0"/>
      <w:marTop w:val="0"/>
      <w:marBottom w:val="0"/>
      <w:divBdr>
        <w:top w:val="none" w:sz="0" w:space="0" w:color="auto"/>
        <w:left w:val="none" w:sz="0" w:space="0" w:color="auto"/>
        <w:bottom w:val="none" w:sz="0" w:space="0" w:color="auto"/>
        <w:right w:val="none" w:sz="0" w:space="0" w:color="auto"/>
      </w:divBdr>
    </w:div>
    <w:div w:id="1261572144">
      <w:bodyDiv w:val="1"/>
      <w:marLeft w:val="0"/>
      <w:marRight w:val="0"/>
      <w:marTop w:val="0"/>
      <w:marBottom w:val="0"/>
      <w:divBdr>
        <w:top w:val="none" w:sz="0" w:space="0" w:color="auto"/>
        <w:left w:val="none" w:sz="0" w:space="0" w:color="auto"/>
        <w:bottom w:val="none" w:sz="0" w:space="0" w:color="auto"/>
        <w:right w:val="none" w:sz="0" w:space="0" w:color="auto"/>
      </w:divBdr>
    </w:div>
    <w:div w:id="1269040380">
      <w:bodyDiv w:val="1"/>
      <w:marLeft w:val="0"/>
      <w:marRight w:val="0"/>
      <w:marTop w:val="0"/>
      <w:marBottom w:val="0"/>
      <w:divBdr>
        <w:top w:val="none" w:sz="0" w:space="0" w:color="auto"/>
        <w:left w:val="none" w:sz="0" w:space="0" w:color="auto"/>
        <w:bottom w:val="none" w:sz="0" w:space="0" w:color="auto"/>
        <w:right w:val="none" w:sz="0" w:space="0" w:color="auto"/>
      </w:divBdr>
    </w:div>
    <w:div w:id="1277983304">
      <w:bodyDiv w:val="1"/>
      <w:marLeft w:val="0"/>
      <w:marRight w:val="0"/>
      <w:marTop w:val="0"/>
      <w:marBottom w:val="0"/>
      <w:divBdr>
        <w:top w:val="none" w:sz="0" w:space="0" w:color="auto"/>
        <w:left w:val="none" w:sz="0" w:space="0" w:color="auto"/>
        <w:bottom w:val="none" w:sz="0" w:space="0" w:color="auto"/>
        <w:right w:val="none" w:sz="0" w:space="0" w:color="auto"/>
      </w:divBdr>
      <w:divsChild>
        <w:div w:id="1748262046">
          <w:marLeft w:val="547"/>
          <w:marRight w:val="0"/>
          <w:marTop w:val="120"/>
          <w:marBottom w:val="0"/>
          <w:divBdr>
            <w:top w:val="none" w:sz="0" w:space="0" w:color="auto"/>
            <w:left w:val="none" w:sz="0" w:space="0" w:color="auto"/>
            <w:bottom w:val="none" w:sz="0" w:space="0" w:color="auto"/>
            <w:right w:val="none" w:sz="0" w:space="0" w:color="auto"/>
          </w:divBdr>
        </w:div>
        <w:div w:id="1884322760">
          <w:marLeft w:val="547"/>
          <w:marRight w:val="0"/>
          <w:marTop w:val="120"/>
          <w:marBottom w:val="0"/>
          <w:divBdr>
            <w:top w:val="none" w:sz="0" w:space="0" w:color="auto"/>
            <w:left w:val="none" w:sz="0" w:space="0" w:color="auto"/>
            <w:bottom w:val="none" w:sz="0" w:space="0" w:color="auto"/>
            <w:right w:val="none" w:sz="0" w:space="0" w:color="auto"/>
          </w:divBdr>
        </w:div>
      </w:divsChild>
    </w:div>
    <w:div w:id="1287352145">
      <w:bodyDiv w:val="1"/>
      <w:marLeft w:val="0"/>
      <w:marRight w:val="0"/>
      <w:marTop w:val="0"/>
      <w:marBottom w:val="0"/>
      <w:divBdr>
        <w:top w:val="none" w:sz="0" w:space="0" w:color="auto"/>
        <w:left w:val="none" w:sz="0" w:space="0" w:color="auto"/>
        <w:bottom w:val="none" w:sz="0" w:space="0" w:color="auto"/>
        <w:right w:val="none" w:sz="0" w:space="0" w:color="auto"/>
      </w:divBdr>
      <w:divsChild>
        <w:div w:id="253559387">
          <w:marLeft w:val="0"/>
          <w:marRight w:val="0"/>
          <w:marTop w:val="0"/>
          <w:marBottom w:val="0"/>
          <w:divBdr>
            <w:top w:val="none" w:sz="0" w:space="0" w:color="auto"/>
            <w:left w:val="none" w:sz="0" w:space="0" w:color="auto"/>
            <w:bottom w:val="none" w:sz="0" w:space="0" w:color="auto"/>
            <w:right w:val="none" w:sz="0" w:space="0" w:color="auto"/>
          </w:divBdr>
        </w:div>
        <w:div w:id="1769890271">
          <w:marLeft w:val="0"/>
          <w:marRight w:val="0"/>
          <w:marTop w:val="0"/>
          <w:marBottom w:val="0"/>
          <w:divBdr>
            <w:top w:val="none" w:sz="0" w:space="0" w:color="auto"/>
            <w:left w:val="none" w:sz="0" w:space="0" w:color="auto"/>
            <w:bottom w:val="none" w:sz="0" w:space="0" w:color="auto"/>
            <w:right w:val="none" w:sz="0" w:space="0" w:color="auto"/>
          </w:divBdr>
        </w:div>
        <w:div w:id="1947346628">
          <w:marLeft w:val="0"/>
          <w:marRight w:val="0"/>
          <w:marTop w:val="0"/>
          <w:marBottom w:val="0"/>
          <w:divBdr>
            <w:top w:val="none" w:sz="0" w:space="0" w:color="auto"/>
            <w:left w:val="none" w:sz="0" w:space="0" w:color="auto"/>
            <w:bottom w:val="none" w:sz="0" w:space="0" w:color="auto"/>
            <w:right w:val="none" w:sz="0" w:space="0" w:color="auto"/>
          </w:divBdr>
        </w:div>
      </w:divsChild>
    </w:div>
    <w:div w:id="1288311789">
      <w:bodyDiv w:val="1"/>
      <w:marLeft w:val="0"/>
      <w:marRight w:val="0"/>
      <w:marTop w:val="0"/>
      <w:marBottom w:val="0"/>
      <w:divBdr>
        <w:top w:val="none" w:sz="0" w:space="0" w:color="auto"/>
        <w:left w:val="none" w:sz="0" w:space="0" w:color="auto"/>
        <w:bottom w:val="none" w:sz="0" w:space="0" w:color="auto"/>
        <w:right w:val="none" w:sz="0" w:space="0" w:color="auto"/>
      </w:divBdr>
    </w:div>
    <w:div w:id="1292370037">
      <w:bodyDiv w:val="1"/>
      <w:marLeft w:val="0"/>
      <w:marRight w:val="0"/>
      <w:marTop w:val="0"/>
      <w:marBottom w:val="0"/>
      <w:divBdr>
        <w:top w:val="none" w:sz="0" w:space="0" w:color="auto"/>
        <w:left w:val="none" w:sz="0" w:space="0" w:color="auto"/>
        <w:bottom w:val="none" w:sz="0" w:space="0" w:color="auto"/>
        <w:right w:val="none" w:sz="0" w:space="0" w:color="auto"/>
      </w:divBdr>
      <w:divsChild>
        <w:div w:id="191964710">
          <w:marLeft w:val="360"/>
          <w:marRight w:val="0"/>
          <w:marTop w:val="120"/>
          <w:marBottom w:val="0"/>
          <w:divBdr>
            <w:top w:val="none" w:sz="0" w:space="0" w:color="auto"/>
            <w:left w:val="none" w:sz="0" w:space="0" w:color="auto"/>
            <w:bottom w:val="none" w:sz="0" w:space="0" w:color="auto"/>
            <w:right w:val="none" w:sz="0" w:space="0" w:color="auto"/>
          </w:divBdr>
        </w:div>
        <w:div w:id="328409784">
          <w:marLeft w:val="360"/>
          <w:marRight w:val="0"/>
          <w:marTop w:val="120"/>
          <w:marBottom w:val="0"/>
          <w:divBdr>
            <w:top w:val="none" w:sz="0" w:space="0" w:color="auto"/>
            <w:left w:val="none" w:sz="0" w:space="0" w:color="auto"/>
            <w:bottom w:val="none" w:sz="0" w:space="0" w:color="auto"/>
            <w:right w:val="none" w:sz="0" w:space="0" w:color="auto"/>
          </w:divBdr>
        </w:div>
        <w:div w:id="514661403">
          <w:marLeft w:val="1526"/>
          <w:marRight w:val="0"/>
          <w:marTop w:val="120"/>
          <w:marBottom w:val="0"/>
          <w:divBdr>
            <w:top w:val="none" w:sz="0" w:space="0" w:color="auto"/>
            <w:left w:val="none" w:sz="0" w:space="0" w:color="auto"/>
            <w:bottom w:val="none" w:sz="0" w:space="0" w:color="auto"/>
            <w:right w:val="none" w:sz="0" w:space="0" w:color="auto"/>
          </w:divBdr>
        </w:div>
        <w:div w:id="576745242">
          <w:marLeft w:val="1526"/>
          <w:marRight w:val="0"/>
          <w:marTop w:val="120"/>
          <w:marBottom w:val="0"/>
          <w:divBdr>
            <w:top w:val="none" w:sz="0" w:space="0" w:color="auto"/>
            <w:left w:val="none" w:sz="0" w:space="0" w:color="auto"/>
            <w:bottom w:val="none" w:sz="0" w:space="0" w:color="auto"/>
            <w:right w:val="none" w:sz="0" w:space="0" w:color="auto"/>
          </w:divBdr>
        </w:div>
        <w:div w:id="870997591">
          <w:marLeft w:val="907"/>
          <w:marRight w:val="0"/>
          <w:marTop w:val="120"/>
          <w:marBottom w:val="0"/>
          <w:divBdr>
            <w:top w:val="none" w:sz="0" w:space="0" w:color="auto"/>
            <w:left w:val="none" w:sz="0" w:space="0" w:color="auto"/>
            <w:bottom w:val="none" w:sz="0" w:space="0" w:color="auto"/>
            <w:right w:val="none" w:sz="0" w:space="0" w:color="auto"/>
          </w:divBdr>
        </w:div>
        <w:div w:id="990519849">
          <w:marLeft w:val="907"/>
          <w:marRight w:val="0"/>
          <w:marTop w:val="120"/>
          <w:marBottom w:val="0"/>
          <w:divBdr>
            <w:top w:val="none" w:sz="0" w:space="0" w:color="auto"/>
            <w:left w:val="none" w:sz="0" w:space="0" w:color="auto"/>
            <w:bottom w:val="none" w:sz="0" w:space="0" w:color="auto"/>
            <w:right w:val="none" w:sz="0" w:space="0" w:color="auto"/>
          </w:divBdr>
        </w:div>
        <w:div w:id="1384253959">
          <w:marLeft w:val="907"/>
          <w:marRight w:val="0"/>
          <w:marTop w:val="120"/>
          <w:marBottom w:val="0"/>
          <w:divBdr>
            <w:top w:val="none" w:sz="0" w:space="0" w:color="auto"/>
            <w:left w:val="none" w:sz="0" w:space="0" w:color="auto"/>
            <w:bottom w:val="none" w:sz="0" w:space="0" w:color="auto"/>
            <w:right w:val="none" w:sz="0" w:space="0" w:color="auto"/>
          </w:divBdr>
        </w:div>
        <w:div w:id="1389569853">
          <w:marLeft w:val="1526"/>
          <w:marRight w:val="0"/>
          <w:marTop w:val="120"/>
          <w:marBottom w:val="0"/>
          <w:divBdr>
            <w:top w:val="none" w:sz="0" w:space="0" w:color="auto"/>
            <w:left w:val="none" w:sz="0" w:space="0" w:color="auto"/>
            <w:bottom w:val="none" w:sz="0" w:space="0" w:color="auto"/>
            <w:right w:val="none" w:sz="0" w:space="0" w:color="auto"/>
          </w:divBdr>
        </w:div>
        <w:div w:id="1475289449">
          <w:marLeft w:val="1526"/>
          <w:marRight w:val="0"/>
          <w:marTop w:val="120"/>
          <w:marBottom w:val="0"/>
          <w:divBdr>
            <w:top w:val="none" w:sz="0" w:space="0" w:color="auto"/>
            <w:left w:val="none" w:sz="0" w:space="0" w:color="auto"/>
            <w:bottom w:val="none" w:sz="0" w:space="0" w:color="auto"/>
            <w:right w:val="none" w:sz="0" w:space="0" w:color="auto"/>
          </w:divBdr>
        </w:div>
        <w:div w:id="1683241424">
          <w:marLeft w:val="907"/>
          <w:marRight w:val="0"/>
          <w:marTop w:val="120"/>
          <w:marBottom w:val="0"/>
          <w:divBdr>
            <w:top w:val="none" w:sz="0" w:space="0" w:color="auto"/>
            <w:left w:val="none" w:sz="0" w:space="0" w:color="auto"/>
            <w:bottom w:val="none" w:sz="0" w:space="0" w:color="auto"/>
            <w:right w:val="none" w:sz="0" w:space="0" w:color="auto"/>
          </w:divBdr>
        </w:div>
      </w:divsChild>
    </w:div>
    <w:div w:id="1296521501">
      <w:bodyDiv w:val="1"/>
      <w:marLeft w:val="0"/>
      <w:marRight w:val="0"/>
      <w:marTop w:val="0"/>
      <w:marBottom w:val="0"/>
      <w:divBdr>
        <w:top w:val="none" w:sz="0" w:space="0" w:color="auto"/>
        <w:left w:val="none" w:sz="0" w:space="0" w:color="auto"/>
        <w:bottom w:val="none" w:sz="0" w:space="0" w:color="auto"/>
        <w:right w:val="none" w:sz="0" w:space="0" w:color="auto"/>
      </w:divBdr>
    </w:div>
    <w:div w:id="1299456833">
      <w:bodyDiv w:val="1"/>
      <w:marLeft w:val="0"/>
      <w:marRight w:val="0"/>
      <w:marTop w:val="0"/>
      <w:marBottom w:val="0"/>
      <w:divBdr>
        <w:top w:val="none" w:sz="0" w:space="0" w:color="auto"/>
        <w:left w:val="none" w:sz="0" w:space="0" w:color="auto"/>
        <w:bottom w:val="none" w:sz="0" w:space="0" w:color="auto"/>
        <w:right w:val="none" w:sz="0" w:space="0" w:color="auto"/>
      </w:divBdr>
    </w:div>
    <w:div w:id="1300527945">
      <w:bodyDiv w:val="1"/>
      <w:marLeft w:val="0"/>
      <w:marRight w:val="0"/>
      <w:marTop w:val="0"/>
      <w:marBottom w:val="0"/>
      <w:divBdr>
        <w:top w:val="none" w:sz="0" w:space="0" w:color="auto"/>
        <w:left w:val="none" w:sz="0" w:space="0" w:color="auto"/>
        <w:bottom w:val="none" w:sz="0" w:space="0" w:color="auto"/>
        <w:right w:val="none" w:sz="0" w:space="0" w:color="auto"/>
      </w:divBdr>
    </w:div>
    <w:div w:id="1301375378">
      <w:bodyDiv w:val="1"/>
      <w:marLeft w:val="0"/>
      <w:marRight w:val="0"/>
      <w:marTop w:val="0"/>
      <w:marBottom w:val="0"/>
      <w:divBdr>
        <w:top w:val="none" w:sz="0" w:space="0" w:color="auto"/>
        <w:left w:val="none" w:sz="0" w:space="0" w:color="auto"/>
        <w:bottom w:val="none" w:sz="0" w:space="0" w:color="auto"/>
        <w:right w:val="none" w:sz="0" w:space="0" w:color="auto"/>
      </w:divBdr>
    </w:div>
    <w:div w:id="1305353965">
      <w:bodyDiv w:val="1"/>
      <w:marLeft w:val="0"/>
      <w:marRight w:val="0"/>
      <w:marTop w:val="0"/>
      <w:marBottom w:val="0"/>
      <w:divBdr>
        <w:top w:val="none" w:sz="0" w:space="0" w:color="auto"/>
        <w:left w:val="none" w:sz="0" w:space="0" w:color="auto"/>
        <w:bottom w:val="none" w:sz="0" w:space="0" w:color="auto"/>
        <w:right w:val="none" w:sz="0" w:space="0" w:color="auto"/>
      </w:divBdr>
    </w:div>
    <w:div w:id="1309674441">
      <w:bodyDiv w:val="1"/>
      <w:marLeft w:val="0"/>
      <w:marRight w:val="0"/>
      <w:marTop w:val="0"/>
      <w:marBottom w:val="0"/>
      <w:divBdr>
        <w:top w:val="none" w:sz="0" w:space="0" w:color="auto"/>
        <w:left w:val="none" w:sz="0" w:space="0" w:color="auto"/>
        <w:bottom w:val="none" w:sz="0" w:space="0" w:color="auto"/>
        <w:right w:val="none" w:sz="0" w:space="0" w:color="auto"/>
      </w:divBdr>
    </w:div>
    <w:div w:id="1312249165">
      <w:bodyDiv w:val="1"/>
      <w:marLeft w:val="0"/>
      <w:marRight w:val="0"/>
      <w:marTop w:val="0"/>
      <w:marBottom w:val="0"/>
      <w:divBdr>
        <w:top w:val="none" w:sz="0" w:space="0" w:color="auto"/>
        <w:left w:val="none" w:sz="0" w:space="0" w:color="auto"/>
        <w:bottom w:val="none" w:sz="0" w:space="0" w:color="auto"/>
        <w:right w:val="none" w:sz="0" w:space="0" w:color="auto"/>
      </w:divBdr>
    </w:div>
    <w:div w:id="1315841687">
      <w:bodyDiv w:val="1"/>
      <w:marLeft w:val="0"/>
      <w:marRight w:val="0"/>
      <w:marTop w:val="0"/>
      <w:marBottom w:val="0"/>
      <w:divBdr>
        <w:top w:val="none" w:sz="0" w:space="0" w:color="auto"/>
        <w:left w:val="none" w:sz="0" w:space="0" w:color="auto"/>
        <w:bottom w:val="none" w:sz="0" w:space="0" w:color="auto"/>
        <w:right w:val="none" w:sz="0" w:space="0" w:color="auto"/>
      </w:divBdr>
      <w:divsChild>
        <w:div w:id="104619345">
          <w:marLeft w:val="547"/>
          <w:marRight w:val="0"/>
          <w:marTop w:val="115"/>
          <w:marBottom w:val="0"/>
          <w:divBdr>
            <w:top w:val="none" w:sz="0" w:space="0" w:color="auto"/>
            <w:left w:val="none" w:sz="0" w:space="0" w:color="auto"/>
            <w:bottom w:val="none" w:sz="0" w:space="0" w:color="auto"/>
            <w:right w:val="none" w:sz="0" w:space="0" w:color="auto"/>
          </w:divBdr>
        </w:div>
        <w:div w:id="520244514">
          <w:marLeft w:val="1166"/>
          <w:marRight w:val="0"/>
          <w:marTop w:val="96"/>
          <w:marBottom w:val="0"/>
          <w:divBdr>
            <w:top w:val="none" w:sz="0" w:space="0" w:color="auto"/>
            <w:left w:val="none" w:sz="0" w:space="0" w:color="auto"/>
            <w:bottom w:val="none" w:sz="0" w:space="0" w:color="auto"/>
            <w:right w:val="none" w:sz="0" w:space="0" w:color="auto"/>
          </w:divBdr>
        </w:div>
        <w:div w:id="532620126">
          <w:marLeft w:val="1800"/>
          <w:marRight w:val="0"/>
          <w:marTop w:val="77"/>
          <w:marBottom w:val="0"/>
          <w:divBdr>
            <w:top w:val="none" w:sz="0" w:space="0" w:color="auto"/>
            <w:left w:val="none" w:sz="0" w:space="0" w:color="auto"/>
            <w:bottom w:val="none" w:sz="0" w:space="0" w:color="auto"/>
            <w:right w:val="none" w:sz="0" w:space="0" w:color="auto"/>
          </w:divBdr>
        </w:div>
        <w:div w:id="1022586768">
          <w:marLeft w:val="1166"/>
          <w:marRight w:val="0"/>
          <w:marTop w:val="96"/>
          <w:marBottom w:val="0"/>
          <w:divBdr>
            <w:top w:val="none" w:sz="0" w:space="0" w:color="auto"/>
            <w:left w:val="none" w:sz="0" w:space="0" w:color="auto"/>
            <w:bottom w:val="none" w:sz="0" w:space="0" w:color="auto"/>
            <w:right w:val="none" w:sz="0" w:space="0" w:color="auto"/>
          </w:divBdr>
        </w:div>
        <w:div w:id="1174226026">
          <w:marLeft w:val="1800"/>
          <w:marRight w:val="0"/>
          <w:marTop w:val="77"/>
          <w:marBottom w:val="0"/>
          <w:divBdr>
            <w:top w:val="none" w:sz="0" w:space="0" w:color="auto"/>
            <w:left w:val="none" w:sz="0" w:space="0" w:color="auto"/>
            <w:bottom w:val="none" w:sz="0" w:space="0" w:color="auto"/>
            <w:right w:val="none" w:sz="0" w:space="0" w:color="auto"/>
          </w:divBdr>
        </w:div>
        <w:div w:id="1339116721">
          <w:marLeft w:val="1800"/>
          <w:marRight w:val="0"/>
          <w:marTop w:val="77"/>
          <w:marBottom w:val="0"/>
          <w:divBdr>
            <w:top w:val="none" w:sz="0" w:space="0" w:color="auto"/>
            <w:left w:val="none" w:sz="0" w:space="0" w:color="auto"/>
            <w:bottom w:val="none" w:sz="0" w:space="0" w:color="auto"/>
            <w:right w:val="none" w:sz="0" w:space="0" w:color="auto"/>
          </w:divBdr>
        </w:div>
        <w:div w:id="1506746978">
          <w:marLeft w:val="1800"/>
          <w:marRight w:val="0"/>
          <w:marTop w:val="77"/>
          <w:marBottom w:val="0"/>
          <w:divBdr>
            <w:top w:val="none" w:sz="0" w:space="0" w:color="auto"/>
            <w:left w:val="none" w:sz="0" w:space="0" w:color="auto"/>
            <w:bottom w:val="none" w:sz="0" w:space="0" w:color="auto"/>
            <w:right w:val="none" w:sz="0" w:space="0" w:color="auto"/>
          </w:divBdr>
        </w:div>
        <w:div w:id="2046982148">
          <w:marLeft w:val="547"/>
          <w:marRight w:val="0"/>
          <w:marTop w:val="115"/>
          <w:marBottom w:val="0"/>
          <w:divBdr>
            <w:top w:val="none" w:sz="0" w:space="0" w:color="auto"/>
            <w:left w:val="none" w:sz="0" w:space="0" w:color="auto"/>
            <w:bottom w:val="none" w:sz="0" w:space="0" w:color="auto"/>
            <w:right w:val="none" w:sz="0" w:space="0" w:color="auto"/>
          </w:divBdr>
        </w:div>
        <w:div w:id="2067416179">
          <w:marLeft w:val="1166"/>
          <w:marRight w:val="0"/>
          <w:marTop w:val="96"/>
          <w:marBottom w:val="0"/>
          <w:divBdr>
            <w:top w:val="none" w:sz="0" w:space="0" w:color="auto"/>
            <w:left w:val="none" w:sz="0" w:space="0" w:color="auto"/>
            <w:bottom w:val="none" w:sz="0" w:space="0" w:color="auto"/>
            <w:right w:val="none" w:sz="0" w:space="0" w:color="auto"/>
          </w:divBdr>
        </w:div>
      </w:divsChild>
    </w:div>
    <w:div w:id="1319842668">
      <w:bodyDiv w:val="1"/>
      <w:marLeft w:val="0"/>
      <w:marRight w:val="0"/>
      <w:marTop w:val="0"/>
      <w:marBottom w:val="0"/>
      <w:divBdr>
        <w:top w:val="none" w:sz="0" w:space="0" w:color="auto"/>
        <w:left w:val="none" w:sz="0" w:space="0" w:color="auto"/>
        <w:bottom w:val="none" w:sz="0" w:space="0" w:color="auto"/>
        <w:right w:val="none" w:sz="0" w:space="0" w:color="auto"/>
      </w:divBdr>
      <w:divsChild>
        <w:div w:id="485513491">
          <w:marLeft w:val="1080"/>
          <w:marRight w:val="0"/>
          <w:marTop w:val="100"/>
          <w:marBottom w:val="0"/>
          <w:divBdr>
            <w:top w:val="none" w:sz="0" w:space="0" w:color="auto"/>
            <w:left w:val="none" w:sz="0" w:space="0" w:color="auto"/>
            <w:bottom w:val="none" w:sz="0" w:space="0" w:color="auto"/>
            <w:right w:val="none" w:sz="0" w:space="0" w:color="auto"/>
          </w:divBdr>
        </w:div>
        <w:div w:id="811098819">
          <w:marLeft w:val="360"/>
          <w:marRight w:val="0"/>
          <w:marTop w:val="200"/>
          <w:marBottom w:val="0"/>
          <w:divBdr>
            <w:top w:val="none" w:sz="0" w:space="0" w:color="auto"/>
            <w:left w:val="none" w:sz="0" w:space="0" w:color="auto"/>
            <w:bottom w:val="none" w:sz="0" w:space="0" w:color="auto"/>
            <w:right w:val="none" w:sz="0" w:space="0" w:color="auto"/>
          </w:divBdr>
        </w:div>
        <w:div w:id="1027676720">
          <w:marLeft w:val="360"/>
          <w:marRight w:val="0"/>
          <w:marTop w:val="200"/>
          <w:marBottom w:val="0"/>
          <w:divBdr>
            <w:top w:val="none" w:sz="0" w:space="0" w:color="auto"/>
            <w:left w:val="none" w:sz="0" w:space="0" w:color="auto"/>
            <w:bottom w:val="none" w:sz="0" w:space="0" w:color="auto"/>
            <w:right w:val="none" w:sz="0" w:space="0" w:color="auto"/>
          </w:divBdr>
        </w:div>
        <w:div w:id="1464425551">
          <w:marLeft w:val="1080"/>
          <w:marRight w:val="0"/>
          <w:marTop w:val="100"/>
          <w:marBottom w:val="0"/>
          <w:divBdr>
            <w:top w:val="none" w:sz="0" w:space="0" w:color="auto"/>
            <w:left w:val="none" w:sz="0" w:space="0" w:color="auto"/>
            <w:bottom w:val="none" w:sz="0" w:space="0" w:color="auto"/>
            <w:right w:val="none" w:sz="0" w:space="0" w:color="auto"/>
          </w:divBdr>
        </w:div>
        <w:div w:id="1481000807">
          <w:marLeft w:val="1080"/>
          <w:marRight w:val="0"/>
          <w:marTop w:val="100"/>
          <w:marBottom w:val="0"/>
          <w:divBdr>
            <w:top w:val="none" w:sz="0" w:space="0" w:color="auto"/>
            <w:left w:val="none" w:sz="0" w:space="0" w:color="auto"/>
            <w:bottom w:val="none" w:sz="0" w:space="0" w:color="auto"/>
            <w:right w:val="none" w:sz="0" w:space="0" w:color="auto"/>
          </w:divBdr>
        </w:div>
        <w:div w:id="1944334861">
          <w:marLeft w:val="1080"/>
          <w:marRight w:val="0"/>
          <w:marTop w:val="100"/>
          <w:marBottom w:val="0"/>
          <w:divBdr>
            <w:top w:val="none" w:sz="0" w:space="0" w:color="auto"/>
            <w:left w:val="none" w:sz="0" w:space="0" w:color="auto"/>
            <w:bottom w:val="none" w:sz="0" w:space="0" w:color="auto"/>
            <w:right w:val="none" w:sz="0" w:space="0" w:color="auto"/>
          </w:divBdr>
        </w:div>
        <w:div w:id="1966085094">
          <w:marLeft w:val="1080"/>
          <w:marRight w:val="0"/>
          <w:marTop w:val="100"/>
          <w:marBottom w:val="0"/>
          <w:divBdr>
            <w:top w:val="none" w:sz="0" w:space="0" w:color="auto"/>
            <w:left w:val="none" w:sz="0" w:space="0" w:color="auto"/>
            <w:bottom w:val="none" w:sz="0" w:space="0" w:color="auto"/>
            <w:right w:val="none" w:sz="0" w:space="0" w:color="auto"/>
          </w:divBdr>
        </w:div>
        <w:div w:id="2111310017">
          <w:marLeft w:val="360"/>
          <w:marRight w:val="0"/>
          <w:marTop w:val="200"/>
          <w:marBottom w:val="0"/>
          <w:divBdr>
            <w:top w:val="none" w:sz="0" w:space="0" w:color="auto"/>
            <w:left w:val="none" w:sz="0" w:space="0" w:color="auto"/>
            <w:bottom w:val="none" w:sz="0" w:space="0" w:color="auto"/>
            <w:right w:val="none" w:sz="0" w:space="0" w:color="auto"/>
          </w:divBdr>
        </w:div>
      </w:divsChild>
    </w:div>
    <w:div w:id="1326663023">
      <w:bodyDiv w:val="1"/>
      <w:marLeft w:val="0"/>
      <w:marRight w:val="0"/>
      <w:marTop w:val="0"/>
      <w:marBottom w:val="0"/>
      <w:divBdr>
        <w:top w:val="none" w:sz="0" w:space="0" w:color="auto"/>
        <w:left w:val="none" w:sz="0" w:space="0" w:color="auto"/>
        <w:bottom w:val="none" w:sz="0" w:space="0" w:color="auto"/>
        <w:right w:val="none" w:sz="0" w:space="0" w:color="auto"/>
      </w:divBdr>
    </w:div>
    <w:div w:id="1329819898">
      <w:bodyDiv w:val="1"/>
      <w:marLeft w:val="0"/>
      <w:marRight w:val="0"/>
      <w:marTop w:val="0"/>
      <w:marBottom w:val="0"/>
      <w:divBdr>
        <w:top w:val="none" w:sz="0" w:space="0" w:color="auto"/>
        <w:left w:val="none" w:sz="0" w:space="0" w:color="auto"/>
        <w:bottom w:val="none" w:sz="0" w:space="0" w:color="auto"/>
        <w:right w:val="none" w:sz="0" w:space="0" w:color="auto"/>
      </w:divBdr>
      <w:divsChild>
        <w:div w:id="920337380">
          <w:marLeft w:val="1166"/>
          <w:marRight w:val="0"/>
          <w:marTop w:val="96"/>
          <w:marBottom w:val="0"/>
          <w:divBdr>
            <w:top w:val="none" w:sz="0" w:space="0" w:color="auto"/>
            <w:left w:val="none" w:sz="0" w:space="0" w:color="auto"/>
            <w:bottom w:val="none" w:sz="0" w:space="0" w:color="auto"/>
            <w:right w:val="none" w:sz="0" w:space="0" w:color="auto"/>
          </w:divBdr>
        </w:div>
        <w:div w:id="1274169765">
          <w:marLeft w:val="1166"/>
          <w:marRight w:val="0"/>
          <w:marTop w:val="96"/>
          <w:marBottom w:val="0"/>
          <w:divBdr>
            <w:top w:val="none" w:sz="0" w:space="0" w:color="auto"/>
            <w:left w:val="none" w:sz="0" w:space="0" w:color="auto"/>
            <w:bottom w:val="none" w:sz="0" w:space="0" w:color="auto"/>
            <w:right w:val="none" w:sz="0" w:space="0" w:color="auto"/>
          </w:divBdr>
        </w:div>
        <w:div w:id="1758597519">
          <w:marLeft w:val="1166"/>
          <w:marRight w:val="0"/>
          <w:marTop w:val="96"/>
          <w:marBottom w:val="0"/>
          <w:divBdr>
            <w:top w:val="none" w:sz="0" w:space="0" w:color="auto"/>
            <w:left w:val="none" w:sz="0" w:space="0" w:color="auto"/>
            <w:bottom w:val="none" w:sz="0" w:space="0" w:color="auto"/>
            <w:right w:val="none" w:sz="0" w:space="0" w:color="auto"/>
          </w:divBdr>
        </w:div>
      </w:divsChild>
    </w:div>
    <w:div w:id="1333946784">
      <w:bodyDiv w:val="1"/>
      <w:marLeft w:val="0"/>
      <w:marRight w:val="0"/>
      <w:marTop w:val="0"/>
      <w:marBottom w:val="0"/>
      <w:divBdr>
        <w:top w:val="none" w:sz="0" w:space="0" w:color="auto"/>
        <w:left w:val="none" w:sz="0" w:space="0" w:color="auto"/>
        <w:bottom w:val="none" w:sz="0" w:space="0" w:color="auto"/>
        <w:right w:val="none" w:sz="0" w:space="0" w:color="auto"/>
      </w:divBdr>
      <w:divsChild>
        <w:div w:id="279649999">
          <w:marLeft w:val="1080"/>
          <w:marRight w:val="0"/>
          <w:marTop w:val="100"/>
          <w:marBottom w:val="0"/>
          <w:divBdr>
            <w:top w:val="none" w:sz="0" w:space="0" w:color="auto"/>
            <w:left w:val="none" w:sz="0" w:space="0" w:color="auto"/>
            <w:bottom w:val="none" w:sz="0" w:space="0" w:color="auto"/>
            <w:right w:val="none" w:sz="0" w:space="0" w:color="auto"/>
          </w:divBdr>
        </w:div>
        <w:div w:id="1144354341">
          <w:marLeft w:val="1800"/>
          <w:marRight w:val="0"/>
          <w:marTop w:val="100"/>
          <w:marBottom w:val="0"/>
          <w:divBdr>
            <w:top w:val="none" w:sz="0" w:space="0" w:color="auto"/>
            <w:left w:val="none" w:sz="0" w:space="0" w:color="auto"/>
            <w:bottom w:val="none" w:sz="0" w:space="0" w:color="auto"/>
            <w:right w:val="none" w:sz="0" w:space="0" w:color="auto"/>
          </w:divBdr>
        </w:div>
        <w:div w:id="1541745706">
          <w:marLeft w:val="1800"/>
          <w:marRight w:val="0"/>
          <w:marTop w:val="100"/>
          <w:marBottom w:val="0"/>
          <w:divBdr>
            <w:top w:val="none" w:sz="0" w:space="0" w:color="auto"/>
            <w:left w:val="none" w:sz="0" w:space="0" w:color="auto"/>
            <w:bottom w:val="none" w:sz="0" w:space="0" w:color="auto"/>
            <w:right w:val="none" w:sz="0" w:space="0" w:color="auto"/>
          </w:divBdr>
        </w:div>
      </w:divsChild>
    </w:div>
    <w:div w:id="1338654042">
      <w:bodyDiv w:val="1"/>
      <w:marLeft w:val="0"/>
      <w:marRight w:val="0"/>
      <w:marTop w:val="0"/>
      <w:marBottom w:val="0"/>
      <w:divBdr>
        <w:top w:val="none" w:sz="0" w:space="0" w:color="auto"/>
        <w:left w:val="none" w:sz="0" w:space="0" w:color="auto"/>
        <w:bottom w:val="none" w:sz="0" w:space="0" w:color="auto"/>
        <w:right w:val="none" w:sz="0" w:space="0" w:color="auto"/>
      </w:divBdr>
    </w:div>
    <w:div w:id="1341813051">
      <w:bodyDiv w:val="1"/>
      <w:marLeft w:val="0"/>
      <w:marRight w:val="0"/>
      <w:marTop w:val="0"/>
      <w:marBottom w:val="0"/>
      <w:divBdr>
        <w:top w:val="none" w:sz="0" w:space="0" w:color="auto"/>
        <w:left w:val="none" w:sz="0" w:space="0" w:color="auto"/>
        <w:bottom w:val="none" w:sz="0" w:space="0" w:color="auto"/>
        <w:right w:val="none" w:sz="0" w:space="0" w:color="auto"/>
      </w:divBdr>
    </w:div>
    <w:div w:id="1341933500">
      <w:bodyDiv w:val="1"/>
      <w:marLeft w:val="0"/>
      <w:marRight w:val="0"/>
      <w:marTop w:val="0"/>
      <w:marBottom w:val="0"/>
      <w:divBdr>
        <w:top w:val="none" w:sz="0" w:space="0" w:color="auto"/>
        <w:left w:val="none" w:sz="0" w:space="0" w:color="auto"/>
        <w:bottom w:val="none" w:sz="0" w:space="0" w:color="auto"/>
        <w:right w:val="none" w:sz="0" w:space="0" w:color="auto"/>
      </w:divBdr>
    </w:div>
    <w:div w:id="1342927305">
      <w:bodyDiv w:val="1"/>
      <w:marLeft w:val="0"/>
      <w:marRight w:val="0"/>
      <w:marTop w:val="0"/>
      <w:marBottom w:val="0"/>
      <w:divBdr>
        <w:top w:val="none" w:sz="0" w:space="0" w:color="auto"/>
        <w:left w:val="none" w:sz="0" w:space="0" w:color="auto"/>
        <w:bottom w:val="none" w:sz="0" w:space="0" w:color="auto"/>
        <w:right w:val="none" w:sz="0" w:space="0" w:color="auto"/>
      </w:divBdr>
    </w:div>
    <w:div w:id="1356233514">
      <w:bodyDiv w:val="1"/>
      <w:marLeft w:val="0"/>
      <w:marRight w:val="0"/>
      <w:marTop w:val="0"/>
      <w:marBottom w:val="0"/>
      <w:divBdr>
        <w:top w:val="none" w:sz="0" w:space="0" w:color="auto"/>
        <w:left w:val="none" w:sz="0" w:space="0" w:color="auto"/>
        <w:bottom w:val="none" w:sz="0" w:space="0" w:color="auto"/>
        <w:right w:val="none" w:sz="0" w:space="0" w:color="auto"/>
      </w:divBdr>
      <w:divsChild>
        <w:div w:id="224336366">
          <w:marLeft w:val="1800"/>
          <w:marRight w:val="0"/>
          <w:marTop w:val="86"/>
          <w:marBottom w:val="0"/>
          <w:divBdr>
            <w:top w:val="none" w:sz="0" w:space="0" w:color="auto"/>
            <w:left w:val="none" w:sz="0" w:space="0" w:color="auto"/>
            <w:bottom w:val="none" w:sz="0" w:space="0" w:color="auto"/>
            <w:right w:val="none" w:sz="0" w:space="0" w:color="auto"/>
          </w:divBdr>
        </w:div>
        <w:div w:id="546144229">
          <w:marLeft w:val="1166"/>
          <w:marRight w:val="0"/>
          <w:marTop w:val="96"/>
          <w:marBottom w:val="0"/>
          <w:divBdr>
            <w:top w:val="none" w:sz="0" w:space="0" w:color="auto"/>
            <w:left w:val="none" w:sz="0" w:space="0" w:color="auto"/>
            <w:bottom w:val="none" w:sz="0" w:space="0" w:color="auto"/>
            <w:right w:val="none" w:sz="0" w:space="0" w:color="auto"/>
          </w:divBdr>
        </w:div>
        <w:div w:id="1703936042">
          <w:marLeft w:val="1800"/>
          <w:marRight w:val="0"/>
          <w:marTop w:val="86"/>
          <w:marBottom w:val="0"/>
          <w:divBdr>
            <w:top w:val="none" w:sz="0" w:space="0" w:color="auto"/>
            <w:left w:val="none" w:sz="0" w:space="0" w:color="auto"/>
            <w:bottom w:val="none" w:sz="0" w:space="0" w:color="auto"/>
            <w:right w:val="none" w:sz="0" w:space="0" w:color="auto"/>
          </w:divBdr>
        </w:div>
        <w:div w:id="1983803880">
          <w:marLeft w:val="1800"/>
          <w:marRight w:val="0"/>
          <w:marTop w:val="86"/>
          <w:marBottom w:val="0"/>
          <w:divBdr>
            <w:top w:val="none" w:sz="0" w:space="0" w:color="auto"/>
            <w:left w:val="none" w:sz="0" w:space="0" w:color="auto"/>
            <w:bottom w:val="none" w:sz="0" w:space="0" w:color="auto"/>
            <w:right w:val="none" w:sz="0" w:space="0" w:color="auto"/>
          </w:divBdr>
        </w:div>
        <w:div w:id="2129230194">
          <w:marLeft w:val="1166"/>
          <w:marRight w:val="0"/>
          <w:marTop w:val="96"/>
          <w:marBottom w:val="0"/>
          <w:divBdr>
            <w:top w:val="none" w:sz="0" w:space="0" w:color="auto"/>
            <w:left w:val="none" w:sz="0" w:space="0" w:color="auto"/>
            <w:bottom w:val="none" w:sz="0" w:space="0" w:color="auto"/>
            <w:right w:val="none" w:sz="0" w:space="0" w:color="auto"/>
          </w:divBdr>
        </w:div>
      </w:divsChild>
    </w:div>
    <w:div w:id="1362778340">
      <w:bodyDiv w:val="1"/>
      <w:marLeft w:val="0"/>
      <w:marRight w:val="0"/>
      <w:marTop w:val="0"/>
      <w:marBottom w:val="0"/>
      <w:divBdr>
        <w:top w:val="none" w:sz="0" w:space="0" w:color="auto"/>
        <w:left w:val="none" w:sz="0" w:space="0" w:color="auto"/>
        <w:bottom w:val="none" w:sz="0" w:space="0" w:color="auto"/>
        <w:right w:val="none" w:sz="0" w:space="0" w:color="auto"/>
      </w:divBdr>
    </w:div>
    <w:div w:id="1367291756">
      <w:bodyDiv w:val="1"/>
      <w:marLeft w:val="0"/>
      <w:marRight w:val="0"/>
      <w:marTop w:val="0"/>
      <w:marBottom w:val="0"/>
      <w:divBdr>
        <w:top w:val="none" w:sz="0" w:space="0" w:color="auto"/>
        <w:left w:val="none" w:sz="0" w:space="0" w:color="auto"/>
        <w:bottom w:val="none" w:sz="0" w:space="0" w:color="auto"/>
        <w:right w:val="none" w:sz="0" w:space="0" w:color="auto"/>
      </w:divBdr>
    </w:div>
    <w:div w:id="1377510655">
      <w:bodyDiv w:val="1"/>
      <w:marLeft w:val="0"/>
      <w:marRight w:val="0"/>
      <w:marTop w:val="0"/>
      <w:marBottom w:val="0"/>
      <w:divBdr>
        <w:top w:val="none" w:sz="0" w:space="0" w:color="auto"/>
        <w:left w:val="none" w:sz="0" w:space="0" w:color="auto"/>
        <w:bottom w:val="none" w:sz="0" w:space="0" w:color="auto"/>
        <w:right w:val="none" w:sz="0" w:space="0" w:color="auto"/>
      </w:divBdr>
    </w:div>
    <w:div w:id="1379432399">
      <w:bodyDiv w:val="1"/>
      <w:marLeft w:val="0"/>
      <w:marRight w:val="0"/>
      <w:marTop w:val="0"/>
      <w:marBottom w:val="0"/>
      <w:divBdr>
        <w:top w:val="none" w:sz="0" w:space="0" w:color="auto"/>
        <w:left w:val="none" w:sz="0" w:space="0" w:color="auto"/>
        <w:bottom w:val="none" w:sz="0" w:space="0" w:color="auto"/>
        <w:right w:val="none" w:sz="0" w:space="0" w:color="auto"/>
      </w:divBdr>
    </w:div>
    <w:div w:id="1381785496">
      <w:bodyDiv w:val="1"/>
      <w:marLeft w:val="0"/>
      <w:marRight w:val="0"/>
      <w:marTop w:val="0"/>
      <w:marBottom w:val="0"/>
      <w:divBdr>
        <w:top w:val="none" w:sz="0" w:space="0" w:color="auto"/>
        <w:left w:val="none" w:sz="0" w:space="0" w:color="auto"/>
        <w:bottom w:val="none" w:sz="0" w:space="0" w:color="auto"/>
        <w:right w:val="none" w:sz="0" w:space="0" w:color="auto"/>
      </w:divBdr>
    </w:div>
    <w:div w:id="1400438847">
      <w:bodyDiv w:val="1"/>
      <w:marLeft w:val="0"/>
      <w:marRight w:val="0"/>
      <w:marTop w:val="0"/>
      <w:marBottom w:val="0"/>
      <w:divBdr>
        <w:top w:val="none" w:sz="0" w:space="0" w:color="auto"/>
        <w:left w:val="none" w:sz="0" w:space="0" w:color="auto"/>
        <w:bottom w:val="none" w:sz="0" w:space="0" w:color="auto"/>
        <w:right w:val="none" w:sz="0" w:space="0" w:color="auto"/>
      </w:divBdr>
      <w:divsChild>
        <w:div w:id="492836440">
          <w:marLeft w:val="446"/>
          <w:marRight w:val="0"/>
          <w:marTop w:val="0"/>
          <w:marBottom w:val="0"/>
          <w:divBdr>
            <w:top w:val="none" w:sz="0" w:space="0" w:color="auto"/>
            <w:left w:val="none" w:sz="0" w:space="0" w:color="auto"/>
            <w:bottom w:val="none" w:sz="0" w:space="0" w:color="auto"/>
            <w:right w:val="none" w:sz="0" w:space="0" w:color="auto"/>
          </w:divBdr>
        </w:div>
        <w:div w:id="599917108">
          <w:marLeft w:val="446"/>
          <w:marRight w:val="0"/>
          <w:marTop w:val="0"/>
          <w:marBottom w:val="0"/>
          <w:divBdr>
            <w:top w:val="none" w:sz="0" w:space="0" w:color="auto"/>
            <w:left w:val="none" w:sz="0" w:space="0" w:color="auto"/>
            <w:bottom w:val="none" w:sz="0" w:space="0" w:color="auto"/>
            <w:right w:val="none" w:sz="0" w:space="0" w:color="auto"/>
          </w:divBdr>
        </w:div>
        <w:div w:id="1019812112">
          <w:marLeft w:val="446"/>
          <w:marRight w:val="0"/>
          <w:marTop w:val="0"/>
          <w:marBottom w:val="0"/>
          <w:divBdr>
            <w:top w:val="none" w:sz="0" w:space="0" w:color="auto"/>
            <w:left w:val="none" w:sz="0" w:space="0" w:color="auto"/>
            <w:bottom w:val="none" w:sz="0" w:space="0" w:color="auto"/>
            <w:right w:val="none" w:sz="0" w:space="0" w:color="auto"/>
          </w:divBdr>
        </w:div>
        <w:div w:id="1101606207">
          <w:marLeft w:val="446"/>
          <w:marRight w:val="0"/>
          <w:marTop w:val="0"/>
          <w:marBottom w:val="0"/>
          <w:divBdr>
            <w:top w:val="none" w:sz="0" w:space="0" w:color="auto"/>
            <w:left w:val="none" w:sz="0" w:space="0" w:color="auto"/>
            <w:bottom w:val="none" w:sz="0" w:space="0" w:color="auto"/>
            <w:right w:val="none" w:sz="0" w:space="0" w:color="auto"/>
          </w:divBdr>
        </w:div>
      </w:divsChild>
    </w:div>
    <w:div w:id="1403403620">
      <w:bodyDiv w:val="1"/>
      <w:marLeft w:val="0"/>
      <w:marRight w:val="0"/>
      <w:marTop w:val="0"/>
      <w:marBottom w:val="0"/>
      <w:divBdr>
        <w:top w:val="none" w:sz="0" w:space="0" w:color="auto"/>
        <w:left w:val="none" w:sz="0" w:space="0" w:color="auto"/>
        <w:bottom w:val="none" w:sz="0" w:space="0" w:color="auto"/>
        <w:right w:val="none" w:sz="0" w:space="0" w:color="auto"/>
      </w:divBdr>
    </w:div>
    <w:div w:id="1405879167">
      <w:bodyDiv w:val="1"/>
      <w:marLeft w:val="0"/>
      <w:marRight w:val="0"/>
      <w:marTop w:val="0"/>
      <w:marBottom w:val="0"/>
      <w:divBdr>
        <w:top w:val="none" w:sz="0" w:space="0" w:color="auto"/>
        <w:left w:val="none" w:sz="0" w:space="0" w:color="auto"/>
        <w:bottom w:val="none" w:sz="0" w:space="0" w:color="auto"/>
        <w:right w:val="none" w:sz="0" w:space="0" w:color="auto"/>
      </w:divBdr>
    </w:div>
    <w:div w:id="1431853978">
      <w:bodyDiv w:val="1"/>
      <w:marLeft w:val="0"/>
      <w:marRight w:val="0"/>
      <w:marTop w:val="0"/>
      <w:marBottom w:val="0"/>
      <w:divBdr>
        <w:top w:val="none" w:sz="0" w:space="0" w:color="auto"/>
        <w:left w:val="none" w:sz="0" w:space="0" w:color="auto"/>
        <w:bottom w:val="none" w:sz="0" w:space="0" w:color="auto"/>
        <w:right w:val="none" w:sz="0" w:space="0" w:color="auto"/>
      </w:divBdr>
    </w:div>
    <w:div w:id="1435326943">
      <w:bodyDiv w:val="1"/>
      <w:marLeft w:val="0"/>
      <w:marRight w:val="0"/>
      <w:marTop w:val="0"/>
      <w:marBottom w:val="0"/>
      <w:divBdr>
        <w:top w:val="none" w:sz="0" w:space="0" w:color="auto"/>
        <w:left w:val="none" w:sz="0" w:space="0" w:color="auto"/>
        <w:bottom w:val="none" w:sz="0" w:space="0" w:color="auto"/>
        <w:right w:val="none" w:sz="0" w:space="0" w:color="auto"/>
      </w:divBdr>
      <w:divsChild>
        <w:div w:id="450326896">
          <w:marLeft w:val="547"/>
          <w:marRight w:val="0"/>
          <w:marTop w:val="240"/>
          <w:marBottom w:val="0"/>
          <w:divBdr>
            <w:top w:val="none" w:sz="0" w:space="0" w:color="auto"/>
            <w:left w:val="none" w:sz="0" w:space="0" w:color="auto"/>
            <w:bottom w:val="none" w:sz="0" w:space="0" w:color="auto"/>
            <w:right w:val="none" w:sz="0" w:space="0" w:color="auto"/>
          </w:divBdr>
        </w:div>
        <w:div w:id="572278616">
          <w:marLeft w:val="1166"/>
          <w:marRight w:val="0"/>
          <w:marTop w:val="96"/>
          <w:marBottom w:val="0"/>
          <w:divBdr>
            <w:top w:val="none" w:sz="0" w:space="0" w:color="auto"/>
            <w:left w:val="none" w:sz="0" w:space="0" w:color="auto"/>
            <w:bottom w:val="none" w:sz="0" w:space="0" w:color="auto"/>
            <w:right w:val="none" w:sz="0" w:space="0" w:color="auto"/>
          </w:divBdr>
        </w:div>
        <w:div w:id="636685134">
          <w:marLeft w:val="1166"/>
          <w:marRight w:val="0"/>
          <w:marTop w:val="96"/>
          <w:marBottom w:val="0"/>
          <w:divBdr>
            <w:top w:val="none" w:sz="0" w:space="0" w:color="auto"/>
            <w:left w:val="none" w:sz="0" w:space="0" w:color="auto"/>
            <w:bottom w:val="none" w:sz="0" w:space="0" w:color="auto"/>
            <w:right w:val="none" w:sz="0" w:space="0" w:color="auto"/>
          </w:divBdr>
        </w:div>
        <w:div w:id="1647860643">
          <w:marLeft w:val="547"/>
          <w:marRight w:val="0"/>
          <w:marTop w:val="240"/>
          <w:marBottom w:val="0"/>
          <w:divBdr>
            <w:top w:val="none" w:sz="0" w:space="0" w:color="auto"/>
            <w:left w:val="none" w:sz="0" w:space="0" w:color="auto"/>
            <w:bottom w:val="none" w:sz="0" w:space="0" w:color="auto"/>
            <w:right w:val="none" w:sz="0" w:space="0" w:color="auto"/>
          </w:divBdr>
        </w:div>
        <w:div w:id="1692340677">
          <w:marLeft w:val="547"/>
          <w:marRight w:val="0"/>
          <w:marTop w:val="115"/>
          <w:marBottom w:val="0"/>
          <w:divBdr>
            <w:top w:val="none" w:sz="0" w:space="0" w:color="auto"/>
            <w:left w:val="none" w:sz="0" w:space="0" w:color="auto"/>
            <w:bottom w:val="none" w:sz="0" w:space="0" w:color="auto"/>
            <w:right w:val="none" w:sz="0" w:space="0" w:color="auto"/>
          </w:divBdr>
        </w:div>
        <w:div w:id="1926574823">
          <w:marLeft w:val="1166"/>
          <w:marRight w:val="0"/>
          <w:marTop w:val="96"/>
          <w:marBottom w:val="0"/>
          <w:divBdr>
            <w:top w:val="none" w:sz="0" w:space="0" w:color="auto"/>
            <w:left w:val="none" w:sz="0" w:space="0" w:color="auto"/>
            <w:bottom w:val="none" w:sz="0" w:space="0" w:color="auto"/>
            <w:right w:val="none" w:sz="0" w:space="0" w:color="auto"/>
          </w:divBdr>
        </w:div>
        <w:div w:id="2007632235">
          <w:marLeft w:val="1166"/>
          <w:marRight w:val="0"/>
          <w:marTop w:val="96"/>
          <w:marBottom w:val="0"/>
          <w:divBdr>
            <w:top w:val="none" w:sz="0" w:space="0" w:color="auto"/>
            <w:left w:val="none" w:sz="0" w:space="0" w:color="auto"/>
            <w:bottom w:val="none" w:sz="0" w:space="0" w:color="auto"/>
            <w:right w:val="none" w:sz="0" w:space="0" w:color="auto"/>
          </w:divBdr>
        </w:div>
      </w:divsChild>
    </w:div>
    <w:div w:id="1435976723">
      <w:bodyDiv w:val="1"/>
      <w:marLeft w:val="0"/>
      <w:marRight w:val="0"/>
      <w:marTop w:val="0"/>
      <w:marBottom w:val="0"/>
      <w:divBdr>
        <w:top w:val="none" w:sz="0" w:space="0" w:color="auto"/>
        <w:left w:val="none" w:sz="0" w:space="0" w:color="auto"/>
        <w:bottom w:val="none" w:sz="0" w:space="0" w:color="auto"/>
        <w:right w:val="none" w:sz="0" w:space="0" w:color="auto"/>
      </w:divBdr>
    </w:div>
    <w:div w:id="1436246805">
      <w:bodyDiv w:val="1"/>
      <w:marLeft w:val="0"/>
      <w:marRight w:val="0"/>
      <w:marTop w:val="0"/>
      <w:marBottom w:val="0"/>
      <w:divBdr>
        <w:top w:val="none" w:sz="0" w:space="0" w:color="auto"/>
        <w:left w:val="none" w:sz="0" w:space="0" w:color="auto"/>
        <w:bottom w:val="none" w:sz="0" w:space="0" w:color="auto"/>
        <w:right w:val="none" w:sz="0" w:space="0" w:color="auto"/>
      </w:divBdr>
    </w:div>
    <w:div w:id="1436974526">
      <w:bodyDiv w:val="1"/>
      <w:marLeft w:val="0"/>
      <w:marRight w:val="0"/>
      <w:marTop w:val="0"/>
      <w:marBottom w:val="0"/>
      <w:divBdr>
        <w:top w:val="none" w:sz="0" w:space="0" w:color="auto"/>
        <w:left w:val="none" w:sz="0" w:space="0" w:color="auto"/>
        <w:bottom w:val="none" w:sz="0" w:space="0" w:color="auto"/>
        <w:right w:val="none" w:sz="0" w:space="0" w:color="auto"/>
      </w:divBdr>
    </w:div>
    <w:div w:id="1441682578">
      <w:bodyDiv w:val="1"/>
      <w:marLeft w:val="0"/>
      <w:marRight w:val="0"/>
      <w:marTop w:val="0"/>
      <w:marBottom w:val="0"/>
      <w:divBdr>
        <w:top w:val="none" w:sz="0" w:space="0" w:color="auto"/>
        <w:left w:val="none" w:sz="0" w:space="0" w:color="auto"/>
        <w:bottom w:val="none" w:sz="0" w:space="0" w:color="auto"/>
        <w:right w:val="none" w:sz="0" w:space="0" w:color="auto"/>
      </w:divBdr>
      <w:divsChild>
        <w:div w:id="563104792">
          <w:marLeft w:val="360"/>
          <w:marRight w:val="0"/>
          <w:marTop w:val="120"/>
          <w:marBottom w:val="0"/>
          <w:divBdr>
            <w:top w:val="none" w:sz="0" w:space="0" w:color="auto"/>
            <w:left w:val="none" w:sz="0" w:space="0" w:color="auto"/>
            <w:bottom w:val="none" w:sz="0" w:space="0" w:color="auto"/>
            <w:right w:val="none" w:sz="0" w:space="0" w:color="auto"/>
          </w:divBdr>
        </w:div>
        <w:div w:id="903763564">
          <w:marLeft w:val="360"/>
          <w:marRight w:val="0"/>
          <w:marTop w:val="120"/>
          <w:marBottom w:val="0"/>
          <w:divBdr>
            <w:top w:val="none" w:sz="0" w:space="0" w:color="auto"/>
            <w:left w:val="none" w:sz="0" w:space="0" w:color="auto"/>
            <w:bottom w:val="none" w:sz="0" w:space="0" w:color="auto"/>
            <w:right w:val="none" w:sz="0" w:space="0" w:color="auto"/>
          </w:divBdr>
        </w:div>
      </w:divsChild>
    </w:div>
    <w:div w:id="1450857224">
      <w:bodyDiv w:val="1"/>
      <w:marLeft w:val="0"/>
      <w:marRight w:val="0"/>
      <w:marTop w:val="0"/>
      <w:marBottom w:val="0"/>
      <w:divBdr>
        <w:top w:val="none" w:sz="0" w:space="0" w:color="auto"/>
        <w:left w:val="none" w:sz="0" w:space="0" w:color="auto"/>
        <w:bottom w:val="none" w:sz="0" w:space="0" w:color="auto"/>
        <w:right w:val="none" w:sz="0" w:space="0" w:color="auto"/>
      </w:divBdr>
    </w:div>
    <w:div w:id="1456212025">
      <w:bodyDiv w:val="1"/>
      <w:marLeft w:val="0"/>
      <w:marRight w:val="0"/>
      <w:marTop w:val="0"/>
      <w:marBottom w:val="0"/>
      <w:divBdr>
        <w:top w:val="none" w:sz="0" w:space="0" w:color="auto"/>
        <w:left w:val="none" w:sz="0" w:space="0" w:color="auto"/>
        <w:bottom w:val="none" w:sz="0" w:space="0" w:color="auto"/>
        <w:right w:val="none" w:sz="0" w:space="0" w:color="auto"/>
      </w:divBdr>
    </w:div>
    <w:div w:id="1459180705">
      <w:bodyDiv w:val="1"/>
      <w:marLeft w:val="0"/>
      <w:marRight w:val="0"/>
      <w:marTop w:val="0"/>
      <w:marBottom w:val="0"/>
      <w:divBdr>
        <w:top w:val="none" w:sz="0" w:space="0" w:color="auto"/>
        <w:left w:val="none" w:sz="0" w:space="0" w:color="auto"/>
        <w:bottom w:val="none" w:sz="0" w:space="0" w:color="auto"/>
        <w:right w:val="none" w:sz="0" w:space="0" w:color="auto"/>
      </w:divBdr>
    </w:div>
    <w:div w:id="1459836247">
      <w:bodyDiv w:val="1"/>
      <w:marLeft w:val="0"/>
      <w:marRight w:val="0"/>
      <w:marTop w:val="0"/>
      <w:marBottom w:val="0"/>
      <w:divBdr>
        <w:top w:val="none" w:sz="0" w:space="0" w:color="auto"/>
        <w:left w:val="none" w:sz="0" w:space="0" w:color="auto"/>
        <w:bottom w:val="none" w:sz="0" w:space="0" w:color="auto"/>
        <w:right w:val="none" w:sz="0" w:space="0" w:color="auto"/>
      </w:divBdr>
    </w:div>
    <w:div w:id="1470130888">
      <w:bodyDiv w:val="1"/>
      <w:marLeft w:val="0"/>
      <w:marRight w:val="0"/>
      <w:marTop w:val="0"/>
      <w:marBottom w:val="0"/>
      <w:divBdr>
        <w:top w:val="none" w:sz="0" w:space="0" w:color="auto"/>
        <w:left w:val="none" w:sz="0" w:space="0" w:color="auto"/>
        <w:bottom w:val="none" w:sz="0" w:space="0" w:color="auto"/>
        <w:right w:val="none" w:sz="0" w:space="0" w:color="auto"/>
      </w:divBdr>
    </w:div>
    <w:div w:id="1472290081">
      <w:bodyDiv w:val="1"/>
      <w:marLeft w:val="0"/>
      <w:marRight w:val="0"/>
      <w:marTop w:val="0"/>
      <w:marBottom w:val="0"/>
      <w:divBdr>
        <w:top w:val="none" w:sz="0" w:space="0" w:color="auto"/>
        <w:left w:val="none" w:sz="0" w:space="0" w:color="auto"/>
        <w:bottom w:val="none" w:sz="0" w:space="0" w:color="auto"/>
        <w:right w:val="none" w:sz="0" w:space="0" w:color="auto"/>
      </w:divBdr>
    </w:div>
    <w:div w:id="1480732056">
      <w:bodyDiv w:val="1"/>
      <w:marLeft w:val="0"/>
      <w:marRight w:val="0"/>
      <w:marTop w:val="0"/>
      <w:marBottom w:val="0"/>
      <w:divBdr>
        <w:top w:val="none" w:sz="0" w:space="0" w:color="auto"/>
        <w:left w:val="none" w:sz="0" w:space="0" w:color="auto"/>
        <w:bottom w:val="none" w:sz="0" w:space="0" w:color="auto"/>
        <w:right w:val="none" w:sz="0" w:space="0" w:color="auto"/>
      </w:divBdr>
    </w:div>
    <w:div w:id="1482696952">
      <w:bodyDiv w:val="1"/>
      <w:marLeft w:val="0"/>
      <w:marRight w:val="0"/>
      <w:marTop w:val="0"/>
      <w:marBottom w:val="0"/>
      <w:divBdr>
        <w:top w:val="none" w:sz="0" w:space="0" w:color="auto"/>
        <w:left w:val="none" w:sz="0" w:space="0" w:color="auto"/>
        <w:bottom w:val="none" w:sz="0" w:space="0" w:color="auto"/>
        <w:right w:val="none" w:sz="0" w:space="0" w:color="auto"/>
      </w:divBdr>
    </w:div>
    <w:div w:id="1484589806">
      <w:bodyDiv w:val="1"/>
      <w:marLeft w:val="0"/>
      <w:marRight w:val="0"/>
      <w:marTop w:val="0"/>
      <w:marBottom w:val="0"/>
      <w:divBdr>
        <w:top w:val="none" w:sz="0" w:space="0" w:color="auto"/>
        <w:left w:val="none" w:sz="0" w:space="0" w:color="auto"/>
        <w:bottom w:val="none" w:sz="0" w:space="0" w:color="auto"/>
        <w:right w:val="none" w:sz="0" w:space="0" w:color="auto"/>
      </w:divBdr>
    </w:div>
    <w:div w:id="1486042980">
      <w:bodyDiv w:val="1"/>
      <w:marLeft w:val="0"/>
      <w:marRight w:val="0"/>
      <w:marTop w:val="0"/>
      <w:marBottom w:val="0"/>
      <w:divBdr>
        <w:top w:val="none" w:sz="0" w:space="0" w:color="auto"/>
        <w:left w:val="none" w:sz="0" w:space="0" w:color="auto"/>
        <w:bottom w:val="none" w:sz="0" w:space="0" w:color="auto"/>
        <w:right w:val="none" w:sz="0" w:space="0" w:color="auto"/>
      </w:divBdr>
      <w:divsChild>
        <w:div w:id="357197447">
          <w:marLeft w:val="0"/>
          <w:marRight w:val="0"/>
          <w:marTop w:val="0"/>
          <w:marBottom w:val="0"/>
          <w:divBdr>
            <w:top w:val="none" w:sz="0" w:space="0" w:color="auto"/>
            <w:left w:val="none" w:sz="0" w:space="0" w:color="auto"/>
            <w:bottom w:val="none" w:sz="0" w:space="0" w:color="auto"/>
            <w:right w:val="none" w:sz="0" w:space="0" w:color="auto"/>
          </w:divBdr>
        </w:div>
      </w:divsChild>
    </w:div>
    <w:div w:id="1490057082">
      <w:bodyDiv w:val="1"/>
      <w:marLeft w:val="0"/>
      <w:marRight w:val="0"/>
      <w:marTop w:val="0"/>
      <w:marBottom w:val="0"/>
      <w:divBdr>
        <w:top w:val="none" w:sz="0" w:space="0" w:color="auto"/>
        <w:left w:val="none" w:sz="0" w:space="0" w:color="auto"/>
        <w:bottom w:val="none" w:sz="0" w:space="0" w:color="auto"/>
        <w:right w:val="none" w:sz="0" w:space="0" w:color="auto"/>
      </w:divBdr>
    </w:div>
    <w:div w:id="1492409421">
      <w:bodyDiv w:val="1"/>
      <w:marLeft w:val="0"/>
      <w:marRight w:val="0"/>
      <w:marTop w:val="0"/>
      <w:marBottom w:val="0"/>
      <w:divBdr>
        <w:top w:val="none" w:sz="0" w:space="0" w:color="auto"/>
        <w:left w:val="none" w:sz="0" w:space="0" w:color="auto"/>
        <w:bottom w:val="none" w:sz="0" w:space="0" w:color="auto"/>
        <w:right w:val="none" w:sz="0" w:space="0" w:color="auto"/>
      </w:divBdr>
      <w:divsChild>
        <w:div w:id="2025132319">
          <w:marLeft w:val="547"/>
          <w:marRight w:val="0"/>
          <w:marTop w:val="115"/>
          <w:marBottom w:val="0"/>
          <w:divBdr>
            <w:top w:val="none" w:sz="0" w:space="0" w:color="auto"/>
            <w:left w:val="none" w:sz="0" w:space="0" w:color="auto"/>
            <w:bottom w:val="none" w:sz="0" w:space="0" w:color="auto"/>
            <w:right w:val="none" w:sz="0" w:space="0" w:color="auto"/>
          </w:divBdr>
        </w:div>
      </w:divsChild>
    </w:div>
    <w:div w:id="1493911939">
      <w:bodyDiv w:val="1"/>
      <w:marLeft w:val="0"/>
      <w:marRight w:val="0"/>
      <w:marTop w:val="0"/>
      <w:marBottom w:val="0"/>
      <w:divBdr>
        <w:top w:val="none" w:sz="0" w:space="0" w:color="auto"/>
        <w:left w:val="none" w:sz="0" w:space="0" w:color="auto"/>
        <w:bottom w:val="none" w:sz="0" w:space="0" w:color="auto"/>
        <w:right w:val="none" w:sz="0" w:space="0" w:color="auto"/>
      </w:divBdr>
    </w:div>
    <w:div w:id="1496845016">
      <w:bodyDiv w:val="1"/>
      <w:marLeft w:val="0"/>
      <w:marRight w:val="0"/>
      <w:marTop w:val="0"/>
      <w:marBottom w:val="0"/>
      <w:divBdr>
        <w:top w:val="none" w:sz="0" w:space="0" w:color="auto"/>
        <w:left w:val="none" w:sz="0" w:space="0" w:color="auto"/>
        <w:bottom w:val="none" w:sz="0" w:space="0" w:color="auto"/>
        <w:right w:val="none" w:sz="0" w:space="0" w:color="auto"/>
      </w:divBdr>
    </w:div>
    <w:div w:id="1498114449">
      <w:bodyDiv w:val="1"/>
      <w:marLeft w:val="0"/>
      <w:marRight w:val="0"/>
      <w:marTop w:val="0"/>
      <w:marBottom w:val="0"/>
      <w:divBdr>
        <w:top w:val="none" w:sz="0" w:space="0" w:color="auto"/>
        <w:left w:val="none" w:sz="0" w:space="0" w:color="auto"/>
        <w:bottom w:val="none" w:sz="0" w:space="0" w:color="auto"/>
        <w:right w:val="none" w:sz="0" w:space="0" w:color="auto"/>
      </w:divBdr>
    </w:div>
    <w:div w:id="1498305039">
      <w:bodyDiv w:val="1"/>
      <w:marLeft w:val="0"/>
      <w:marRight w:val="0"/>
      <w:marTop w:val="0"/>
      <w:marBottom w:val="0"/>
      <w:divBdr>
        <w:top w:val="none" w:sz="0" w:space="0" w:color="auto"/>
        <w:left w:val="none" w:sz="0" w:space="0" w:color="auto"/>
        <w:bottom w:val="none" w:sz="0" w:space="0" w:color="auto"/>
        <w:right w:val="none" w:sz="0" w:space="0" w:color="auto"/>
      </w:divBdr>
      <w:divsChild>
        <w:div w:id="101219794">
          <w:marLeft w:val="1800"/>
          <w:marRight w:val="0"/>
          <w:marTop w:val="60"/>
          <w:marBottom w:val="0"/>
          <w:divBdr>
            <w:top w:val="none" w:sz="0" w:space="0" w:color="auto"/>
            <w:left w:val="none" w:sz="0" w:space="0" w:color="auto"/>
            <w:bottom w:val="none" w:sz="0" w:space="0" w:color="auto"/>
            <w:right w:val="none" w:sz="0" w:space="0" w:color="auto"/>
          </w:divBdr>
        </w:div>
        <w:div w:id="553473319">
          <w:marLeft w:val="1166"/>
          <w:marRight w:val="0"/>
          <w:marTop w:val="60"/>
          <w:marBottom w:val="0"/>
          <w:divBdr>
            <w:top w:val="none" w:sz="0" w:space="0" w:color="auto"/>
            <w:left w:val="none" w:sz="0" w:space="0" w:color="auto"/>
            <w:bottom w:val="none" w:sz="0" w:space="0" w:color="auto"/>
            <w:right w:val="none" w:sz="0" w:space="0" w:color="auto"/>
          </w:divBdr>
        </w:div>
        <w:div w:id="759713140">
          <w:marLeft w:val="547"/>
          <w:marRight w:val="0"/>
          <w:marTop w:val="60"/>
          <w:marBottom w:val="0"/>
          <w:divBdr>
            <w:top w:val="none" w:sz="0" w:space="0" w:color="auto"/>
            <w:left w:val="none" w:sz="0" w:space="0" w:color="auto"/>
            <w:bottom w:val="none" w:sz="0" w:space="0" w:color="auto"/>
            <w:right w:val="none" w:sz="0" w:space="0" w:color="auto"/>
          </w:divBdr>
        </w:div>
        <w:div w:id="1080757605">
          <w:marLeft w:val="1166"/>
          <w:marRight w:val="0"/>
          <w:marTop w:val="60"/>
          <w:marBottom w:val="0"/>
          <w:divBdr>
            <w:top w:val="none" w:sz="0" w:space="0" w:color="auto"/>
            <w:left w:val="none" w:sz="0" w:space="0" w:color="auto"/>
            <w:bottom w:val="none" w:sz="0" w:space="0" w:color="auto"/>
            <w:right w:val="none" w:sz="0" w:space="0" w:color="auto"/>
          </w:divBdr>
        </w:div>
        <w:div w:id="1152868368">
          <w:marLeft w:val="1800"/>
          <w:marRight w:val="0"/>
          <w:marTop w:val="60"/>
          <w:marBottom w:val="0"/>
          <w:divBdr>
            <w:top w:val="none" w:sz="0" w:space="0" w:color="auto"/>
            <w:left w:val="none" w:sz="0" w:space="0" w:color="auto"/>
            <w:bottom w:val="none" w:sz="0" w:space="0" w:color="auto"/>
            <w:right w:val="none" w:sz="0" w:space="0" w:color="auto"/>
          </w:divBdr>
        </w:div>
        <w:div w:id="1822387595">
          <w:marLeft w:val="2520"/>
          <w:marRight w:val="0"/>
          <w:marTop w:val="60"/>
          <w:marBottom w:val="0"/>
          <w:divBdr>
            <w:top w:val="none" w:sz="0" w:space="0" w:color="auto"/>
            <w:left w:val="none" w:sz="0" w:space="0" w:color="auto"/>
            <w:bottom w:val="none" w:sz="0" w:space="0" w:color="auto"/>
            <w:right w:val="none" w:sz="0" w:space="0" w:color="auto"/>
          </w:divBdr>
        </w:div>
        <w:div w:id="1838643518">
          <w:marLeft w:val="1166"/>
          <w:marRight w:val="0"/>
          <w:marTop w:val="60"/>
          <w:marBottom w:val="0"/>
          <w:divBdr>
            <w:top w:val="none" w:sz="0" w:space="0" w:color="auto"/>
            <w:left w:val="none" w:sz="0" w:space="0" w:color="auto"/>
            <w:bottom w:val="none" w:sz="0" w:space="0" w:color="auto"/>
            <w:right w:val="none" w:sz="0" w:space="0" w:color="auto"/>
          </w:divBdr>
        </w:div>
        <w:div w:id="1905413217">
          <w:marLeft w:val="1800"/>
          <w:marRight w:val="0"/>
          <w:marTop w:val="60"/>
          <w:marBottom w:val="0"/>
          <w:divBdr>
            <w:top w:val="none" w:sz="0" w:space="0" w:color="auto"/>
            <w:left w:val="none" w:sz="0" w:space="0" w:color="auto"/>
            <w:bottom w:val="none" w:sz="0" w:space="0" w:color="auto"/>
            <w:right w:val="none" w:sz="0" w:space="0" w:color="auto"/>
          </w:divBdr>
        </w:div>
        <w:div w:id="1950697285">
          <w:marLeft w:val="1800"/>
          <w:marRight w:val="0"/>
          <w:marTop w:val="60"/>
          <w:marBottom w:val="0"/>
          <w:divBdr>
            <w:top w:val="none" w:sz="0" w:space="0" w:color="auto"/>
            <w:left w:val="none" w:sz="0" w:space="0" w:color="auto"/>
            <w:bottom w:val="none" w:sz="0" w:space="0" w:color="auto"/>
            <w:right w:val="none" w:sz="0" w:space="0" w:color="auto"/>
          </w:divBdr>
        </w:div>
      </w:divsChild>
    </w:div>
    <w:div w:id="1499231371">
      <w:bodyDiv w:val="1"/>
      <w:marLeft w:val="0"/>
      <w:marRight w:val="0"/>
      <w:marTop w:val="0"/>
      <w:marBottom w:val="0"/>
      <w:divBdr>
        <w:top w:val="none" w:sz="0" w:space="0" w:color="auto"/>
        <w:left w:val="none" w:sz="0" w:space="0" w:color="auto"/>
        <w:bottom w:val="none" w:sz="0" w:space="0" w:color="auto"/>
        <w:right w:val="none" w:sz="0" w:space="0" w:color="auto"/>
      </w:divBdr>
    </w:div>
    <w:div w:id="1500148940">
      <w:bodyDiv w:val="1"/>
      <w:marLeft w:val="0"/>
      <w:marRight w:val="0"/>
      <w:marTop w:val="0"/>
      <w:marBottom w:val="0"/>
      <w:divBdr>
        <w:top w:val="none" w:sz="0" w:space="0" w:color="auto"/>
        <w:left w:val="none" w:sz="0" w:space="0" w:color="auto"/>
        <w:bottom w:val="none" w:sz="0" w:space="0" w:color="auto"/>
        <w:right w:val="none" w:sz="0" w:space="0" w:color="auto"/>
      </w:divBdr>
    </w:div>
    <w:div w:id="1525049378">
      <w:bodyDiv w:val="1"/>
      <w:marLeft w:val="0"/>
      <w:marRight w:val="0"/>
      <w:marTop w:val="0"/>
      <w:marBottom w:val="0"/>
      <w:divBdr>
        <w:top w:val="none" w:sz="0" w:space="0" w:color="auto"/>
        <w:left w:val="none" w:sz="0" w:space="0" w:color="auto"/>
        <w:bottom w:val="none" w:sz="0" w:space="0" w:color="auto"/>
        <w:right w:val="none" w:sz="0" w:space="0" w:color="auto"/>
      </w:divBdr>
      <w:divsChild>
        <w:div w:id="160464434">
          <w:marLeft w:val="1166"/>
          <w:marRight w:val="0"/>
          <w:marTop w:val="86"/>
          <w:marBottom w:val="0"/>
          <w:divBdr>
            <w:top w:val="none" w:sz="0" w:space="0" w:color="auto"/>
            <w:left w:val="none" w:sz="0" w:space="0" w:color="auto"/>
            <w:bottom w:val="none" w:sz="0" w:space="0" w:color="auto"/>
            <w:right w:val="none" w:sz="0" w:space="0" w:color="auto"/>
          </w:divBdr>
        </w:div>
        <w:div w:id="1140880148">
          <w:marLeft w:val="547"/>
          <w:marRight w:val="0"/>
          <w:marTop w:val="240"/>
          <w:marBottom w:val="0"/>
          <w:divBdr>
            <w:top w:val="none" w:sz="0" w:space="0" w:color="auto"/>
            <w:left w:val="none" w:sz="0" w:space="0" w:color="auto"/>
            <w:bottom w:val="none" w:sz="0" w:space="0" w:color="auto"/>
            <w:right w:val="none" w:sz="0" w:space="0" w:color="auto"/>
          </w:divBdr>
        </w:div>
        <w:div w:id="1178496327">
          <w:marLeft w:val="1166"/>
          <w:marRight w:val="0"/>
          <w:marTop w:val="86"/>
          <w:marBottom w:val="0"/>
          <w:divBdr>
            <w:top w:val="none" w:sz="0" w:space="0" w:color="auto"/>
            <w:left w:val="none" w:sz="0" w:space="0" w:color="auto"/>
            <w:bottom w:val="none" w:sz="0" w:space="0" w:color="auto"/>
            <w:right w:val="none" w:sz="0" w:space="0" w:color="auto"/>
          </w:divBdr>
        </w:div>
      </w:divsChild>
    </w:div>
    <w:div w:id="1534345913">
      <w:bodyDiv w:val="1"/>
      <w:marLeft w:val="0"/>
      <w:marRight w:val="0"/>
      <w:marTop w:val="0"/>
      <w:marBottom w:val="0"/>
      <w:divBdr>
        <w:top w:val="none" w:sz="0" w:space="0" w:color="auto"/>
        <w:left w:val="none" w:sz="0" w:space="0" w:color="auto"/>
        <w:bottom w:val="none" w:sz="0" w:space="0" w:color="auto"/>
        <w:right w:val="none" w:sz="0" w:space="0" w:color="auto"/>
      </w:divBdr>
      <w:divsChild>
        <w:div w:id="139155588">
          <w:marLeft w:val="0"/>
          <w:marRight w:val="0"/>
          <w:marTop w:val="0"/>
          <w:marBottom w:val="0"/>
          <w:divBdr>
            <w:top w:val="none" w:sz="0" w:space="0" w:color="auto"/>
            <w:left w:val="none" w:sz="0" w:space="0" w:color="auto"/>
            <w:bottom w:val="none" w:sz="0" w:space="0" w:color="auto"/>
            <w:right w:val="none" w:sz="0" w:space="0" w:color="auto"/>
          </w:divBdr>
        </w:div>
      </w:divsChild>
    </w:div>
    <w:div w:id="1535535925">
      <w:bodyDiv w:val="1"/>
      <w:marLeft w:val="0"/>
      <w:marRight w:val="0"/>
      <w:marTop w:val="0"/>
      <w:marBottom w:val="0"/>
      <w:divBdr>
        <w:top w:val="none" w:sz="0" w:space="0" w:color="auto"/>
        <w:left w:val="none" w:sz="0" w:space="0" w:color="auto"/>
        <w:bottom w:val="none" w:sz="0" w:space="0" w:color="auto"/>
        <w:right w:val="none" w:sz="0" w:space="0" w:color="auto"/>
      </w:divBdr>
    </w:div>
    <w:div w:id="1537155678">
      <w:bodyDiv w:val="1"/>
      <w:marLeft w:val="0"/>
      <w:marRight w:val="0"/>
      <w:marTop w:val="0"/>
      <w:marBottom w:val="0"/>
      <w:divBdr>
        <w:top w:val="none" w:sz="0" w:space="0" w:color="auto"/>
        <w:left w:val="none" w:sz="0" w:space="0" w:color="auto"/>
        <w:bottom w:val="none" w:sz="0" w:space="0" w:color="auto"/>
        <w:right w:val="none" w:sz="0" w:space="0" w:color="auto"/>
      </w:divBdr>
    </w:div>
    <w:div w:id="1539902021">
      <w:bodyDiv w:val="1"/>
      <w:marLeft w:val="0"/>
      <w:marRight w:val="0"/>
      <w:marTop w:val="0"/>
      <w:marBottom w:val="0"/>
      <w:divBdr>
        <w:top w:val="none" w:sz="0" w:space="0" w:color="auto"/>
        <w:left w:val="none" w:sz="0" w:space="0" w:color="auto"/>
        <w:bottom w:val="none" w:sz="0" w:space="0" w:color="auto"/>
        <w:right w:val="none" w:sz="0" w:space="0" w:color="auto"/>
      </w:divBdr>
      <w:divsChild>
        <w:div w:id="867911744">
          <w:marLeft w:val="1800"/>
          <w:marRight w:val="0"/>
          <w:marTop w:val="100"/>
          <w:marBottom w:val="0"/>
          <w:divBdr>
            <w:top w:val="none" w:sz="0" w:space="0" w:color="auto"/>
            <w:left w:val="none" w:sz="0" w:space="0" w:color="auto"/>
            <w:bottom w:val="none" w:sz="0" w:space="0" w:color="auto"/>
            <w:right w:val="none" w:sz="0" w:space="0" w:color="auto"/>
          </w:divBdr>
        </w:div>
        <w:div w:id="1778526196">
          <w:marLeft w:val="1800"/>
          <w:marRight w:val="0"/>
          <w:marTop w:val="100"/>
          <w:marBottom w:val="0"/>
          <w:divBdr>
            <w:top w:val="none" w:sz="0" w:space="0" w:color="auto"/>
            <w:left w:val="none" w:sz="0" w:space="0" w:color="auto"/>
            <w:bottom w:val="none" w:sz="0" w:space="0" w:color="auto"/>
            <w:right w:val="none" w:sz="0" w:space="0" w:color="auto"/>
          </w:divBdr>
        </w:div>
      </w:divsChild>
    </w:div>
    <w:div w:id="1556771005">
      <w:bodyDiv w:val="1"/>
      <w:marLeft w:val="0"/>
      <w:marRight w:val="0"/>
      <w:marTop w:val="0"/>
      <w:marBottom w:val="0"/>
      <w:divBdr>
        <w:top w:val="none" w:sz="0" w:space="0" w:color="auto"/>
        <w:left w:val="none" w:sz="0" w:space="0" w:color="auto"/>
        <w:bottom w:val="none" w:sz="0" w:space="0" w:color="auto"/>
        <w:right w:val="none" w:sz="0" w:space="0" w:color="auto"/>
      </w:divBdr>
      <w:divsChild>
        <w:div w:id="1089739183">
          <w:marLeft w:val="0"/>
          <w:marRight w:val="0"/>
          <w:marTop w:val="0"/>
          <w:marBottom w:val="0"/>
          <w:divBdr>
            <w:top w:val="none" w:sz="0" w:space="0" w:color="auto"/>
            <w:left w:val="none" w:sz="0" w:space="0" w:color="auto"/>
            <w:bottom w:val="none" w:sz="0" w:space="0" w:color="auto"/>
            <w:right w:val="none" w:sz="0" w:space="0" w:color="auto"/>
          </w:divBdr>
          <w:divsChild>
            <w:div w:id="462692552">
              <w:marLeft w:val="0"/>
              <w:marRight w:val="0"/>
              <w:marTop w:val="0"/>
              <w:marBottom w:val="0"/>
              <w:divBdr>
                <w:top w:val="none" w:sz="0" w:space="0" w:color="auto"/>
                <w:left w:val="none" w:sz="0" w:space="0" w:color="auto"/>
                <w:bottom w:val="none" w:sz="0" w:space="0" w:color="auto"/>
                <w:right w:val="none" w:sz="0" w:space="0" w:color="auto"/>
              </w:divBdr>
            </w:div>
            <w:div w:id="775102174">
              <w:marLeft w:val="0"/>
              <w:marRight w:val="0"/>
              <w:marTop w:val="0"/>
              <w:marBottom w:val="0"/>
              <w:divBdr>
                <w:top w:val="none" w:sz="0" w:space="0" w:color="auto"/>
                <w:left w:val="none" w:sz="0" w:space="0" w:color="auto"/>
                <w:bottom w:val="none" w:sz="0" w:space="0" w:color="auto"/>
                <w:right w:val="none" w:sz="0" w:space="0" w:color="auto"/>
              </w:divBdr>
            </w:div>
            <w:div w:id="1110513667">
              <w:marLeft w:val="0"/>
              <w:marRight w:val="0"/>
              <w:marTop w:val="0"/>
              <w:marBottom w:val="0"/>
              <w:divBdr>
                <w:top w:val="none" w:sz="0" w:space="0" w:color="auto"/>
                <w:left w:val="none" w:sz="0" w:space="0" w:color="auto"/>
                <w:bottom w:val="none" w:sz="0" w:space="0" w:color="auto"/>
                <w:right w:val="none" w:sz="0" w:space="0" w:color="auto"/>
              </w:divBdr>
            </w:div>
            <w:div w:id="1883785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123416">
      <w:bodyDiv w:val="1"/>
      <w:marLeft w:val="0"/>
      <w:marRight w:val="0"/>
      <w:marTop w:val="0"/>
      <w:marBottom w:val="0"/>
      <w:divBdr>
        <w:top w:val="none" w:sz="0" w:space="0" w:color="auto"/>
        <w:left w:val="none" w:sz="0" w:space="0" w:color="auto"/>
        <w:bottom w:val="none" w:sz="0" w:space="0" w:color="auto"/>
        <w:right w:val="none" w:sz="0" w:space="0" w:color="auto"/>
      </w:divBdr>
    </w:div>
    <w:div w:id="1564288502">
      <w:bodyDiv w:val="1"/>
      <w:marLeft w:val="0"/>
      <w:marRight w:val="0"/>
      <w:marTop w:val="0"/>
      <w:marBottom w:val="0"/>
      <w:divBdr>
        <w:top w:val="none" w:sz="0" w:space="0" w:color="auto"/>
        <w:left w:val="none" w:sz="0" w:space="0" w:color="auto"/>
        <w:bottom w:val="none" w:sz="0" w:space="0" w:color="auto"/>
        <w:right w:val="none" w:sz="0" w:space="0" w:color="auto"/>
      </w:divBdr>
    </w:div>
    <w:div w:id="1568303472">
      <w:bodyDiv w:val="1"/>
      <w:marLeft w:val="0"/>
      <w:marRight w:val="0"/>
      <w:marTop w:val="0"/>
      <w:marBottom w:val="0"/>
      <w:divBdr>
        <w:top w:val="none" w:sz="0" w:space="0" w:color="auto"/>
        <w:left w:val="none" w:sz="0" w:space="0" w:color="auto"/>
        <w:bottom w:val="none" w:sz="0" w:space="0" w:color="auto"/>
        <w:right w:val="none" w:sz="0" w:space="0" w:color="auto"/>
      </w:divBdr>
    </w:div>
    <w:div w:id="1582567574">
      <w:bodyDiv w:val="1"/>
      <w:marLeft w:val="0"/>
      <w:marRight w:val="0"/>
      <w:marTop w:val="0"/>
      <w:marBottom w:val="0"/>
      <w:divBdr>
        <w:top w:val="none" w:sz="0" w:space="0" w:color="auto"/>
        <w:left w:val="none" w:sz="0" w:space="0" w:color="auto"/>
        <w:bottom w:val="none" w:sz="0" w:space="0" w:color="auto"/>
        <w:right w:val="none" w:sz="0" w:space="0" w:color="auto"/>
      </w:divBdr>
      <w:divsChild>
        <w:div w:id="74283738">
          <w:marLeft w:val="1166"/>
          <w:marRight w:val="0"/>
          <w:marTop w:val="96"/>
          <w:marBottom w:val="0"/>
          <w:divBdr>
            <w:top w:val="none" w:sz="0" w:space="0" w:color="auto"/>
            <w:left w:val="none" w:sz="0" w:space="0" w:color="auto"/>
            <w:bottom w:val="none" w:sz="0" w:space="0" w:color="auto"/>
            <w:right w:val="none" w:sz="0" w:space="0" w:color="auto"/>
          </w:divBdr>
        </w:div>
        <w:div w:id="124348400">
          <w:marLeft w:val="547"/>
          <w:marRight w:val="0"/>
          <w:marTop w:val="240"/>
          <w:marBottom w:val="0"/>
          <w:divBdr>
            <w:top w:val="none" w:sz="0" w:space="0" w:color="auto"/>
            <w:left w:val="none" w:sz="0" w:space="0" w:color="auto"/>
            <w:bottom w:val="none" w:sz="0" w:space="0" w:color="auto"/>
            <w:right w:val="none" w:sz="0" w:space="0" w:color="auto"/>
          </w:divBdr>
        </w:div>
        <w:div w:id="1273244843">
          <w:marLeft w:val="1166"/>
          <w:marRight w:val="0"/>
          <w:marTop w:val="96"/>
          <w:marBottom w:val="0"/>
          <w:divBdr>
            <w:top w:val="none" w:sz="0" w:space="0" w:color="auto"/>
            <w:left w:val="none" w:sz="0" w:space="0" w:color="auto"/>
            <w:bottom w:val="none" w:sz="0" w:space="0" w:color="auto"/>
            <w:right w:val="none" w:sz="0" w:space="0" w:color="auto"/>
          </w:divBdr>
        </w:div>
        <w:div w:id="1642953776">
          <w:marLeft w:val="1166"/>
          <w:marRight w:val="0"/>
          <w:marTop w:val="96"/>
          <w:marBottom w:val="0"/>
          <w:divBdr>
            <w:top w:val="none" w:sz="0" w:space="0" w:color="auto"/>
            <w:left w:val="none" w:sz="0" w:space="0" w:color="auto"/>
            <w:bottom w:val="none" w:sz="0" w:space="0" w:color="auto"/>
            <w:right w:val="none" w:sz="0" w:space="0" w:color="auto"/>
          </w:divBdr>
        </w:div>
      </w:divsChild>
    </w:div>
    <w:div w:id="1599632038">
      <w:bodyDiv w:val="1"/>
      <w:marLeft w:val="0"/>
      <w:marRight w:val="0"/>
      <w:marTop w:val="0"/>
      <w:marBottom w:val="0"/>
      <w:divBdr>
        <w:top w:val="none" w:sz="0" w:space="0" w:color="auto"/>
        <w:left w:val="none" w:sz="0" w:space="0" w:color="auto"/>
        <w:bottom w:val="none" w:sz="0" w:space="0" w:color="auto"/>
        <w:right w:val="none" w:sz="0" w:space="0" w:color="auto"/>
      </w:divBdr>
      <w:divsChild>
        <w:div w:id="2110344190">
          <w:marLeft w:val="994"/>
          <w:marRight w:val="0"/>
          <w:marTop w:val="60"/>
          <w:marBottom w:val="60"/>
          <w:divBdr>
            <w:top w:val="none" w:sz="0" w:space="0" w:color="auto"/>
            <w:left w:val="none" w:sz="0" w:space="0" w:color="auto"/>
            <w:bottom w:val="none" w:sz="0" w:space="0" w:color="auto"/>
            <w:right w:val="none" w:sz="0" w:space="0" w:color="auto"/>
          </w:divBdr>
        </w:div>
      </w:divsChild>
    </w:div>
    <w:div w:id="1601378153">
      <w:bodyDiv w:val="1"/>
      <w:marLeft w:val="0"/>
      <w:marRight w:val="0"/>
      <w:marTop w:val="0"/>
      <w:marBottom w:val="0"/>
      <w:divBdr>
        <w:top w:val="none" w:sz="0" w:space="0" w:color="auto"/>
        <w:left w:val="none" w:sz="0" w:space="0" w:color="auto"/>
        <w:bottom w:val="none" w:sz="0" w:space="0" w:color="auto"/>
        <w:right w:val="none" w:sz="0" w:space="0" w:color="auto"/>
      </w:divBdr>
    </w:div>
    <w:div w:id="1612128366">
      <w:bodyDiv w:val="1"/>
      <w:marLeft w:val="0"/>
      <w:marRight w:val="0"/>
      <w:marTop w:val="0"/>
      <w:marBottom w:val="0"/>
      <w:divBdr>
        <w:top w:val="none" w:sz="0" w:space="0" w:color="auto"/>
        <w:left w:val="none" w:sz="0" w:space="0" w:color="auto"/>
        <w:bottom w:val="none" w:sz="0" w:space="0" w:color="auto"/>
        <w:right w:val="none" w:sz="0" w:space="0" w:color="auto"/>
      </w:divBdr>
      <w:divsChild>
        <w:div w:id="1573613041">
          <w:marLeft w:val="1080"/>
          <w:marRight w:val="0"/>
          <w:marTop w:val="110"/>
          <w:marBottom w:val="0"/>
          <w:divBdr>
            <w:top w:val="none" w:sz="0" w:space="0" w:color="auto"/>
            <w:left w:val="none" w:sz="0" w:space="0" w:color="auto"/>
            <w:bottom w:val="none" w:sz="0" w:space="0" w:color="auto"/>
            <w:right w:val="none" w:sz="0" w:space="0" w:color="auto"/>
          </w:divBdr>
        </w:div>
      </w:divsChild>
    </w:div>
    <w:div w:id="1612324244">
      <w:bodyDiv w:val="1"/>
      <w:marLeft w:val="0"/>
      <w:marRight w:val="0"/>
      <w:marTop w:val="0"/>
      <w:marBottom w:val="0"/>
      <w:divBdr>
        <w:top w:val="none" w:sz="0" w:space="0" w:color="auto"/>
        <w:left w:val="none" w:sz="0" w:space="0" w:color="auto"/>
        <w:bottom w:val="none" w:sz="0" w:space="0" w:color="auto"/>
        <w:right w:val="none" w:sz="0" w:space="0" w:color="auto"/>
      </w:divBdr>
    </w:div>
    <w:div w:id="1614551841">
      <w:bodyDiv w:val="1"/>
      <w:marLeft w:val="0"/>
      <w:marRight w:val="0"/>
      <w:marTop w:val="0"/>
      <w:marBottom w:val="0"/>
      <w:divBdr>
        <w:top w:val="none" w:sz="0" w:space="0" w:color="auto"/>
        <w:left w:val="none" w:sz="0" w:space="0" w:color="auto"/>
        <w:bottom w:val="none" w:sz="0" w:space="0" w:color="auto"/>
        <w:right w:val="none" w:sz="0" w:space="0" w:color="auto"/>
      </w:divBdr>
    </w:div>
    <w:div w:id="1628200963">
      <w:bodyDiv w:val="1"/>
      <w:marLeft w:val="0"/>
      <w:marRight w:val="0"/>
      <w:marTop w:val="0"/>
      <w:marBottom w:val="0"/>
      <w:divBdr>
        <w:top w:val="none" w:sz="0" w:space="0" w:color="auto"/>
        <w:left w:val="none" w:sz="0" w:space="0" w:color="auto"/>
        <w:bottom w:val="none" w:sz="0" w:space="0" w:color="auto"/>
        <w:right w:val="none" w:sz="0" w:space="0" w:color="auto"/>
      </w:divBdr>
    </w:div>
    <w:div w:id="1631745542">
      <w:bodyDiv w:val="1"/>
      <w:marLeft w:val="0"/>
      <w:marRight w:val="0"/>
      <w:marTop w:val="0"/>
      <w:marBottom w:val="0"/>
      <w:divBdr>
        <w:top w:val="none" w:sz="0" w:space="0" w:color="auto"/>
        <w:left w:val="none" w:sz="0" w:space="0" w:color="auto"/>
        <w:bottom w:val="none" w:sz="0" w:space="0" w:color="auto"/>
        <w:right w:val="none" w:sz="0" w:space="0" w:color="auto"/>
      </w:divBdr>
      <w:divsChild>
        <w:div w:id="143472640">
          <w:marLeft w:val="547"/>
          <w:marRight w:val="0"/>
          <w:marTop w:val="115"/>
          <w:marBottom w:val="0"/>
          <w:divBdr>
            <w:top w:val="none" w:sz="0" w:space="0" w:color="auto"/>
            <w:left w:val="none" w:sz="0" w:space="0" w:color="auto"/>
            <w:bottom w:val="none" w:sz="0" w:space="0" w:color="auto"/>
            <w:right w:val="none" w:sz="0" w:space="0" w:color="auto"/>
          </w:divBdr>
        </w:div>
      </w:divsChild>
    </w:div>
    <w:div w:id="1632596473">
      <w:bodyDiv w:val="1"/>
      <w:marLeft w:val="0"/>
      <w:marRight w:val="0"/>
      <w:marTop w:val="0"/>
      <w:marBottom w:val="0"/>
      <w:divBdr>
        <w:top w:val="none" w:sz="0" w:space="0" w:color="auto"/>
        <w:left w:val="none" w:sz="0" w:space="0" w:color="auto"/>
        <w:bottom w:val="none" w:sz="0" w:space="0" w:color="auto"/>
        <w:right w:val="none" w:sz="0" w:space="0" w:color="auto"/>
      </w:divBdr>
      <w:divsChild>
        <w:div w:id="190841458">
          <w:marLeft w:val="2074"/>
          <w:marRight w:val="0"/>
          <w:marTop w:val="0"/>
          <w:marBottom w:val="120"/>
          <w:divBdr>
            <w:top w:val="none" w:sz="0" w:space="0" w:color="auto"/>
            <w:left w:val="none" w:sz="0" w:space="0" w:color="auto"/>
            <w:bottom w:val="none" w:sz="0" w:space="0" w:color="auto"/>
            <w:right w:val="none" w:sz="0" w:space="0" w:color="auto"/>
          </w:divBdr>
        </w:div>
        <w:div w:id="397284562">
          <w:marLeft w:val="1526"/>
          <w:marRight w:val="0"/>
          <w:marTop w:val="0"/>
          <w:marBottom w:val="120"/>
          <w:divBdr>
            <w:top w:val="none" w:sz="0" w:space="0" w:color="auto"/>
            <w:left w:val="none" w:sz="0" w:space="0" w:color="auto"/>
            <w:bottom w:val="none" w:sz="0" w:space="0" w:color="auto"/>
            <w:right w:val="none" w:sz="0" w:space="0" w:color="auto"/>
          </w:divBdr>
        </w:div>
        <w:div w:id="508369535">
          <w:marLeft w:val="2074"/>
          <w:marRight w:val="0"/>
          <w:marTop w:val="0"/>
          <w:marBottom w:val="120"/>
          <w:divBdr>
            <w:top w:val="none" w:sz="0" w:space="0" w:color="auto"/>
            <w:left w:val="none" w:sz="0" w:space="0" w:color="auto"/>
            <w:bottom w:val="none" w:sz="0" w:space="0" w:color="auto"/>
            <w:right w:val="none" w:sz="0" w:space="0" w:color="auto"/>
          </w:divBdr>
        </w:div>
        <w:div w:id="628823639">
          <w:marLeft w:val="907"/>
          <w:marRight w:val="0"/>
          <w:marTop w:val="0"/>
          <w:marBottom w:val="120"/>
          <w:divBdr>
            <w:top w:val="none" w:sz="0" w:space="0" w:color="auto"/>
            <w:left w:val="none" w:sz="0" w:space="0" w:color="auto"/>
            <w:bottom w:val="none" w:sz="0" w:space="0" w:color="auto"/>
            <w:right w:val="none" w:sz="0" w:space="0" w:color="auto"/>
          </w:divBdr>
        </w:div>
        <w:div w:id="1269461015">
          <w:marLeft w:val="1526"/>
          <w:marRight w:val="0"/>
          <w:marTop w:val="0"/>
          <w:marBottom w:val="120"/>
          <w:divBdr>
            <w:top w:val="none" w:sz="0" w:space="0" w:color="auto"/>
            <w:left w:val="none" w:sz="0" w:space="0" w:color="auto"/>
            <w:bottom w:val="none" w:sz="0" w:space="0" w:color="auto"/>
            <w:right w:val="none" w:sz="0" w:space="0" w:color="auto"/>
          </w:divBdr>
        </w:div>
        <w:div w:id="1345282604">
          <w:marLeft w:val="2074"/>
          <w:marRight w:val="0"/>
          <w:marTop w:val="0"/>
          <w:marBottom w:val="120"/>
          <w:divBdr>
            <w:top w:val="none" w:sz="0" w:space="0" w:color="auto"/>
            <w:left w:val="none" w:sz="0" w:space="0" w:color="auto"/>
            <w:bottom w:val="none" w:sz="0" w:space="0" w:color="auto"/>
            <w:right w:val="none" w:sz="0" w:space="0" w:color="auto"/>
          </w:divBdr>
        </w:div>
      </w:divsChild>
    </w:div>
    <w:div w:id="1634797408">
      <w:bodyDiv w:val="1"/>
      <w:marLeft w:val="0"/>
      <w:marRight w:val="0"/>
      <w:marTop w:val="0"/>
      <w:marBottom w:val="0"/>
      <w:divBdr>
        <w:top w:val="none" w:sz="0" w:space="0" w:color="auto"/>
        <w:left w:val="none" w:sz="0" w:space="0" w:color="auto"/>
        <w:bottom w:val="none" w:sz="0" w:space="0" w:color="auto"/>
        <w:right w:val="none" w:sz="0" w:space="0" w:color="auto"/>
      </w:divBdr>
    </w:div>
    <w:div w:id="1635326288">
      <w:bodyDiv w:val="1"/>
      <w:marLeft w:val="0"/>
      <w:marRight w:val="0"/>
      <w:marTop w:val="0"/>
      <w:marBottom w:val="0"/>
      <w:divBdr>
        <w:top w:val="none" w:sz="0" w:space="0" w:color="auto"/>
        <w:left w:val="none" w:sz="0" w:space="0" w:color="auto"/>
        <w:bottom w:val="none" w:sz="0" w:space="0" w:color="auto"/>
        <w:right w:val="none" w:sz="0" w:space="0" w:color="auto"/>
      </w:divBdr>
    </w:div>
    <w:div w:id="1636983239">
      <w:bodyDiv w:val="1"/>
      <w:marLeft w:val="0"/>
      <w:marRight w:val="0"/>
      <w:marTop w:val="0"/>
      <w:marBottom w:val="0"/>
      <w:divBdr>
        <w:top w:val="none" w:sz="0" w:space="0" w:color="auto"/>
        <w:left w:val="none" w:sz="0" w:space="0" w:color="auto"/>
        <w:bottom w:val="none" w:sz="0" w:space="0" w:color="auto"/>
        <w:right w:val="none" w:sz="0" w:space="0" w:color="auto"/>
      </w:divBdr>
    </w:div>
    <w:div w:id="1646814283">
      <w:bodyDiv w:val="1"/>
      <w:marLeft w:val="0"/>
      <w:marRight w:val="0"/>
      <w:marTop w:val="0"/>
      <w:marBottom w:val="0"/>
      <w:divBdr>
        <w:top w:val="none" w:sz="0" w:space="0" w:color="auto"/>
        <w:left w:val="none" w:sz="0" w:space="0" w:color="auto"/>
        <w:bottom w:val="none" w:sz="0" w:space="0" w:color="auto"/>
        <w:right w:val="none" w:sz="0" w:space="0" w:color="auto"/>
      </w:divBdr>
    </w:div>
    <w:div w:id="1665431721">
      <w:bodyDiv w:val="1"/>
      <w:marLeft w:val="0"/>
      <w:marRight w:val="0"/>
      <w:marTop w:val="0"/>
      <w:marBottom w:val="0"/>
      <w:divBdr>
        <w:top w:val="none" w:sz="0" w:space="0" w:color="auto"/>
        <w:left w:val="none" w:sz="0" w:space="0" w:color="auto"/>
        <w:bottom w:val="none" w:sz="0" w:space="0" w:color="auto"/>
        <w:right w:val="none" w:sz="0" w:space="0" w:color="auto"/>
      </w:divBdr>
    </w:div>
    <w:div w:id="1667322836">
      <w:bodyDiv w:val="1"/>
      <w:marLeft w:val="0"/>
      <w:marRight w:val="0"/>
      <w:marTop w:val="0"/>
      <w:marBottom w:val="0"/>
      <w:divBdr>
        <w:top w:val="none" w:sz="0" w:space="0" w:color="auto"/>
        <w:left w:val="none" w:sz="0" w:space="0" w:color="auto"/>
        <w:bottom w:val="none" w:sz="0" w:space="0" w:color="auto"/>
        <w:right w:val="none" w:sz="0" w:space="0" w:color="auto"/>
      </w:divBdr>
    </w:div>
    <w:div w:id="1671636362">
      <w:bodyDiv w:val="1"/>
      <w:marLeft w:val="0"/>
      <w:marRight w:val="0"/>
      <w:marTop w:val="0"/>
      <w:marBottom w:val="0"/>
      <w:divBdr>
        <w:top w:val="none" w:sz="0" w:space="0" w:color="auto"/>
        <w:left w:val="none" w:sz="0" w:space="0" w:color="auto"/>
        <w:bottom w:val="none" w:sz="0" w:space="0" w:color="auto"/>
        <w:right w:val="none" w:sz="0" w:space="0" w:color="auto"/>
      </w:divBdr>
      <w:divsChild>
        <w:div w:id="1349134318">
          <w:marLeft w:val="0"/>
          <w:marRight w:val="0"/>
          <w:marTop w:val="0"/>
          <w:marBottom w:val="0"/>
          <w:divBdr>
            <w:top w:val="none" w:sz="0" w:space="0" w:color="auto"/>
            <w:left w:val="none" w:sz="0" w:space="0" w:color="auto"/>
            <w:bottom w:val="none" w:sz="0" w:space="0" w:color="auto"/>
            <w:right w:val="none" w:sz="0" w:space="0" w:color="auto"/>
          </w:divBdr>
        </w:div>
      </w:divsChild>
    </w:div>
    <w:div w:id="1675960509">
      <w:bodyDiv w:val="1"/>
      <w:marLeft w:val="0"/>
      <w:marRight w:val="0"/>
      <w:marTop w:val="0"/>
      <w:marBottom w:val="0"/>
      <w:divBdr>
        <w:top w:val="none" w:sz="0" w:space="0" w:color="auto"/>
        <w:left w:val="none" w:sz="0" w:space="0" w:color="auto"/>
        <w:bottom w:val="none" w:sz="0" w:space="0" w:color="auto"/>
        <w:right w:val="none" w:sz="0" w:space="0" w:color="auto"/>
      </w:divBdr>
    </w:div>
    <w:div w:id="1676375915">
      <w:bodyDiv w:val="1"/>
      <w:marLeft w:val="0"/>
      <w:marRight w:val="0"/>
      <w:marTop w:val="0"/>
      <w:marBottom w:val="0"/>
      <w:divBdr>
        <w:top w:val="none" w:sz="0" w:space="0" w:color="auto"/>
        <w:left w:val="none" w:sz="0" w:space="0" w:color="auto"/>
        <w:bottom w:val="none" w:sz="0" w:space="0" w:color="auto"/>
        <w:right w:val="none" w:sz="0" w:space="0" w:color="auto"/>
      </w:divBdr>
      <w:divsChild>
        <w:div w:id="267197416">
          <w:marLeft w:val="360"/>
          <w:marRight w:val="0"/>
          <w:marTop w:val="200"/>
          <w:marBottom w:val="0"/>
          <w:divBdr>
            <w:top w:val="none" w:sz="0" w:space="0" w:color="auto"/>
            <w:left w:val="none" w:sz="0" w:space="0" w:color="auto"/>
            <w:bottom w:val="none" w:sz="0" w:space="0" w:color="auto"/>
            <w:right w:val="none" w:sz="0" w:space="0" w:color="auto"/>
          </w:divBdr>
        </w:div>
        <w:div w:id="488448093">
          <w:marLeft w:val="1800"/>
          <w:marRight w:val="0"/>
          <w:marTop w:val="100"/>
          <w:marBottom w:val="0"/>
          <w:divBdr>
            <w:top w:val="none" w:sz="0" w:space="0" w:color="auto"/>
            <w:left w:val="none" w:sz="0" w:space="0" w:color="auto"/>
            <w:bottom w:val="none" w:sz="0" w:space="0" w:color="auto"/>
            <w:right w:val="none" w:sz="0" w:space="0" w:color="auto"/>
          </w:divBdr>
        </w:div>
        <w:div w:id="548499346">
          <w:marLeft w:val="1800"/>
          <w:marRight w:val="0"/>
          <w:marTop w:val="100"/>
          <w:marBottom w:val="0"/>
          <w:divBdr>
            <w:top w:val="none" w:sz="0" w:space="0" w:color="auto"/>
            <w:left w:val="none" w:sz="0" w:space="0" w:color="auto"/>
            <w:bottom w:val="none" w:sz="0" w:space="0" w:color="auto"/>
            <w:right w:val="none" w:sz="0" w:space="0" w:color="auto"/>
          </w:divBdr>
        </w:div>
        <w:div w:id="662203156">
          <w:marLeft w:val="1080"/>
          <w:marRight w:val="0"/>
          <w:marTop w:val="100"/>
          <w:marBottom w:val="0"/>
          <w:divBdr>
            <w:top w:val="none" w:sz="0" w:space="0" w:color="auto"/>
            <w:left w:val="none" w:sz="0" w:space="0" w:color="auto"/>
            <w:bottom w:val="none" w:sz="0" w:space="0" w:color="auto"/>
            <w:right w:val="none" w:sz="0" w:space="0" w:color="auto"/>
          </w:divBdr>
        </w:div>
        <w:div w:id="2101170514">
          <w:marLeft w:val="1080"/>
          <w:marRight w:val="0"/>
          <w:marTop w:val="100"/>
          <w:marBottom w:val="0"/>
          <w:divBdr>
            <w:top w:val="none" w:sz="0" w:space="0" w:color="auto"/>
            <w:left w:val="none" w:sz="0" w:space="0" w:color="auto"/>
            <w:bottom w:val="none" w:sz="0" w:space="0" w:color="auto"/>
            <w:right w:val="none" w:sz="0" w:space="0" w:color="auto"/>
          </w:divBdr>
        </w:div>
      </w:divsChild>
    </w:div>
    <w:div w:id="1683779584">
      <w:bodyDiv w:val="1"/>
      <w:marLeft w:val="0"/>
      <w:marRight w:val="0"/>
      <w:marTop w:val="0"/>
      <w:marBottom w:val="0"/>
      <w:divBdr>
        <w:top w:val="none" w:sz="0" w:space="0" w:color="auto"/>
        <w:left w:val="none" w:sz="0" w:space="0" w:color="auto"/>
        <w:bottom w:val="none" w:sz="0" w:space="0" w:color="auto"/>
        <w:right w:val="none" w:sz="0" w:space="0" w:color="auto"/>
      </w:divBdr>
      <w:divsChild>
        <w:div w:id="13194157">
          <w:marLeft w:val="1296"/>
          <w:marRight w:val="0"/>
          <w:marTop w:val="120"/>
          <w:marBottom w:val="0"/>
          <w:divBdr>
            <w:top w:val="none" w:sz="0" w:space="0" w:color="auto"/>
            <w:left w:val="none" w:sz="0" w:space="0" w:color="auto"/>
            <w:bottom w:val="none" w:sz="0" w:space="0" w:color="auto"/>
            <w:right w:val="none" w:sz="0" w:space="0" w:color="auto"/>
          </w:divBdr>
        </w:div>
        <w:div w:id="268661136">
          <w:marLeft w:val="835"/>
          <w:marRight w:val="0"/>
          <w:marTop w:val="120"/>
          <w:marBottom w:val="0"/>
          <w:divBdr>
            <w:top w:val="none" w:sz="0" w:space="0" w:color="auto"/>
            <w:left w:val="none" w:sz="0" w:space="0" w:color="auto"/>
            <w:bottom w:val="none" w:sz="0" w:space="0" w:color="auto"/>
            <w:right w:val="none" w:sz="0" w:space="0" w:color="auto"/>
          </w:divBdr>
        </w:div>
        <w:div w:id="289093944">
          <w:marLeft w:val="1296"/>
          <w:marRight w:val="0"/>
          <w:marTop w:val="120"/>
          <w:marBottom w:val="0"/>
          <w:divBdr>
            <w:top w:val="none" w:sz="0" w:space="0" w:color="auto"/>
            <w:left w:val="none" w:sz="0" w:space="0" w:color="auto"/>
            <w:bottom w:val="none" w:sz="0" w:space="0" w:color="auto"/>
            <w:right w:val="none" w:sz="0" w:space="0" w:color="auto"/>
          </w:divBdr>
        </w:div>
        <w:div w:id="326640343">
          <w:marLeft w:val="1670"/>
          <w:marRight w:val="0"/>
          <w:marTop w:val="120"/>
          <w:marBottom w:val="0"/>
          <w:divBdr>
            <w:top w:val="none" w:sz="0" w:space="0" w:color="auto"/>
            <w:left w:val="none" w:sz="0" w:space="0" w:color="auto"/>
            <w:bottom w:val="none" w:sz="0" w:space="0" w:color="auto"/>
            <w:right w:val="none" w:sz="0" w:space="0" w:color="auto"/>
          </w:divBdr>
        </w:div>
        <w:div w:id="480655722">
          <w:marLeft w:val="835"/>
          <w:marRight w:val="0"/>
          <w:marTop w:val="120"/>
          <w:marBottom w:val="0"/>
          <w:divBdr>
            <w:top w:val="none" w:sz="0" w:space="0" w:color="auto"/>
            <w:left w:val="none" w:sz="0" w:space="0" w:color="auto"/>
            <w:bottom w:val="none" w:sz="0" w:space="0" w:color="auto"/>
            <w:right w:val="none" w:sz="0" w:space="0" w:color="auto"/>
          </w:divBdr>
        </w:div>
        <w:div w:id="568073604">
          <w:marLeft w:val="403"/>
          <w:marRight w:val="0"/>
          <w:marTop w:val="120"/>
          <w:marBottom w:val="0"/>
          <w:divBdr>
            <w:top w:val="none" w:sz="0" w:space="0" w:color="auto"/>
            <w:left w:val="none" w:sz="0" w:space="0" w:color="auto"/>
            <w:bottom w:val="none" w:sz="0" w:space="0" w:color="auto"/>
            <w:right w:val="none" w:sz="0" w:space="0" w:color="auto"/>
          </w:divBdr>
        </w:div>
        <w:div w:id="856230559">
          <w:marLeft w:val="403"/>
          <w:marRight w:val="0"/>
          <w:marTop w:val="120"/>
          <w:marBottom w:val="0"/>
          <w:divBdr>
            <w:top w:val="none" w:sz="0" w:space="0" w:color="auto"/>
            <w:left w:val="none" w:sz="0" w:space="0" w:color="auto"/>
            <w:bottom w:val="none" w:sz="0" w:space="0" w:color="auto"/>
            <w:right w:val="none" w:sz="0" w:space="0" w:color="auto"/>
          </w:divBdr>
        </w:div>
        <w:div w:id="984969826">
          <w:marLeft w:val="1296"/>
          <w:marRight w:val="0"/>
          <w:marTop w:val="120"/>
          <w:marBottom w:val="0"/>
          <w:divBdr>
            <w:top w:val="none" w:sz="0" w:space="0" w:color="auto"/>
            <w:left w:val="none" w:sz="0" w:space="0" w:color="auto"/>
            <w:bottom w:val="none" w:sz="0" w:space="0" w:color="auto"/>
            <w:right w:val="none" w:sz="0" w:space="0" w:color="auto"/>
          </w:divBdr>
        </w:div>
        <w:div w:id="1253664018">
          <w:marLeft w:val="835"/>
          <w:marRight w:val="0"/>
          <w:marTop w:val="120"/>
          <w:marBottom w:val="0"/>
          <w:divBdr>
            <w:top w:val="none" w:sz="0" w:space="0" w:color="auto"/>
            <w:left w:val="none" w:sz="0" w:space="0" w:color="auto"/>
            <w:bottom w:val="none" w:sz="0" w:space="0" w:color="auto"/>
            <w:right w:val="none" w:sz="0" w:space="0" w:color="auto"/>
          </w:divBdr>
        </w:div>
        <w:div w:id="1282037368">
          <w:marLeft w:val="1670"/>
          <w:marRight w:val="0"/>
          <w:marTop w:val="120"/>
          <w:marBottom w:val="0"/>
          <w:divBdr>
            <w:top w:val="none" w:sz="0" w:space="0" w:color="auto"/>
            <w:left w:val="none" w:sz="0" w:space="0" w:color="auto"/>
            <w:bottom w:val="none" w:sz="0" w:space="0" w:color="auto"/>
            <w:right w:val="none" w:sz="0" w:space="0" w:color="auto"/>
          </w:divBdr>
        </w:div>
        <w:div w:id="1331833086">
          <w:marLeft w:val="835"/>
          <w:marRight w:val="0"/>
          <w:marTop w:val="120"/>
          <w:marBottom w:val="0"/>
          <w:divBdr>
            <w:top w:val="none" w:sz="0" w:space="0" w:color="auto"/>
            <w:left w:val="none" w:sz="0" w:space="0" w:color="auto"/>
            <w:bottom w:val="none" w:sz="0" w:space="0" w:color="auto"/>
            <w:right w:val="none" w:sz="0" w:space="0" w:color="auto"/>
          </w:divBdr>
        </w:div>
        <w:div w:id="1398554771">
          <w:marLeft w:val="1296"/>
          <w:marRight w:val="0"/>
          <w:marTop w:val="120"/>
          <w:marBottom w:val="0"/>
          <w:divBdr>
            <w:top w:val="none" w:sz="0" w:space="0" w:color="auto"/>
            <w:left w:val="none" w:sz="0" w:space="0" w:color="auto"/>
            <w:bottom w:val="none" w:sz="0" w:space="0" w:color="auto"/>
            <w:right w:val="none" w:sz="0" w:space="0" w:color="auto"/>
          </w:divBdr>
        </w:div>
        <w:div w:id="1534073198">
          <w:marLeft w:val="403"/>
          <w:marRight w:val="0"/>
          <w:marTop w:val="120"/>
          <w:marBottom w:val="0"/>
          <w:divBdr>
            <w:top w:val="none" w:sz="0" w:space="0" w:color="auto"/>
            <w:left w:val="none" w:sz="0" w:space="0" w:color="auto"/>
            <w:bottom w:val="none" w:sz="0" w:space="0" w:color="auto"/>
            <w:right w:val="none" w:sz="0" w:space="0" w:color="auto"/>
          </w:divBdr>
        </w:div>
        <w:div w:id="1542478802">
          <w:marLeft w:val="835"/>
          <w:marRight w:val="0"/>
          <w:marTop w:val="120"/>
          <w:marBottom w:val="0"/>
          <w:divBdr>
            <w:top w:val="none" w:sz="0" w:space="0" w:color="auto"/>
            <w:left w:val="none" w:sz="0" w:space="0" w:color="auto"/>
            <w:bottom w:val="none" w:sz="0" w:space="0" w:color="auto"/>
            <w:right w:val="none" w:sz="0" w:space="0" w:color="auto"/>
          </w:divBdr>
        </w:div>
        <w:div w:id="1578591741">
          <w:marLeft w:val="835"/>
          <w:marRight w:val="0"/>
          <w:marTop w:val="120"/>
          <w:marBottom w:val="0"/>
          <w:divBdr>
            <w:top w:val="none" w:sz="0" w:space="0" w:color="auto"/>
            <w:left w:val="none" w:sz="0" w:space="0" w:color="auto"/>
            <w:bottom w:val="none" w:sz="0" w:space="0" w:color="auto"/>
            <w:right w:val="none" w:sz="0" w:space="0" w:color="auto"/>
          </w:divBdr>
        </w:div>
        <w:div w:id="1836411811">
          <w:marLeft w:val="1296"/>
          <w:marRight w:val="0"/>
          <w:marTop w:val="120"/>
          <w:marBottom w:val="0"/>
          <w:divBdr>
            <w:top w:val="none" w:sz="0" w:space="0" w:color="auto"/>
            <w:left w:val="none" w:sz="0" w:space="0" w:color="auto"/>
            <w:bottom w:val="none" w:sz="0" w:space="0" w:color="auto"/>
            <w:right w:val="none" w:sz="0" w:space="0" w:color="auto"/>
          </w:divBdr>
        </w:div>
        <w:div w:id="2128036798">
          <w:marLeft w:val="1296"/>
          <w:marRight w:val="0"/>
          <w:marTop w:val="120"/>
          <w:marBottom w:val="0"/>
          <w:divBdr>
            <w:top w:val="none" w:sz="0" w:space="0" w:color="auto"/>
            <w:left w:val="none" w:sz="0" w:space="0" w:color="auto"/>
            <w:bottom w:val="none" w:sz="0" w:space="0" w:color="auto"/>
            <w:right w:val="none" w:sz="0" w:space="0" w:color="auto"/>
          </w:divBdr>
        </w:div>
      </w:divsChild>
    </w:div>
    <w:div w:id="1686177872">
      <w:bodyDiv w:val="1"/>
      <w:marLeft w:val="0"/>
      <w:marRight w:val="0"/>
      <w:marTop w:val="0"/>
      <w:marBottom w:val="0"/>
      <w:divBdr>
        <w:top w:val="none" w:sz="0" w:space="0" w:color="auto"/>
        <w:left w:val="none" w:sz="0" w:space="0" w:color="auto"/>
        <w:bottom w:val="none" w:sz="0" w:space="0" w:color="auto"/>
        <w:right w:val="none" w:sz="0" w:space="0" w:color="auto"/>
      </w:divBdr>
    </w:div>
    <w:div w:id="1690641614">
      <w:bodyDiv w:val="1"/>
      <w:marLeft w:val="0"/>
      <w:marRight w:val="0"/>
      <w:marTop w:val="0"/>
      <w:marBottom w:val="0"/>
      <w:divBdr>
        <w:top w:val="none" w:sz="0" w:space="0" w:color="auto"/>
        <w:left w:val="none" w:sz="0" w:space="0" w:color="auto"/>
        <w:bottom w:val="none" w:sz="0" w:space="0" w:color="auto"/>
        <w:right w:val="none" w:sz="0" w:space="0" w:color="auto"/>
      </w:divBdr>
    </w:div>
    <w:div w:id="1701663736">
      <w:bodyDiv w:val="1"/>
      <w:marLeft w:val="0"/>
      <w:marRight w:val="0"/>
      <w:marTop w:val="0"/>
      <w:marBottom w:val="0"/>
      <w:divBdr>
        <w:top w:val="none" w:sz="0" w:space="0" w:color="auto"/>
        <w:left w:val="none" w:sz="0" w:space="0" w:color="auto"/>
        <w:bottom w:val="none" w:sz="0" w:space="0" w:color="auto"/>
        <w:right w:val="none" w:sz="0" w:space="0" w:color="auto"/>
      </w:divBdr>
    </w:div>
    <w:div w:id="1702896752">
      <w:bodyDiv w:val="1"/>
      <w:marLeft w:val="0"/>
      <w:marRight w:val="0"/>
      <w:marTop w:val="0"/>
      <w:marBottom w:val="0"/>
      <w:divBdr>
        <w:top w:val="none" w:sz="0" w:space="0" w:color="auto"/>
        <w:left w:val="none" w:sz="0" w:space="0" w:color="auto"/>
        <w:bottom w:val="none" w:sz="0" w:space="0" w:color="auto"/>
        <w:right w:val="none" w:sz="0" w:space="0" w:color="auto"/>
      </w:divBdr>
    </w:div>
    <w:div w:id="1718046086">
      <w:bodyDiv w:val="1"/>
      <w:marLeft w:val="0"/>
      <w:marRight w:val="0"/>
      <w:marTop w:val="0"/>
      <w:marBottom w:val="0"/>
      <w:divBdr>
        <w:top w:val="none" w:sz="0" w:space="0" w:color="auto"/>
        <w:left w:val="none" w:sz="0" w:space="0" w:color="auto"/>
        <w:bottom w:val="none" w:sz="0" w:space="0" w:color="auto"/>
        <w:right w:val="none" w:sz="0" w:space="0" w:color="auto"/>
      </w:divBdr>
      <w:divsChild>
        <w:div w:id="582959405">
          <w:marLeft w:val="1181"/>
          <w:marRight w:val="0"/>
          <w:marTop w:val="80"/>
          <w:marBottom w:val="0"/>
          <w:divBdr>
            <w:top w:val="none" w:sz="0" w:space="0" w:color="auto"/>
            <w:left w:val="none" w:sz="0" w:space="0" w:color="auto"/>
            <w:bottom w:val="none" w:sz="0" w:space="0" w:color="auto"/>
            <w:right w:val="none" w:sz="0" w:space="0" w:color="auto"/>
          </w:divBdr>
        </w:div>
        <w:div w:id="653948338">
          <w:marLeft w:val="1181"/>
          <w:marRight w:val="0"/>
          <w:marTop w:val="80"/>
          <w:marBottom w:val="0"/>
          <w:divBdr>
            <w:top w:val="none" w:sz="0" w:space="0" w:color="auto"/>
            <w:left w:val="none" w:sz="0" w:space="0" w:color="auto"/>
            <w:bottom w:val="none" w:sz="0" w:space="0" w:color="auto"/>
            <w:right w:val="none" w:sz="0" w:space="0" w:color="auto"/>
          </w:divBdr>
        </w:div>
        <w:div w:id="1862742289">
          <w:marLeft w:val="1181"/>
          <w:marRight w:val="0"/>
          <w:marTop w:val="80"/>
          <w:marBottom w:val="0"/>
          <w:divBdr>
            <w:top w:val="none" w:sz="0" w:space="0" w:color="auto"/>
            <w:left w:val="none" w:sz="0" w:space="0" w:color="auto"/>
            <w:bottom w:val="none" w:sz="0" w:space="0" w:color="auto"/>
            <w:right w:val="none" w:sz="0" w:space="0" w:color="auto"/>
          </w:divBdr>
        </w:div>
        <w:div w:id="1962296484">
          <w:marLeft w:val="1181"/>
          <w:marRight w:val="0"/>
          <w:marTop w:val="80"/>
          <w:marBottom w:val="0"/>
          <w:divBdr>
            <w:top w:val="none" w:sz="0" w:space="0" w:color="auto"/>
            <w:left w:val="none" w:sz="0" w:space="0" w:color="auto"/>
            <w:bottom w:val="none" w:sz="0" w:space="0" w:color="auto"/>
            <w:right w:val="none" w:sz="0" w:space="0" w:color="auto"/>
          </w:divBdr>
        </w:div>
      </w:divsChild>
    </w:div>
    <w:div w:id="1741246848">
      <w:bodyDiv w:val="1"/>
      <w:marLeft w:val="0"/>
      <w:marRight w:val="0"/>
      <w:marTop w:val="0"/>
      <w:marBottom w:val="0"/>
      <w:divBdr>
        <w:top w:val="none" w:sz="0" w:space="0" w:color="auto"/>
        <w:left w:val="none" w:sz="0" w:space="0" w:color="auto"/>
        <w:bottom w:val="none" w:sz="0" w:space="0" w:color="auto"/>
        <w:right w:val="none" w:sz="0" w:space="0" w:color="auto"/>
      </w:divBdr>
    </w:div>
    <w:div w:id="1741247024">
      <w:bodyDiv w:val="1"/>
      <w:marLeft w:val="0"/>
      <w:marRight w:val="0"/>
      <w:marTop w:val="0"/>
      <w:marBottom w:val="0"/>
      <w:divBdr>
        <w:top w:val="none" w:sz="0" w:space="0" w:color="auto"/>
        <w:left w:val="none" w:sz="0" w:space="0" w:color="auto"/>
        <w:bottom w:val="none" w:sz="0" w:space="0" w:color="auto"/>
        <w:right w:val="none" w:sz="0" w:space="0" w:color="auto"/>
      </w:divBdr>
    </w:div>
    <w:div w:id="1751200232">
      <w:bodyDiv w:val="1"/>
      <w:marLeft w:val="0"/>
      <w:marRight w:val="0"/>
      <w:marTop w:val="0"/>
      <w:marBottom w:val="0"/>
      <w:divBdr>
        <w:top w:val="none" w:sz="0" w:space="0" w:color="auto"/>
        <w:left w:val="none" w:sz="0" w:space="0" w:color="auto"/>
        <w:bottom w:val="none" w:sz="0" w:space="0" w:color="auto"/>
        <w:right w:val="none" w:sz="0" w:space="0" w:color="auto"/>
      </w:divBdr>
      <w:divsChild>
        <w:div w:id="114760832">
          <w:marLeft w:val="1166"/>
          <w:marRight w:val="0"/>
          <w:marTop w:val="96"/>
          <w:marBottom w:val="0"/>
          <w:divBdr>
            <w:top w:val="none" w:sz="0" w:space="0" w:color="auto"/>
            <w:left w:val="none" w:sz="0" w:space="0" w:color="auto"/>
            <w:bottom w:val="none" w:sz="0" w:space="0" w:color="auto"/>
            <w:right w:val="none" w:sz="0" w:space="0" w:color="auto"/>
          </w:divBdr>
        </w:div>
        <w:div w:id="275333578">
          <w:marLeft w:val="547"/>
          <w:marRight w:val="0"/>
          <w:marTop w:val="115"/>
          <w:marBottom w:val="0"/>
          <w:divBdr>
            <w:top w:val="none" w:sz="0" w:space="0" w:color="auto"/>
            <w:left w:val="none" w:sz="0" w:space="0" w:color="auto"/>
            <w:bottom w:val="none" w:sz="0" w:space="0" w:color="auto"/>
            <w:right w:val="none" w:sz="0" w:space="0" w:color="auto"/>
          </w:divBdr>
        </w:div>
        <w:div w:id="588004979">
          <w:marLeft w:val="1166"/>
          <w:marRight w:val="0"/>
          <w:marTop w:val="96"/>
          <w:marBottom w:val="0"/>
          <w:divBdr>
            <w:top w:val="none" w:sz="0" w:space="0" w:color="auto"/>
            <w:left w:val="none" w:sz="0" w:space="0" w:color="auto"/>
            <w:bottom w:val="none" w:sz="0" w:space="0" w:color="auto"/>
            <w:right w:val="none" w:sz="0" w:space="0" w:color="auto"/>
          </w:divBdr>
        </w:div>
        <w:div w:id="619068496">
          <w:marLeft w:val="1166"/>
          <w:marRight w:val="0"/>
          <w:marTop w:val="96"/>
          <w:marBottom w:val="0"/>
          <w:divBdr>
            <w:top w:val="none" w:sz="0" w:space="0" w:color="auto"/>
            <w:left w:val="none" w:sz="0" w:space="0" w:color="auto"/>
            <w:bottom w:val="none" w:sz="0" w:space="0" w:color="auto"/>
            <w:right w:val="none" w:sz="0" w:space="0" w:color="auto"/>
          </w:divBdr>
        </w:div>
        <w:div w:id="1496916677">
          <w:marLeft w:val="1886"/>
          <w:marRight w:val="0"/>
          <w:marTop w:val="77"/>
          <w:marBottom w:val="0"/>
          <w:divBdr>
            <w:top w:val="none" w:sz="0" w:space="0" w:color="auto"/>
            <w:left w:val="none" w:sz="0" w:space="0" w:color="auto"/>
            <w:bottom w:val="none" w:sz="0" w:space="0" w:color="auto"/>
            <w:right w:val="none" w:sz="0" w:space="0" w:color="auto"/>
          </w:divBdr>
        </w:div>
        <w:div w:id="1534803018">
          <w:marLeft w:val="1886"/>
          <w:marRight w:val="0"/>
          <w:marTop w:val="77"/>
          <w:marBottom w:val="0"/>
          <w:divBdr>
            <w:top w:val="none" w:sz="0" w:space="0" w:color="auto"/>
            <w:left w:val="none" w:sz="0" w:space="0" w:color="auto"/>
            <w:bottom w:val="none" w:sz="0" w:space="0" w:color="auto"/>
            <w:right w:val="none" w:sz="0" w:space="0" w:color="auto"/>
          </w:divBdr>
        </w:div>
        <w:div w:id="1916278997">
          <w:marLeft w:val="547"/>
          <w:marRight w:val="0"/>
          <w:marTop w:val="115"/>
          <w:marBottom w:val="0"/>
          <w:divBdr>
            <w:top w:val="none" w:sz="0" w:space="0" w:color="auto"/>
            <w:left w:val="none" w:sz="0" w:space="0" w:color="auto"/>
            <w:bottom w:val="none" w:sz="0" w:space="0" w:color="auto"/>
            <w:right w:val="none" w:sz="0" w:space="0" w:color="auto"/>
          </w:divBdr>
        </w:div>
        <w:div w:id="2131121187">
          <w:marLeft w:val="547"/>
          <w:marRight w:val="0"/>
          <w:marTop w:val="115"/>
          <w:marBottom w:val="0"/>
          <w:divBdr>
            <w:top w:val="none" w:sz="0" w:space="0" w:color="auto"/>
            <w:left w:val="none" w:sz="0" w:space="0" w:color="auto"/>
            <w:bottom w:val="none" w:sz="0" w:space="0" w:color="auto"/>
            <w:right w:val="none" w:sz="0" w:space="0" w:color="auto"/>
          </w:divBdr>
        </w:div>
      </w:divsChild>
    </w:div>
    <w:div w:id="1757164606">
      <w:bodyDiv w:val="1"/>
      <w:marLeft w:val="0"/>
      <w:marRight w:val="0"/>
      <w:marTop w:val="0"/>
      <w:marBottom w:val="0"/>
      <w:divBdr>
        <w:top w:val="none" w:sz="0" w:space="0" w:color="auto"/>
        <w:left w:val="none" w:sz="0" w:space="0" w:color="auto"/>
        <w:bottom w:val="none" w:sz="0" w:space="0" w:color="auto"/>
        <w:right w:val="none" w:sz="0" w:space="0" w:color="auto"/>
      </w:divBdr>
    </w:div>
    <w:div w:id="1762749405">
      <w:bodyDiv w:val="1"/>
      <w:marLeft w:val="0"/>
      <w:marRight w:val="0"/>
      <w:marTop w:val="0"/>
      <w:marBottom w:val="0"/>
      <w:divBdr>
        <w:top w:val="none" w:sz="0" w:space="0" w:color="auto"/>
        <w:left w:val="none" w:sz="0" w:space="0" w:color="auto"/>
        <w:bottom w:val="none" w:sz="0" w:space="0" w:color="auto"/>
        <w:right w:val="none" w:sz="0" w:space="0" w:color="auto"/>
      </w:divBdr>
    </w:div>
    <w:div w:id="1763911390">
      <w:bodyDiv w:val="1"/>
      <w:marLeft w:val="0"/>
      <w:marRight w:val="0"/>
      <w:marTop w:val="0"/>
      <w:marBottom w:val="0"/>
      <w:divBdr>
        <w:top w:val="none" w:sz="0" w:space="0" w:color="auto"/>
        <w:left w:val="none" w:sz="0" w:space="0" w:color="auto"/>
        <w:bottom w:val="none" w:sz="0" w:space="0" w:color="auto"/>
        <w:right w:val="none" w:sz="0" w:space="0" w:color="auto"/>
      </w:divBdr>
      <w:divsChild>
        <w:div w:id="703210064">
          <w:marLeft w:val="547"/>
          <w:marRight w:val="0"/>
          <w:marTop w:val="96"/>
          <w:marBottom w:val="0"/>
          <w:divBdr>
            <w:top w:val="none" w:sz="0" w:space="0" w:color="auto"/>
            <w:left w:val="none" w:sz="0" w:space="0" w:color="auto"/>
            <w:bottom w:val="none" w:sz="0" w:space="0" w:color="auto"/>
            <w:right w:val="none" w:sz="0" w:space="0" w:color="auto"/>
          </w:divBdr>
        </w:div>
      </w:divsChild>
    </w:div>
    <w:div w:id="1770000959">
      <w:bodyDiv w:val="1"/>
      <w:marLeft w:val="0"/>
      <w:marRight w:val="0"/>
      <w:marTop w:val="0"/>
      <w:marBottom w:val="0"/>
      <w:divBdr>
        <w:top w:val="none" w:sz="0" w:space="0" w:color="auto"/>
        <w:left w:val="none" w:sz="0" w:space="0" w:color="auto"/>
        <w:bottom w:val="none" w:sz="0" w:space="0" w:color="auto"/>
        <w:right w:val="none" w:sz="0" w:space="0" w:color="auto"/>
      </w:divBdr>
      <w:divsChild>
        <w:div w:id="1102723152">
          <w:marLeft w:val="893"/>
          <w:marRight w:val="0"/>
          <w:marTop w:val="48"/>
          <w:marBottom w:val="0"/>
          <w:divBdr>
            <w:top w:val="none" w:sz="0" w:space="0" w:color="auto"/>
            <w:left w:val="none" w:sz="0" w:space="0" w:color="auto"/>
            <w:bottom w:val="none" w:sz="0" w:space="0" w:color="auto"/>
            <w:right w:val="none" w:sz="0" w:space="0" w:color="auto"/>
          </w:divBdr>
        </w:div>
      </w:divsChild>
    </w:div>
    <w:div w:id="1778984229">
      <w:bodyDiv w:val="1"/>
      <w:marLeft w:val="0"/>
      <w:marRight w:val="0"/>
      <w:marTop w:val="0"/>
      <w:marBottom w:val="0"/>
      <w:divBdr>
        <w:top w:val="none" w:sz="0" w:space="0" w:color="auto"/>
        <w:left w:val="none" w:sz="0" w:space="0" w:color="auto"/>
        <w:bottom w:val="none" w:sz="0" w:space="0" w:color="auto"/>
        <w:right w:val="none" w:sz="0" w:space="0" w:color="auto"/>
      </w:divBdr>
      <w:divsChild>
        <w:div w:id="971402170">
          <w:marLeft w:val="907"/>
          <w:marRight w:val="0"/>
          <w:marTop w:val="0"/>
          <w:marBottom w:val="120"/>
          <w:divBdr>
            <w:top w:val="none" w:sz="0" w:space="0" w:color="auto"/>
            <w:left w:val="none" w:sz="0" w:space="0" w:color="auto"/>
            <w:bottom w:val="none" w:sz="0" w:space="0" w:color="auto"/>
            <w:right w:val="none" w:sz="0" w:space="0" w:color="auto"/>
          </w:divBdr>
        </w:div>
      </w:divsChild>
    </w:div>
    <w:div w:id="1779644391">
      <w:bodyDiv w:val="1"/>
      <w:marLeft w:val="0"/>
      <w:marRight w:val="0"/>
      <w:marTop w:val="0"/>
      <w:marBottom w:val="0"/>
      <w:divBdr>
        <w:top w:val="none" w:sz="0" w:space="0" w:color="auto"/>
        <w:left w:val="none" w:sz="0" w:space="0" w:color="auto"/>
        <w:bottom w:val="none" w:sz="0" w:space="0" w:color="auto"/>
        <w:right w:val="none" w:sz="0" w:space="0" w:color="auto"/>
      </w:divBdr>
    </w:div>
    <w:div w:id="1779906701">
      <w:bodyDiv w:val="1"/>
      <w:marLeft w:val="0"/>
      <w:marRight w:val="0"/>
      <w:marTop w:val="0"/>
      <w:marBottom w:val="0"/>
      <w:divBdr>
        <w:top w:val="none" w:sz="0" w:space="0" w:color="auto"/>
        <w:left w:val="none" w:sz="0" w:space="0" w:color="auto"/>
        <w:bottom w:val="none" w:sz="0" w:space="0" w:color="auto"/>
        <w:right w:val="none" w:sz="0" w:space="0" w:color="auto"/>
      </w:divBdr>
      <w:divsChild>
        <w:div w:id="117989192">
          <w:marLeft w:val="1080"/>
          <w:marRight w:val="0"/>
          <w:marTop w:val="100"/>
          <w:marBottom w:val="0"/>
          <w:divBdr>
            <w:top w:val="none" w:sz="0" w:space="0" w:color="auto"/>
            <w:left w:val="none" w:sz="0" w:space="0" w:color="auto"/>
            <w:bottom w:val="none" w:sz="0" w:space="0" w:color="auto"/>
            <w:right w:val="none" w:sz="0" w:space="0" w:color="auto"/>
          </w:divBdr>
        </w:div>
        <w:div w:id="1122311294">
          <w:marLeft w:val="1080"/>
          <w:marRight w:val="0"/>
          <w:marTop w:val="100"/>
          <w:marBottom w:val="0"/>
          <w:divBdr>
            <w:top w:val="none" w:sz="0" w:space="0" w:color="auto"/>
            <w:left w:val="none" w:sz="0" w:space="0" w:color="auto"/>
            <w:bottom w:val="none" w:sz="0" w:space="0" w:color="auto"/>
            <w:right w:val="none" w:sz="0" w:space="0" w:color="auto"/>
          </w:divBdr>
        </w:div>
        <w:div w:id="1318529698">
          <w:marLeft w:val="1080"/>
          <w:marRight w:val="0"/>
          <w:marTop w:val="100"/>
          <w:marBottom w:val="0"/>
          <w:divBdr>
            <w:top w:val="none" w:sz="0" w:space="0" w:color="auto"/>
            <w:left w:val="none" w:sz="0" w:space="0" w:color="auto"/>
            <w:bottom w:val="none" w:sz="0" w:space="0" w:color="auto"/>
            <w:right w:val="none" w:sz="0" w:space="0" w:color="auto"/>
          </w:divBdr>
        </w:div>
        <w:div w:id="1326200142">
          <w:marLeft w:val="360"/>
          <w:marRight w:val="0"/>
          <w:marTop w:val="200"/>
          <w:marBottom w:val="0"/>
          <w:divBdr>
            <w:top w:val="none" w:sz="0" w:space="0" w:color="auto"/>
            <w:left w:val="none" w:sz="0" w:space="0" w:color="auto"/>
            <w:bottom w:val="none" w:sz="0" w:space="0" w:color="auto"/>
            <w:right w:val="none" w:sz="0" w:space="0" w:color="auto"/>
          </w:divBdr>
        </w:div>
        <w:div w:id="1375957838">
          <w:marLeft w:val="360"/>
          <w:marRight w:val="0"/>
          <w:marTop w:val="200"/>
          <w:marBottom w:val="0"/>
          <w:divBdr>
            <w:top w:val="none" w:sz="0" w:space="0" w:color="auto"/>
            <w:left w:val="none" w:sz="0" w:space="0" w:color="auto"/>
            <w:bottom w:val="none" w:sz="0" w:space="0" w:color="auto"/>
            <w:right w:val="none" w:sz="0" w:space="0" w:color="auto"/>
          </w:divBdr>
        </w:div>
        <w:div w:id="1531724424">
          <w:marLeft w:val="360"/>
          <w:marRight w:val="0"/>
          <w:marTop w:val="200"/>
          <w:marBottom w:val="0"/>
          <w:divBdr>
            <w:top w:val="none" w:sz="0" w:space="0" w:color="auto"/>
            <w:left w:val="none" w:sz="0" w:space="0" w:color="auto"/>
            <w:bottom w:val="none" w:sz="0" w:space="0" w:color="auto"/>
            <w:right w:val="none" w:sz="0" w:space="0" w:color="auto"/>
          </w:divBdr>
        </w:div>
        <w:div w:id="1703557919">
          <w:marLeft w:val="1080"/>
          <w:marRight w:val="0"/>
          <w:marTop w:val="100"/>
          <w:marBottom w:val="0"/>
          <w:divBdr>
            <w:top w:val="none" w:sz="0" w:space="0" w:color="auto"/>
            <w:left w:val="none" w:sz="0" w:space="0" w:color="auto"/>
            <w:bottom w:val="none" w:sz="0" w:space="0" w:color="auto"/>
            <w:right w:val="none" w:sz="0" w:space="0" w:color="auto"/>
          </w:divBdr>
        </w:div>
      </w:divsChild>
    </w:div>
    <w:div w:id="1789351941">
      <w:bodyDiv w:val="1"/>
      <w:marLeft w:val="0"/>
      <w:marRight w:val="0"/>
      <w:marTop w:val="0"/>
      <w:marBottom w:val="0"/>
      <w:divBdr>
        <w:top w:val="none" w:sz="0" w:space="0" w:color="auto"/>
        <w:left w:val="none" w:sz="0" w:space="0" w:color="auto"/>
        <w:bottom w:val="none" w:sz="0" w:space="0" w:color="auto"/>
        <w:right w:val="none" w:sz="0" w:space="0" w:color="auto"/>
      </w:divBdr>
      <w:divsChild>
        <w:div w:id="788547228">
          <w:marLeft w:val="547"/>
          <w:marRight w:val="0"/>
          <w:marTop w:val="115"/>
          <w:marBottom w:val="0"/>
          <w:divBdr>
            <w:top w:val="none" w:sz="0" w:space="0" w:color="auto"/>
            <w:left w:val="none" w:sz="0" w:space="0" w:color="auto"/>
            <w:bottom w:val="none" w:sz="0" w:space="0" w:color="auto"/>
            <w:right w:val="none" w:sz="0" w:space="0" w:color="auto"/>
          </w:divBdr>
        </w:div>
      </w:divsChild>
    </w:div>
    <w:div w:id="1790587112">
      <w:bodyDiv w:val="1"/>
      <w:marLeft w:val="0"/>
      <w:marRight w:val="0"/>
      <w:marTop w:val="0"/>
      <w:marBottom w:val="0"/>
      <w:divBdr>
        <w:top w:val="none" w:sz="0" w:space="0" w:color="auto"/>
        <w:left w:val="none" w:sz="0" w:space="0" w:color="auto"/>
        <w:bottom w:val="none" w:sz="0" w:space="0" w:color="auto"/>
        <w:right w:val="none" w:sz="0" w:space="0" w:color="auto"/>
      </w:divBdr>
    </w:div>
    <w:div w:id="1797139137">
      <w:bodyDiv w:val="1"/>
      <w:marLeft w:val="0"/>
      <w:marRight w:val="0"/>
      <w:marTop w:val="0"/>
      <w:marBottom w:val="0"/>
      <w:divBdr>
        <w:top w:val="none" w:sz="0" w:space="0" w:color="auto"/>
        <w:left w:val="none" w:sz="0" w:space="0" w:color="auto"/>
        <w:bottom w:val="none" w:sz="0" w:space="0" w:color="auto"/>
        <w:right w:val="none" w:sz="0" w:space="0" w:color="auto"/>
      </w:divBdr>
    </w:div>
    <w:div w:id="1803886391">
      <w:bodyDiv w:val="1"/>
      <w:marLeft w:val="0"/>
      <w:marRight w:val="0"/>
      <w:marTop w:val="0"/>
      <w:marBottom w:val="0"/>
      <w:divBdr>
        <w:top w:val="none" w:sz="0" w:space="0" w:color="auto"/>
        <w:left w:val="none" w:sz="0" w:space="0" w:color="auto"/>
        <w:bottom w:val="none" w:sz="0" w:space="0" w:color="auto"/>
        <w:right w:val="none" w:sz="0" w:space="0" w:color="auto"/>
      </w:divBdr>
    </w:div>
    <w:div w:id="1804738250">
      <w:bodyDiv w:val="1"/>
      <w:marLeft w:val="0"/>
      <w:marRight w:val="0"/>
      <w:marTop w:val="0"/>
      <w:marBottom w:val="0"/>
      <w:divBdr>
        <w:top w:val="none" w:sz="0" w:space="0" w:color="auto"/>
        <w:left w:val="none" w:sz="0" w:space="0" w:color="auto"/>
        <w:bottom w:val="none" w:sz="0" w:space="0" w:color="auto"/>
        <w:right w:val="none" w:sz="0" w:space="0" w:color="auto"/>
      </w:divBdr>
      <w:divsChild>
        <w:div w:id="643631524">
          <w:marLeft w:val="547"/>
          <w:marRight w:val="0"/>
          <w:marTop w:val="96"/>
          <w:marBottom w:val="0"/>
          <w:divBdr>
            <w:top w:val="none" w:sz="0" w:space="0" w:color="auto"/>
            <w:left w:val="none" w:sz="0" w:space="0" w:color="auto"/>
            <w:bottom w:val="none" w:sz="0" w:space="0" w:color="auto"/>
            <w:right w:val="none" w:sz="0" w:space="0" w:color="auto"/>
          </w:divBdr>
        </w:div>
      </w:divsChild>
    </w:div>
    <w:div w:id="1812212420">
      <w:bodyDiv w:val="1"/>
      <w:marLeft w:val="0"/>
      <w:marRight w:val="0"/>
      <w:marTop w:val="0"/>
      <w:marBottom w:val="0"/>
      <w:divBdr>
        <w:top w:val="none" w:sz="0" w:space="0" w:color="auto"/>
        <w:left w:val="none" w:sz="0" w:space="0" w:color="auto"/>
        <w:bottom w:val="none" w:sz="0" w:space="0" w:color="auto"/>
        <w:right w:val="none" w:sz="0" w:space="0" w:color="auto"/>
      </w:divBdr>
      <w:divsChild>
        <w:div w:id="434597648">
          <w:marLeft w:val="590"/>
          <w:marRight w:val="0"/>
          <w:marTop w:val="120"/>
          <w:marBottom w:val="0"/>
          <w:divBdr>
            <w:top w:val="none" w:sz="0" w:space="0" w:color="auto"/>
            <w:left w:val="none" w:sz="0" w:space="0" w:color="auto"/>
            <w:bottom w:val="none" w:sz="0" w:space="0" w:color="auto"/>
            <w:right w:val="none" w:sz="0" w:space="0" w:color="auto"/>
          </w:divBdr>
        </w:div>
        <w:div w:id="947926609">
          <w:marLeft w:val="590"/>
          <w:marRight w:val="0"/>
          <w:marTop w:val="120"/>
          <w:marBottom w:val="0"/>
          <w:divBdr>
            <w:top w:val="none" w:sz="0" w:space="0" w:color="auto"/>
            <w:left w:val="none" w:sz="0" w:space="0" w:color="auto"/>
            <w:bottom w:val="none" w:sz="0" w:space="0" w:color="auto"/>
            <w:right w:val="none" w:sz="0" w:space="0" w:color="auto"/>
          </w:divBdr>
        </w:div>
      </w:divsChild>
    </w:div>
    <w:div w:id="1814834221">
      <w:bodyDiv w:val="1"/>
      <w:marLeft w:val="0"/>
      <w:marRight w:val="0"/>
      <w:marTop w:val="0"/>
      <w:marBottom w:val="0"/>
      <w:divBdr>
        <w:top w:val="none" w:sz="0" w:space="0" w:color="auto"/>
        <w:left w:val="none" w:sz="0" w:space="0" w:color="auto"/>
        <w:bottom w:val="none" w:sz="0" w:space="0" w:color="auto"/>
        <w:right w:val="none" w:sz="0" w:space="0" w:color="auto"/>
      </w:divBdr>
    </w:div>
    <w:div w:id="1820414999">
      <w:bodyDiv w:val="1"/>
      <w:marLeft w:val="0"/>
      <w:marRight w:val="0"/>
      <w:marTop w:val="0"/>
      <w:marBottom w:val="0"/>
      <w:divBdr>
        <w:top w:val="none" w:sz="0" w:space="0" w:color="auto"/>
        <w:left w:val="none" w:sz="0" w:space="0" w:color="auto"/>
        <w:bottom w:val="none" w:sz="0" w:space="0" w:color="auto"/>
        <w:right w:val="none" w:sz="0" w:space="0" w:color="auto"/>
      </w:divBdr>
    </w:div>
    <w:div w:id="1822114911">
      <w:bodyDiv w:val="1"/>
      <w:marLeft w:val="0"/>
      <w:marRight w:val="0"/>
      <w:marTop w:val="0"/>
      <w:marBottom w:val="0"/>
      <w:divBdr>
        <w:top w:val="none" w:sz="0" w:space="0" w:color="auto"/>
        <w:left w:val="none" w:sz="0" w:space="0" w:color="auto"/>
        <w:bottom w:val="none" w:sz="0" w:space="0" w:color="auto"/>
        <w:right w:val="none" w:sz="0" w:space="0" w:color="auto"/>
      </w:divBdr>
    </w:div>
    <w:div w:id="1825126483">
      <w:bodyDiv w:val="1"/>
      <w:marLeft w:val="0"/>
      <w:marRight w:val="0"/>
      <w:marTop w:val="0"/>
      <w:marBottom w:val="0"/>
      <w:divBdr>
        <w:top w:val="none" w:sz="0" w:space="0" w:color="auto"/>
        <w:left w:val="none" w:sz="0" w:space="0" w:color="auto"/>
        <w:bottom w:val="none" w:sz="0" w:space="0" w:color="auto"/>
        <w:right w:val="none" w:sz="0" w:space="0" w:color="auto"/>
      </w:divBdr>
    </w:div>
    <w:div w:id="1825974567">
      <w:bodyDiv w:val="1"/>
      <w:marLeft w:val="0"/>
      <w:marRight w:val="0"/>
      <w:marTop w:val="0"/>
      <w:marBottom w:val="0"/>
      <w:divBdr>
        <w:top w:val="none" w:sz="0" w:space="0" w:color="auto"/>
        <w:left w:val="none" w:sz="0" w:space="0" w:color="auto"/>
        <w:bottom w:val="none" w:sz="0" w:space="0" w:color="auto"/>
        <w:right w:val="none" w:sz="0" w:space="0" w:color="auto"/>
      </w:divBdr>
    </w:div>
    <w:div w:id="1829324454">
      <w:bodyDiv w:val="1"/>
      <w:marLeft w:val="0"/>
      <w:marRight w:val="0"/>
      <w:marTop w:val="0"/>
      <w:marBottom w:val="0"/>
      <w:divBdr>
        <w:top w:val="none" w:sz="0" w:space="0" w:color="auto"/>
        <w:left w:val="none" w:sz="0" w:space="0" w:color="auto"/>
        <w:bottom w:val="none" w:sz="0" w:space="0" w:color="auto"/>
        <w:right w:val="none" w:sz="0" w:space="0" w:color="auto"/>
      </w:divBdr>
    </w:div>
    <w:div w:id="1833371513">
      <w:bodyDiv w:val="1"/>
      <w:marLeft w:val="0"/>
      <w:marRight w:val="0"/>
      <w:marTop w:val="0"/>
      <w:marBottom w:val="0"/>
      <w:divBdr>
        <w:top w:val="none" w:sz="0" w:space="0" w:color="auto"/>
        <w:left w:val="none" w:sz="0" w:space="0" w:color="auto"/>
        <w:bottom w:val="none" w:sz="0" w:space="0" w:color="auto"/>
        <w:right w:val="none" w:sz="0" w:space="0" w:color="auto"/>
      </w:divBdr>
      <w:divsChild>
        <w:div w:id="182137158">
          <w:marLeft w:val="360"/>
          <w:marRight w:val="0"/>
          <w:marTop w:val="200"/>
          <w:marBottom w:val="0"/>
          <w:divBdr>
            <w:top w:val="none" w:sz="0" w:space="0" w:color="auto"/>
            <w:left w:val="none" w:sz="0" w:space="0" w:color="auto"/>
            <w:bottom w:val="none" w:sz="0" w:space="0" w:color="auto"/>
            <w:right w:val="none" w:sz="0" w:space="0" w:color="auto"/>
          </w:divBdr>
        </w:div>
        <w:div w:id="450251120">
          <w:marLeft w:val="360"/>
          <w:marRight w:val="0"/>
          <w:marTop w:val="200"/>
          <w:marBottom w:val="0"/>
          <w:divBdr>
            <w:top w:val="none" w:sz="0" w:space="0" w:color="auto"/>
            <w:left w:val="none" w:sz="0" w:space="0" w:color="auto"/>
            <w:bottom w:val="none" w:sz="0" w:space="0" w:color="auto"/>
            <w:right w:val="none" w:sz="0" w:space="0" w:color="auto"/>
          </w:divBdr>
        </w:div>
        <w:div w:id="1822961310">
          <w:marLeft w:val="1080"/>
          <w:marRight w:val="0"/>
          <w:marTop w:val="100"/>
          <w:marBottom w:val="0"/>
          <w:divBdr>
            <w:top w:val="none" w:sz="0" w:space="0" w:color="auto"/>
            <w:left w:val="none" w:sz="0" w:space="0" w:color="auto"/>
            <w:bottom w:val="none" w:sz="0" w:space="0" w:color="auto"/>
            <w:right w:val="none" w:sz="0" w:space="0" w:color="auto"/>
          </w:divBdr>
        </w:div>
        <w:div w:id="1660689109">
          <w:marLeft w:val="1080"/>
          <w:marRight w:val="0"/>
          <w:marTop w:val="100"/>
          <w:marBottom w:val="0"/>
          <w:divBdr>
            <w:top w:val="none" w:sz="0" w:space="0" w:color="auto"/>
            <w:left w:val="none" w:sz="0" w:space="0" w:color="auto"/>
            <w:bottom w:val="none" w:sz="0" w:space="0" w:color="auto"/>
            <w:right w:val="none" w:sz="0" w:space="0" w:color="auto"/>
          </w:divBdr>
        </w:div>
      </w:divsChild>
    </w:div>
    <w:div w:id="1835339048">
      <w:bodyDiv w:val="1"/>
      <w:marLeft w:val="0"/>
      <w:marRight w:val="0"/>
      <w:marTop w:val="0"/>
      <w:marBottom w:val="0"/>
      <w:divBdr>
        <w:top w:val="none" w:sz="0" w:space="0" w:color="auto"/>
        <w:left w:val="none" w:sz="0" w:space="0" w:color="auto"/>
        <w:bottom w:val="none" w:sz="0" w:space="0" w:color="auto"/>
        <w:right w:val="none" w:sz="0" w:space="0" w:color="auto"/>
      </w:divBdr>
    </w:div>
    <w:div w:id="1845700759">
      <w:bodyDiv w:val="1"/>
      <w:marLeft w:val="0"/>
      <w:marRight w:val="0"/>
      <w:marTop w:val="0"/>
      <w:marBottom w:val="0"/>
      <w:divBdr>
        <w:top w:val="none" w:sz="0" w:space="0" w:color="auto"/>
        <w:left w:val="none" w:sz="0" w:space="0" w:color="auto"/>
        <w:bottom w:val="none" w:sz="0" w:space="0" w:color="auto"/>
        <w:right w:val="none" w:sz="0" w:space="0" w:color="auto"/>
      </w:divBdr>
    </w:div>
    <w:div w:id="1851677552">
      <w:bodyDiv w:val="1"/>
      <w:marLeft w:val="0"/>
      <w:marRight w:val="0"/>
      <w:marTop w:val="0"/>
      <w:marBottom w:val="0"/>
      <w:divBdr>
        <w:top w:val="none" w:sz="0" w:space="0" w:color="auto"/>
        <w:left w:val="none" w:sz="0" w:space="0" w:color="auto"/>
        <w:bottom w:val="none" w:sz="0" w:space="0" w:color="auto"/>
        <w:right w:val="none" w:sz="0" w:space="0" w:color="auto"/>
      </w:divBdr>
      <w:divsChild>
        <w:div w:id="1044056878">
          <w:marLeft w:val="1080"/>
          <w:marRight w:val="0"/>
          <w:marTop w:val="100"/>
          <w:marBottom w:val="0"/>
          <w:divBdr>
            <w:top w:val="none" w:sz="0" w:space="0" w:color="auto"/>
            <w:left w:val="none" w:sz="0" w:space="0" w:color="auto"/>
            <w:bottom w:val="none" w:sz="0" w:space="0" w:color="auto"/>
            <w:right w:val="none" w:sz="0" w:space="0" w:color="auto"/>
          </w:divBdr>
        </w:div>
      </w:divsChild>
    </w:div>
    <w:div w:id="1854881995">
      <w:bodyDiv w:val="1"/>
      <w:marLeft w:val="0"/>
      <w:marRight w:val="0"/>
      <w:marTop w:val="0"/>
      <w:marBottom w:val="0"/>
      <w:divBdr>
        <w:top w:val="none" w:sz="0" w:space="0" w:color="auto"/>
        <w:left w:val="none" w:sz="0" w:space="0" w:color="auto"/>
        <w:bottom w:val="none" w:sz="0" w:space="0" w:color="auto"/>
        <w:right w:val="none" w:sz="0" w:space="0" w:color="auto"/>
      </w:divBdr>
    </w:div>
    <w:div w:id="1855730772">
      <w:bodyDiv w:val="1"/>
      <w:marLeft w:val="0"/>
      <w:marRight w:val="0"/>
      <w:marTop w:val="0"/>
      <w:marBottom w:val="0"/>
      <w:divBdr>
        <w:top w:val="none" w:sz="0" w:space="0" w:color="auto"/>
        <w:left w:val="none" w:sz="0" w:space="0" w:color="auto"/>
        <w:bottom w:val="none" w:sz="0" w:space="0" w:color="auto"/>
        <w:right w:val="none" w:sz="0" w:space="0" w:color="auto"/>
      </w:divBdr>
    </w:div>
    <w:div w:id="1855997661">
      <w:bodyDiv w:val="1"/>
      <w:marLeft w:val="0"/>
      <w:marRight w:val="0"/>
      <w:marTop w:val="0"/>
      <w:marBottom w:val="0"/>
      <w:divBdr>
        <w:top w:val="none" w:sz="0" w:space="0" w:color="auto"/>
        <w:left w:val="none" w:sz="0" w:space="0" w:color="auto"/>
        <w:bottom w:val="none" w:sz="0" w:space="0" w:color="auto"/>
        <w:right w:val="none" w:sz="0" w:space="0" w:color="auto"/>
      </w:divBdr>
    </w:div>
    <w:div w:id="1861624635">
      <w:bodyDiv w:val="1"/>
      <w:marLeft w:val="0"/>
      <w:marRight w:val="0"/>
      <w:marTop w:val="0"/>
      <w:marBottom w:val="0"/>
      <w:divBdr>
        <w:top w:val="none" w:sz="0" w:space="0" w:color="auto"/>
        <w:left w:val="none" w:sz="0" w:space="0" w:color="auto"/>
        <w:bottom w:val="none" w:sz="0" w:space="0" w:color="auto"/>
        <w:right w:val="none" w:sz="0" w:space="0" w:color="auto"/>
      </w:divBdr>
    </w:div>
    <w:div w:id="1864635259">
      <w:bodyDiv w:val="1"/>
      <w:marLeft w:val="0"/>
      <w:marRight w:val="0"/>
      <w:marTop w:val="0"/>
      <w:marBottom w:val="0"/>
      <w:divBdr>
        <w:top w:val="none" w:sz="0" w:space="0" w:color="auto"/>
        <w:left w:val="none" w:sz="0" w:space="0" w:color="auto"/>
        <w:bottom w:val="none" w:sz="0" w:space="0" w:color="auto"/>
        <w:right w:val="none" w:sz="0" w:space="0" w:color="auto"/>
      </w:divBdr>
    </w:div>
    <w:div w:id="1870561096">
      <w:bodyDiv w:val="1"/>
      <w:marLeft w:val="0"/>
      <w:marRight w:val="0"/>
      <w:marTop w:val="0"/>
      <w:marBottom w:val="0"/>
      <w:divBdr>
        <w:top w:val="none" w:sz="0" w:space="0" w:color="auto"/>
        <w:left w:val="none" w:sz="0" w:space="0" w:color="auto"/>
        <w:bottom w:val="none" w:sz="0" w:space="0" w:color="auto"/>
        <w:right w:val="none" w:sz="0" w:space="0" w:color="auto"/>
      </w:divBdr>
    </w:div>
    <w:div w:id="1884321474">
      <w:bodyDiv w:val="1"/>
      <w:marLeft w:val="0"/>
      <w:marRight w:val="0"/>
      <w:marTop w:val="0"/>
      <w:marBottom w:val="0"/>
      <w:divBdr>
        <w:top w:val="none" w:sz="0" w:space="0" w:color="auto"/>
        <w:left w:val="none" w:sz="0" w:space="0" w:color="auto"/>
        <w:bottom w:val="none" w:sz="0" w:space="0" w:color="auto"/>
        <w:right w:val="none" w:sz="0" w:space="0" w:color="auto"/>
      </w:divBdr>
    </w:div>
    <w:div w:id="1885367317">
      <w:bodyDiv w:val="1"/>
      <w:marLeft w:val="0"/>
      <w:marRight w:val="0"/>
      <w:marTop w:val="0"/>
      <w:marBottom w:val="0"/>
      <w:divBdr>
        <w:top w:val="none" w:sz="0" w:space="0" w:color="auto"/>
        <w:left w:val="none" w:sz="0" w:space="0" w:color="auto"/>
        <w:bottom w:val="none" w:sz="0" w:space="0" w:color="auto"/>
        <w:right w:val="none" w:sz="0" w:space="0" w:color="auto"/>
      </w:divBdr>
      <w:divsChild>
        <w:div w:id="16153392">
          <w:marLeft w:val="1181"/>
          <w:marRight w:val="0"/>
          <w:marTop w:val="120"/>
          <w:marBottom w:val="0"/>
          <w:divBdr>
            <w:top w:val="none" w:sz="0" w:space="0" w:color="auto"/>
            <w:left w:val="none" w:sz="0" w:space="0" w:color="auto"/>
            <w:bottom w:val="none" w:sz="0" w:space="0" w:color="auto"/>
            <w:right w:val="none" w:sz="0" w:space="0" w:color="auto"/>
          </w:divBdr>
        </w:div>
        <w:div w:id="379862993">
          <w:marLeft w:val="1181"/>
          <w:marRight w:val="0"/>
          <w:marTop w:val="120"/>
          <w:marBottom w:val="0"/>
          <w:divBdr>
            <w:top w:val="none" w:sz="0" w:space="0" w:color="auto"/>
            <w:left w:val="none" w:sz="0" w:space="0" w:color="auto"/>
            <w:bottom w:val="none" w:sz="0" w:space="0" w:color="auto"/>
            <w:right w:val="none" w:sz="0" w:space="0" w:color="auto"/>
          </w:divBdr>
        </w:div>
        <w:div w:id="1155219146">
          <w:marLeft w:val="1181"/>
          <w:marRight w:val="0"/>
          <w:marTop w:val="120"/>
          <w:marBottom w:val="0"/>
          <w:divBdr>
            <w:top w:val="none" w:sz="0" w:space="0" w:color="auto"/>
            <w:left w:val="none" w:sz="0" w:space="0" w:color="auto"/>
            <w:bottom w:val="none" w:sz="0" w:space="0" w:color="auto"/>
            <w:right w:val="none" w:sz="0" w:space="0" w:color="auto"/>
          </w:divBdr>
        </w:div>
        <w:div w:id="1253976865">
          <w:marLeft w:val="1181"/>
          <w:marRight w:val="0"/>
          <w:marTop w:val="120"/>
          <w:marBottom w:val="0"/>
          <w:divBdr>
            <w:top w:val="none" w:sz="0" w:space="0" w:color="auto"/>
            <w:left w:val="none" w:sz="0" w:space="0" w:color="auto"/>
            <w:bottom w:val="none" w:sz="0" w:space="0" w:color="auto"/>
            <w:right w:val="none" w:sz="0" w:space="0" w:color="auto"/>
          </w:divBdr>
        </w:div>
        <w:div w:id="1442451201">
          <w:marLeft w:val="734"/>
          <w:marRight w:val="0"/>
          <w:marTop w:val="120"/>
          <w:marBottom w:val="0"/>
          <w:divBdr>
            <w:top w:val="none" w:sz="0" w:space="0" w:color="auto"/>
            <w:left w:val="none" w:sz="0" w:space="0" w:color="auto"/>
            <w:bottom w:val="none" w:sz="0" w:space="0" w:color="auto"/>
            <w:right w:val="none" w:sz="0" w:space="0" w:color="auto"/>
          </w:divBdr>
        </w:div>
        <w:div w:id="1631595799">
          <w:marLeft w:val="734"/>
          <w:marRight w:val="0"/>
          <w:marTop w:val="120"/>
          <w:marBottom w:val="0"/>
          <w:divBdr>
            <w:top w:val="none" w:sz="0" w:space="0" w:color="auto"/>
            <w:left w:val="none" w:sz="0" w:space="0" w:color="auto"/>
            <w:bottom w:val="none" w:sz="0" w:space="0" w:color="auto"/>
            <w:right w:val="none" w:sz="0" w:space="0" w:color="auto"/>
          </w:divBdr>
        </w:div>
        <w:div w:id="1736515007">
          <w:marLeft w:val="1181"/>
          <w:marRight w:val="0"/>
          <w:marTop w:val="120"/>
          <w:marBottom w:val="0"/>
          <w:divBdr>
            <w:top w:val="none" w:sz="0" w:space="0" w:color="auto"/>
            <w:left w:val="none" w:sz="0" w:space="0" w:color="auto"/>
            <w:bottom w:val="none" w:sz="0" w:space="0" w:color="auto"/>
            <w:right w:val="none" w:sz="0" w:space="0" w:color="auto"/>
          </w:divBdr>
        </w:div>
        <w:div w:id="1914967896">
          <w:marLeft w:val="734"/>
          <w:marRight w:val="0"/>
          <w:marTop w:val="120"/>
          <w:marBottom w:val="0"/>
          <w:divBdr>
            <w:top w:val="none" w:sz="0" w:space="0" w:color="auto"/>
            <w:left w:val="none" w:sz="0" w:space="0" w:color="auto"/>
            <w:bottom w:val="none" w:sz="0" w:space="0" w:color="auto"/>
            <w:right w:val="none" w:sz="0" w:space="0" w:color="auto"/>
          </w:divBdr>
        </w:div>
        <w:div w:id="2021077438">
          <w:marLeft w:val="1181"/>
          <w:marRight w:val="0"/>
          <w:marTop w:val="120"/>
          <w:marBottom w:val="0"/>
          <w:divBdr>
            <w:top w:val="none" w:sz="0" w:space="0" w:color="auto"/>
            <w:left w:val="none" w:sz="0" w:space="0" w:color="auto"/>
            <w:bottom w:val="none" w:sz="0" w:space="0" w:color="auto"/>
            <w:right w:val="none" w:sz="0" w:space="0" w:color="auto"/>
          </w:divBdr>
        </w:div>
      </w:divsChild>
    </w:div>
    <w:div w:id="1886022473">
      <w:bodyDiv w:val="1"/>
      <w:marLeft w:val="0"/>
      <w:marRight w:val="0"/>
      <w:marTop w:val="0"/>
      <w:marBottom w:val="0"/>
      <w:divBdr>
        <w:top w:val="none" w:sz="0" w:space="0" w:color="auto"/>
        <w:left w:val="none" w:sz="0" w:space="0" w:color="auto"/>
        <w:bottom w:val="none" w:sz="0" w:space="0" w:color="auto"/>
        <w:right w:val="none" w:sz="0" w:space="0" w:color="auto"/>
      </w:divBdr>
    </w:div>
    <w:div w:id="1886790847">
      <w:bodyDiv w:val="1"/>
      <w:marLeft w:val="0"/>
      <w:marRight w:val="0"/>
      <w:marTop w:val="0"/>
      <w:marBottom w:val="0"/>
      <w:divBdr>
        <w:top w:val="none" w:sz="0" w:space="0" w:color="auto"/>
        <w:left w:val="none" w:sz="0" w:space="0" w:color="auto"/>
        <w:bottom w:val="none" w:sz="0" w:space="0" w:color="auto"/>
        <w:right w:val="none" w:sz="0" w:space="0" w:color="auto"/>
      </w:divBdr>
      <w:divsChild>
        <w:div w:id="84882909">
          <w:marLeft w:val="1800"/>
          <w:marRight w:val="0"/>
          <w:marTop w:val="0"/>
          <w:marBottom w:val="0"/>
          <w:divBdr>
            <w:top w:val="none" w:sz="0" w:space="0" w:color="auto"/>
            <w:left w:val="none" w:sz="0" w:space="0" w:color="auto"/>
            <w:bottom w:val="none" w:sz="0" w:space="0" w:color="auto"/>
            <w:right w:val="none" w:sz="0" w:space="0" w:color="auto"/>
          </w:divBdr>
        </w:div>
        <w:div w:id="359815898">
          <w:marLeft w:val="1800"/>
          <w:marRight w:val="0"/>
          <w:marTop w:val="0"/>
          <w:marBottom w:val="0"/>
          <w:divBdr>
            <w:top w:val="none" w:sz="0" w:space="0" w:color="auto"/>
            <w:left w:val="none" w:sz="0" w:space="0" w:color="auto"/>
            <w:bottom w:val="none" w:sz="0" w:space="0" w:color="auto"/>
            <w:right w:val="none" w:sz="0" w:space="0" w:color="auto"/>
          </w:divBdr>
        </w:div>
        <w:div w:id="484902045">
          <w:marLeft w:val="547"/>
          <w:marRight w:val="0"/>
          <w:marTop w:val="0"/>
          <w:marBottom w:val="0"/>
          <w:divBdr>
            <w:top w:val="none" w:sz="0" w:space="0" w:color="auto"/>
            <w:left w:val="none" w:sz="0" w:space="0" w:color="auto"/>
            <w:bottom w:val="none" w:sz="0" w:space="0" w:color="auto"/>
            <w:right w:val="none" w:sz="0" w:space="0" w:color="auto"/>
          </w:divBdr>
        </w:div>
        <w:div w:id="572468828">
          <w:marLeft w:val="1166"/>
          <w:marRight w:val="0"/>
          <w:marTop w:val="0"/>
          <w:marBottom w:val="0"/>
          <w:divBdr>
            <w:top w:val="none" w:sz="0" w:space="0" w:color="auto"/>
            <w:left w:val="none" w:sz="0" w:space="0" w:color="auto"/>
            <w:bottom w:val="none" w:sz="0" w:space="0" w:color="auto"/>
            <w:right w:val="none" w:sz="0" w:space="0" w:color="auto"/>
          </w:divBdr>
        </w:div>
        <w:div w:id="871847953">
          <w:marLeft w:val="2520"/>
          <w:marRight w:val="0"/>
          <w:marTop w:val="60"/>
          <w:marBottom w:val="0"/>
          <w:divBdr>
            <w:top w:val="none" w:sz="0" w:space="0" w:color="auto"/>
            <w:left w:val="none" w:sz="0" w:space="0" w:color="auto"/>
            <w:bottom w:val="none" w:sz="0" w:space="0" w:color="auto"/>
            <w:right w:val="none" w:sz="0" w:space="0" w:color="auto"/>
          </w:divBdr>
        </w:div>
        <w:div w:id="1058868168">
          <w:marLeft w:val="1800"/>
          <w:marRight w:val="0"/>
          <w:marTop w:val="0"/>
          <w:marBottom w:val="0"/>
          <w:divBdr>
            <w:top w:val="none" w:sz="0" w:space="0" w:color="auto"/>
            <w:left w:val="none" w:sz="0" w:space="0" w:color="auto"/>
            <w:bottom w:val="none" w:sz="0" w:space="0" w:color="auto"/>
            <w:right w:val="none" w:sz="0" w:space="0" w:color="auto"/>
          </w:divBdr>
        </w:div>
        <w:div w:id="1176071348">
          <w:marLeft w:val="1800"/>
          <w:marRight w:val="0"/>
          <w:marTop w:val="0"/>
          <w:marBottom w:val="0"/>
          <w:divBdr>
            <w:top w:val="none" w:sz="0" w:space="0" w:color="auto"/>
            <w:left w:val="none" w:sz="0" w:space="0" w:color="auto"/>
            <w:bottom w:val="none" w:sz="0" w:space="0" w:color="auto"/>
            <w:right w:val="none" w:sz="0" w:space="0" w:color="auto"/>
          </w:divBdr>
        </w:div>
        <w:div w:id="1258520111">
          <w:marLeft w:val="1800"/>
          <w:marRight w:val="0"/>
          <w:marTop w:val="0"/>
          <w:marBottom w:val="0"/>
          <w:divBdr>
            <w:top w:val="none" w:sz="0" w:space="0" w:color="auto"/>
            <w:left w:val="none" w:sz="0" w:space="0" w:color="auto"/>
            <w:bottom w:val="none" w:sz="0" w:space="0" w:color="auto"/>
            <w:right w:val="none" w:sz="0" w:space="0" w:color="auto"/>
          </w:divBdr>
        </w:div>
        <w:div w:id="1452942116">
          <w:marLeft w:val="1166"/>
          <w:marRight w:val="0"/>
          <w:marTop w:val="0"/>
          <w:marBottom w:val="0"/>
          <w:divBdr>
            <w:top w:val="none" w:sz="0" w:space="0" w:color="auto"/>
            <w:left w:val="none" w:sz="0" w:space="0" w:color="auto"/>
            <w:bottom w:val="none" w:sz="0" w:space="0" w:color="auto"/>
            <w:right w:val="none" w:sz="0" w:space="0" w:color="auto"/>
          </w:divBdr>
        </w:div>
        <w:div w:id="1513300829">
          <w:marLeft w:val="1800"/>
          <w:marRight w:val="0"/>
          <w:marTop w:val="0"/>
          <w:marBottom w:val="0"/>
          <w:divBdr>
            <w:top w:val="none" w:sz="0" w:space="0" w:color="auto"/>
            <w:left w:val="none" w:sz="0" w:space="0" w:color="auto"/>
            <w:bottom w:val="none" w:sz="0" w:space="0" w:color="auto"/>
            <w:right w:val="none" w:sz="0" w:space="0" w:color="auto"/>
          </w:divBdr>
        </w:div>
        <w:div w:id="1718311169">
          <w:marLeft w:val="2520"/>
          <w:marRight w:val="0"/>
          <w:marTop w:val="60"/>
          <w:marBottom w:val="0"/>
          <w:divBdr>
            <w:top w:val="none" w:sz="0" w:space="0" w:color="auto"/>
            <w:left w:val="none" w:sz="0" w:space="0" w:color="auto"/>
            <w:bottom w:val="none" w:sz="0" w:space="0" w:color="auto"/>
            <w:right w:val="none" w:sz="0" w:space="0" w:color="auto"/>
          </w:divBdr>
        </w:div>
        <w:div w:id="1803571698">
          <w:marLeft w:val="1800"/>
          <w:marRight w:val="0"/>
          <w:marTop w:val="0"/>
          <w:marBottom w:val="0"/>
          <w:divBdr>
            <w:top w:val="none" w:sz="0" w:space="0" w:color="auto"/>
            <w:left w:val="none" w:sz="0" w:space="0" w:color="auto"/>
            <w:bottom w:val="none" w:sz="0" w:space="0" w:color="auto"/>
            <w:right w:val="none" w:sz="0" w:space="0" w:color="auto"/>
          </w:divBdr>
        </w:div>
        <w:div w:id="1863011163">
          <w:marLeft w:val="1800"/>
          <w:marRight w:val="0"/>
          <w:marTop w:val="60"/>
          <w:marBottom w:val="0"/>
          <w:divBdr>
            <w:top w:val="none" w:sz="0" w:space="0" w:color="auto"/>
            <w:left w:val="none" w:sz="0" w:space="0" w:color="auto"/>
            <w:bottom w:val="none" w:sz="0" w:space="0" w:color="auto"/>
            <w:right w:val="none" w:sz="0" w:space="0" w:color="auto"/>
          </w:divBdr>
        </w:div>
      </w:divsChild>
    </w:div>
    <w:div w:id="1886913405">
      <w:bodyDiv w:val="1"/>
      <w:marLeft w:val="0"/>
      <w:marRight w:val="0"/>
      <w:marTop w:val="0"/>
      <w:marBottom w:val="0"/>
      <w:divBdr>
        <w:top w:val="none" w:sz="0" w:space="0" w:color="auto"/>
        <w:left w:val="none" w:sz="0" w:space="0" w:color="auto"/>
        <w:bottom w:val="none" w:sz="0" w:space="0" w:color="auto"/>
        <w:right w:val="none" w:sz="0" w:space="0" w:color="auto"/>
      </w:divBdr>
      <w:divsChild>
        <w:div w:id="873929743">
          <w:marLeft w:val="1166"/>
          <w:marRight w:val="0"/>
          <w:marTop w:val="96"/>
          <w:marBottom w:val="0"/>
          <w:divBdr>
            <w:top w:val="none" w:sz="0" w:space="0" w:color="auto"/>
            <w:left w:val="none" w:sz="0" w:space="0" w:color="auto"/>
            <w:bottom w:val="none" w:sz="0" w:space="0" w:color="auto"/>
            <w:right w:val="none" w:sz="0" w:space="0" w:color="auto"/>
          </w:divBdr>
        </w:div>
        <w:div w:id="1017149737">
          <w:marLeft w:val="547"/>
          <w:marRight w:val="0"/>
          <w:marTop w:val="240"/>
          <w:marBottom w:val="0"/>
          <w:divBdr>
            <w:top w:val="none" w:sz="0" w:space="0" w:color="auto"/>
            <w:left w:val="none" w:sz="0" w:space="0" w:color="auto"/>
            <w:bottom w:val="none" w:sz="0" w:space="0" w:color="auto"/>
            <w:right w:val="none" w:sz="0" w:space="0" w:color="auto"/>
          </w:divBdr>
        </w:div>
        <w:div w:id="1116750228">
          <w:marLeft w:val="1166"/>
          <w:marRight w:val="0"/>
          <w:marTop w:val="96"/>
          <w:marBottom w:val="0"/>
          <w:divBdr>
            <w:top w:val="none" w:sz="0" w:space="0" w:color="auto"/>
            <w:left w:val="none" w:sz="0" w:space="0" w:color="auto"/>
            <w:bottom w:val="none" w:sz="0" w:space="0" w:color="auto"/>
            <w:right w:val="none" w:sz="0" w:space="0" w:color="auto"/>
          </w:divBdr>
        </w:div>
      </w:divsChild>
    </w:div>
    <w:div w:id="1890610269">
      <w:bodyDiv w:val="1"/>
      <w:marLeft w:val="0"/>
      <w:marRight w:val="0"/>
      <w:marTop w:val="0"/>
      <w:marBottom w:val="0"/>
      <w:divBdr>
        <w:top w:val="none" w:sz="0" w:space="0" w:color="auto"/>
        <w:left w:val="none" w:sz="0" w:space="0" w:color="auto"/>
        <w:bottom w:val="none" w:sz="0" w:space="0" w:color="auto"/>
        <w:right w:val="none" w:sz="0" w:space="0" w:color="auto"/>
      </w:divBdr>
    </w:div>
    <w:div w:id="1891267202">
      <w:bodyDiv w:val="1"/>
      <w:marLeft w:val="0"/>
      <w:marRight w:val="0"/>
      <w:marTop w:val="0"/>
      <w:marBottom w:val="0"/>
      <w:divBdr>
        <w:top w:val="none" w:sz="0" w:space="0" w:color="auto"/>
        <w:left w:val="none" w:sz="0" w:space="0" w:color="auto"/>
        <w:bottom w:val="none" w:sz="0" w:space="0" w:color="auto"/>
        <w:right w:val="none" w:sz="0" w:space="0" w:color="auto"/>
      </w:divBdr>
    </w:div>
    <w:div w:id="1901551092">
      <w:bodyDiv w:val="1"/>
      <w:marLeft w:val="0"/>
      <w:marRight w:val="0"/>
      <w:marTop w:val="0"/>
      <w:marBottom w:val="0"/>
      <w:divBdr>
        <w:top w:val="none" w:sz="0" w:space="0" w:color="auto"/>
        <w:left w:val="none" w:sz="0" w:space="0" w:color="auto"/>
        <w:bottom w:val="none" w:sz="0" w:space="0" w:color="auto"/>
        <w:right w:val="none" w:sz="0" w:space="0" w:color="auto"/>
      </w:divBdr>
    </w:div>
    <w:div w:id="1902641221">
      <w:bodyDiv w:val="1"/>
      <w:marLeft w:val="0"/>
      <w:marRight w:val="0"/>
      <w:marTop w:val="0"/>
      <w:marBottom w:val="0"/>
      <w:divBdr>
        <w:top w:val="none" w:sz="0" w:space="0" w:color="auto"/>
        <w:left w:val="none" w:sz="0" w:space="0" w:color="auto"/>
        <w:bottom w:val="none" w:sz="0" w:space="0" w:color="auto"/>
        <w:right w:val="none" w:sz="0" w:space="0" w:color="auto"/>
      </w:divBdr>
    </w:div>
    <w:div w:id="1903327208">
      <w:bodyDiv w:val="1"/>
      <w:marLeft w:val="0"/>
      <w:marRight w:val="0"/>
      <w:marTop w:val="0"/>
      <w:marBottom w:val="0"/>
      <w:divBdr>
        <w:top w:val="none" w:sz="0" w:space="0" w:color="auto"/>
        <w:left w:val="none" w:sz="0" w:space="0" w:color="auto"/>
        <w:bottom w:val="none" w:sz="0" w:space="0" w:color="auto"/>
        <w:right w:val="none" w:sz="0" w:space="0" w:color="auto"/>
      </w:divBdr>
    </w:div>
    <w:div w:id="1914587866">
      <w:bodyDiv w:val="1"/>
      <w:marLeft w:val="0"/>
      <w:marRight w:val="0"/>
      <w:marTop w:val="0"/>
      <w:marBottom w:val="0"/>
      <w:divBdr>
        <w:top w:val="none" w:sz="0" w:space="0" w:color="auto"/>
        <w:left w:val="none" w:sz="0" w:space="0" w:color="auto"/>
        <w:bottom w:val="none" w:sz="0" w:space="0" w:color="auto"/>
        <w:right w:val="none" w:sz="0" w:space="0" w:color="auto"/>
      </w:divBdr>
    </w:div>
    <w:div w:id="1915237885">
      <w:bodyDiv w:val="1"/>
      <w:marLeft w:val="0"/>
      <w:marRight w:val="0"/>
      <w:marTop w:val="0"/>
      <w:marBottom w:val="0"/>
      <w:divBdr>
        <w:top w:val="none" w:sz="0" w:space="0" w:color="auto"/>
        <w:left w:val="none" w:sz="0" w:space="0" w:color="auto"/>
        <w:bottom w:val="none" w:sz="0" w:space="0" w:color="auto"/>
        <w:right w:val="none" w:sz="0" w:space="0" w:color="auto"/>
      </w:divBdr>
      <w:divsChild>
        <w:div w:id="986279535">
          <w:marLeft w:val="446"/>
          <w:marRight w:val="0"/>
          <w:marTop w:val="0"/>
          <w:marBottom w:val="0"/>
          <w:divBdr>
            <w:top w:val="none" w:sz="0" w:space="0" w:color="auto"/>
            <w:left w:val="none" w:sz="0" w:space="0" w:color="auto"/>
            <w:bottom w:val="none" w:sz="0" w:space="0" w:color="auto"/>
            <w:right w:val="none" w:sz="0" w:space="0" w:color="auto"/>
          </w:divBdr>
        </w:div>
        <w:div w:id="1809206587">
          <w:marLeft w:val="446"/>
          <w:marRight w:val="0"/>
          <w:marTop w:val="0"/>
          <w:marBottom w:val="0"/>
          <w:divBdr>
            <w:top w:val="none" w:sz="0" w:space="0" w:color="auto"/>
            <w:left w:val="none" w:sz="0" w:space="0" w:color="auto"/>
            <w:bottom w:val="none" w:sz="0" w:space="0" w:color="auto"/>
            <w:right w:val="none" w:sz="0" w:space="0" w:color="auto"/>
          </w:divBdr>
        </w:div>
      </w:divsChild>
    </w:div>
    <w:div w:id="1922596235">
      <w:bodyDiv w:val="1"/>
      <w:marLeft w:val="0"/>
      <w:marRight w:val="0"/>
      <w:marTop w:val="0"/>
      <w:marBottom w:val="0"/>
      <w:divBdr>
        <w:top w:val="none" w:sz="0" w:space="0" w:color="auto"/>
        <w:left w:val="none" w:sz="0" w:space="0" w:color="auto"/>
        <w:bottom w:val="none" w:sz="0" w:space="0" w:color="auto"/>
        <w:right w:val="none" w:sz="0" w:space="0" w:color="auto"/>
      </w:divBdr>
      <w:divsChild>
        <w:div w:id="553347266">
          <w:marLeft w:val="547"/>
          <w:marRight w:val="0"/>
          <w:marTop w:val="67"/>
          <w:marBottom w:val="0"/>
          <w:divBdr>
            <w:top w:val="none" w:sz="0" w:space="0" w:color="auto"/>
            <w:left w:val="none" w:sz="0" w:space="0" w:color="auto"/>
            <w:bottom w:val="none" w:sz="0" w:space="0" w:color="auto"/>
            <w:right w:val="none" w:sz="0" w:space="0" w:color="auto"/>
          </w:divBdr>
        </w:div>
      </w:divsChild>
    </w:div>
    <w:div w:id="1923567970">
      <w:bodyDiv w:val="1"/>
      <w:marLeft w:val="0"/>
      <w:marRight w:val="0"/>
      <w:marTop w:val="0"/>
      <w:marBottom w:val="0"/>
      <w:divBdr>
        <w:top w:val="none" w:sz="0" w:space="0" w:color="auto"/>
        <w:left w:val="none" w:sz="0" w:space="0" w:color="auto"/>
        <w:bottom w:val="none" w:sz="0" w:space="0" w:color="auto"/>
        <w:right w:val="none" w:sz="0" w:space="0" w:color="auto"/>
      </w:divBdr>
    </w:div>
    <w:div w:id="1923830240">
      <w:bodyDiv w:val="1"/>
      <w:marLeft w:val="0"/>
      <w:marRight w:val="0"/>
      <w:marTop w:val="0"/>
      <w:marBottom w:val="0"/>
      <w:divBdr>
        <w:top w:val="none" w:sz="0" w:space="0" w:color="auto"/>
        <w:left w:val="none" w:sz="0" w:space="0" w:color="auto"/>
        <w:bottom w:val="none" w:sz="0" w:space="0" w:color="auto"/>
        <w:right w:val="none" w:sz="0" w:space="0" w:color="auto"/>
      </w:divBdr>
    </w:div>
    <w:div w:id="1924104035">
      <w:bodyDiv w:val="1"/>
      <w:marLeft w:val="0"/>
      <w:marRight w:val="0"/>
      <w:marTop w:val="0"/>
      <w:marBottom w:val="0"/>
      <w:divBdr>
        <w:top w:val="none" w:sz="0" w:space="0" w:color="auto"/>
        <w:left w:val="none" w:sz="0" w:space="0" w:color="auto"/>
        <w:bottom w:val="none" w:sz="0" w:space="0" w:color="auto"/>
        <w:right w:val="none" w:sz="0" w:space="0" w:color="auto"/>
      </w:divBdr>
    </w:div>
    <w:div w:id="1925801377">
      <w:bodyDiv w:val="1"/>
      <w:marLeft w:val="0"/>
      <w:marRight w:val="0"/>
      <w:marTop w:val="0"/>
      <w:marBottom w:val="0"/>
      <w:divBdr>
        <w:top w:val="none" w:sz="0" w:space="0" w:color="auto"/>
        <w:left w:val="none" w:sz="0" w:space="0" w:color="auto"/>
        <w:bottom w:val="none" w:sz="0" w:space="0" w:color="auto"/>
        <w:right w:val="none" w:sz="0" w:space="0" w:color="auto"/>
      </w:divBdr>
    </w:div>
    <w:div w:id="1932657704">
      <w:bodyDiv w:val="1"/>
      <w:marLeft w:val="0"/>
      <w:marRight w:val="0"/>
      <w:marTop w:val="0"/>
      <w:marBottom w:val="0"/>
      <w:divBdr>
        <w:top w:val="none" w:sz="0" w:space="0" w:color="auto"/>
        <w:left w:val="none" w:sz="0" w:space="0" w:color="auto"/>
        <w:bottom w:val="none" w:sz="0" w:space="0" w:color="auto"/>
        <w:right w:val="none" w:sz="0" w:space="0" w:color="auto"/>
      </w:divBdr>
    </w:div>
    <w:div w:id="1934898996">
      <w:bodyDiv w:val="1"/>
      <w:marLeft w:val="0"/>
      <w:marRight w:val="0"/>
      <w:marTop w:val="0"/>
      <w:marBottom w:val="0"/>
      <w:divBdr>
        <w:top w:val="none" w:sz="0" w:space="0" w:color="auto"/>
        <w:left w:val="none" w:sz="0" w:space="0" w:color="auto"/>
        <w:bottom w:val="none" w:sz="0" w:space="0" w:color="auto"/>
        <w:right w:val="none" w:sz="0" w:space="0" w:color="auto"/>
      </w:divBdr>
      <w:divsChild>
        <w:div w:id="125776225">
          <w:marLeft w:val="1166"/>
          <w:marRight w:val="0"/>
          <w:marTop w:val="96"/>
          <w:marBottom w:val="0"/>
          <w:divBdr>
            <w:top w:val="none" w:sz="0" w:space="0" w:color="auto"/>
            <w:left w:val="none" w:sz="0" w:space="0" w:color="auto"/>
            <w:bottom w:val="none" w:sz="0" w:space="0" w:color="auto"/>
            <w:right w:val="none" w:sz="0" w:space="0" w:color="auto"/>
          </w:divBdr>
        </w:div>
        <w:div w:id="311377324">
          <w:marLeft w:val="547"/>
          <w:marRight w:val="0"/>
          <w:marTop w:val="115"/>
          <w:marBottom w:val="0"/>
          <w:divBdr>
            <w:top w:val="none" w:sz="0" w:space="0" w:color="auto"/>
            <w:left w:val="none" w:sz="0" w:space="0" w:color="auto"/>
            <w:bottom w:val="none" w:sz="0" w:space="0" w:color="auto"/>
            <w:right w:val="none" w:sz="0" w:space="0" w:color="auto"/>
          </w:divBdr>
        </w:div>
        <w:div w:id="838736291">
          <w:marLeft w:val="1166"/>
          <w:marRight w:val="0"/>
          <w:marTop w:val="96"/>
          <w:marBottom w:val="0"/>
          <w:divBdr>
            <w:top w:val="none" w:sz="0" w:space="0" w:color="auto"/>
            <w:left w:val="none" w:sz="0" w:space="0" w:color="auto"/>
            <w:bottom w:val="none" w:sz="0" w:space="0" w:color="auto"/>
            <w:right w:val="none" w:sz="0" w:space="0" w:color="auto"/>
          </w:divBdr>
        </w:div>
        <w:div w:id="855535385">
          <w:marLeft w:val="1166"/>
          <w:marRight w:val="0"/>
          <w:marTop w:val="96"/>
          <w:marBottom w:val="0"/>
          <w:divBdr>
            <w:top w:val="none" w:sz="0" w:space="0" w:color="auto"/>
            <w:left w:val="none" w:sz="0" w:space="0" w:color="auto"/>
            <w:bottom w:val="none" w:sz="0" w:space="0" w:color="auto"/>
            <w:right w:val="none" w:sz="0" w:space="0" w:color="auto"/>
          </w:divBdr>
        </w:div>
      </w:divsChild>
    </w:div>
    <w:div w:id="1936673544">
      <w:bodyDiv w:val="1"/>
      <w:marLeft w:val="0"/>
      <w:marRight w:val="0"/>
      <w:marTop w:val="0"/>
      <w:marBottom w:val="0"/>
      <w:divBdr>
        <w:top w:val="none" w:sz="0" w:space="0" w:color="auto"/>
        <w:left w:val="none" w:sz="0" w:space="0" w:color="auto"/>
        <w:bottom w:val="none" w:sz="0" w:space="0" w:color="auto"/>
        <w:right w:val="none" w:sz="0" w:space="0" w:color="auto"/>
      </w:divBdr>
    </w:div>
    <w:div w:id="1941065706">
      <w:bodyDiv w:val="1"/>
      <w:marLeft w:val="0"/>
      <w:marRight w:val="0"/>
      <w:marTop w:val="0"/>
      <w:marBottom w:val="0"/>
      <w:divBdr>
        <w:top w:val="none" w:sz="0" w:space="0" w:color="auto"/>
        <w:left w:val="none" w:sz="0" w:space="0" w:color="auto"/>
        <w:bottom w:val="none" w:sz="0" w:space="0" w:color="auto"/>
        <w:right w:val="none" w:sz="0" w:space="0" w:color="auto"/>
      </w:divBdr>
    </w:div>
    <w:div w:id="1947737164">
      <w:bodyDiv w:val="1"/>
      <w:marLeft w:val="0"/>
      <w:marRight w:val="0"/>
      <w:marTop w:val="0"/>
      <w:marBottom w:val="0"/>
      <w:divBdr>
        <w:top w:val="none" w:sz="0" w:space="0" w:color="auto"/>
        <w:left w:val="none" w:sz="0" w:space="0" w:color="auto"/>
        <w:bottom w:val="none" w:sz="0" w:space="0" w:color="auto"/>
        <w:right w:val="none" w:sz="0" w:space="0" w:color="auto"/>
      </w:divBdr>
    </w:div>
    <w:div w:id="1957134049">
      <w:bodyDiv w:val="1"/>
      <w:marLeft w:val="0"/>
      <w:marRight w:val="0"/>
      <w:marTop w:val="0"/>
      <w:marBottom w:val="0"/>
      <w:divBdr>
        <w:top w:val="none" w:sz="0" w:space="0" w:color="auto"/>
        <w:left w:val="none" w:sz="0" w:space="0" w:color="auto"/>
        <w:bottom w:val="none" w:sz="0" w:space="0" w:color="auto"/>
        <w:right w:val="none" w:sz="0" w:space="0" w:color="auto"/>
      </w:divBdr>
    </w:div>
    <w:div w:id="1958412698">
      <w:bodyDiv w:val="1"/>
      <w:marLeft w:val="0"/>
      <w:marRight w:val="0"/>
      <w:marTop w:val="0"/>
      <w:marBottom w:val="0"/>
      <w:divBdr>
        <w:top w:val="none" w:sz="0" w:space="0" w:color="auto"/>
        <w:left w:val="none" w:sz="0" w:space="0" w:color="auto"/>
        <w:bottom w:val="none" w:sz="0" w:space="0" w:color="auto"/>
        <w:right w:val="none" w:sz="0" w:space="0" w:color="auto"/>
      </w:divBdr>
      <w:divsChild>
        <w:div w:id="2120449436">
          <w:marLeft w:val="0"/>
          <w:marRight w:val="0"/>
          <w:marTop w:val="0"/>
          <w:marBottom w:val="0"/>
          <w:divBdr>
            <w:top w:val="none" w:sz="0" w:space="0" w:color="auto"/>
            <w:left w:val="none" w:sz="0" w:space="0" w:color="auto"/>
            <w:bottom w:val="none" w:sz="0" w:space="0" w:color="auto"/>
            <w:right w:val="none" w:sz="0" w:space="0" w:color="auto"/>
          </w:divBdr>
          <w:divsChild>
            <w:div w:id="1787236857">
              <w:marLeft w:val="0"/>
              <w:marRight w:val="0"/>
              <w:marTop w:val="0"/>
              <w:marBottom w:val="0"/>
              <w:divBdr>
                <w:top w:val="none" w:sz="0" w:space="0" w:color="auto"/>
                <w:left w:val="none" w:sz="0" w:space="0" w:color="auto"/>
                <w:bottom w:val="none" w:sz="0" w:space="0" w:color="auto"/>
                <w:right w:val="none" w:sz="0" w:space="0" w:color="auto"/>
              </w:divBdr>
              <w:divsChild>
                <w:div w:id="1727218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8121368">
      <w:bodyDiv w:val="1"/>
      <w:marLeft w:val="0"/>
      <w:marRight w:val="0"/>
      <w:marTop w:val="0"/>
      <w:marBottom w:val="0"/>
      <w:divBdr>
        <w:top w:val="none" w:sz="0" w:space="0" w:color="auto"/>
        <w:left w:val="none" w:sz="0" w:space="0" w:color="auto"/>
        <w:bottom w:val="none" w:sz="0" w:space="0" w:color="auto"/>
        <w:right w:val="none" w:sz="0" w:space="0" w:color="auto"/>
      </w:divBdr>
    </w:div>
    <w:div w:id="1970351865">
      <w:bodyDiv w:val="1"/>
      <w:marLeft w:val="0"/>
      <w:marRight w:val="0"/>
      <w:marTop w:val="0"/>
      <w:marBottom w:val="0"/>
      <w:divBdr>
        <w:top w:val="none" w:sz="0" w:space="0" w:color="auto"/>
        <w:left w:val="none" w:sz="0" w:space="0" w:color="auto"/>
        <w:bottom w:val="none" w:sz="0" w:space="0" w:color="auto"/>
        <w:right w:val="none" w:sz="0" w:space="0" w:color="auto"/>
      </w:divBdr>
      <w:divsChild>
        <w:div w:id="38361311">
          <w:marLeft w:val="1080"/>
          <w:marRight w:val="0"/>
          <w:marTop w:val="200"/>
          <w:marBottom w:val="0"/>
          <w:divBdr>
            <w:top w:val="none" w:sz="0" w:space="0" w:color="auto"/>
            <w:left w:val="none" w:sz="0" w:space="0" w:color="auto"/>
            <w:bottom w:val="none" w:sz="0" w:space="0" w:color="auto"/>
            <w:right w:val="none" w:sz="0" w:space="0" w:color="auto"/>
          </w:divBdr>
        </w:div>
        <w:div w:id="40786449">
          <w:marLeft w:val="2520"/>
          <w:marRight w:val="0"/>
          <w:marTop w:val="200"/>
          <w:marBottom w:val="0"/>
          <w:divBdr>
            <w:top w:val="none" w:sz="0" w:space="0" w:color="auto"/>
            <w:left w:val="none" w:sz="0" w:space="0" w:color="auto"/>
            <w:bottom w:val="none" w:sz="0" w:space="0" w:color="auto"/>
            <w:right w:val="none" w:sz="0" w:space="0" w:color="auto"/>
          </w:divBdr>
        </w:div>
        <w:div w:id="801969842">
          <w:marLeft w:val="1080"/>
          <w:marRight w:val="0"/>
          <w:marTop w:val="200"/>
          <w:marBottom w:val="0"/>
          <w:divBdr>
            <w:top w:val="none" w:sz="0" w:space="0" w:color="auto"/>
            <w:left w:val="none" w:sz="0" w:space="0" w:color="auto"/>
            <w:bottom w:val="none" w:sz="0" w:space="0" w:color="auto"/>
            <w:right w:val="none" w:sz="0" w:space="0" w:color="auto"/>
          </w:divBdr>
        </w:div>
        <w:div w:id="924803789">
          <w:marLeft w:val="1080"/>
          <w:marRight w:val="0"/>
          <w:marTop w:val="200"/>
          <w:marBottom w:val="0"/>
          <w:divBdr>
            <w:top w:val="none" w:sz="0" w:space="0" w:color="auto"/>
            <w:left w:val="none" w:sz="0" w:space="0" w:color="auto"/>
            <w:bottom w:val="none" w:sz="0" w:space="0" w:color="auto"/>
            <w:right w:val="none" w:sz="0" w:space="0" w:color="auto"/>
          </w:divBdr>
        </w:div>
        <w:div w:id="935482170">
          <w:marLeft w:val="360"/>
          <w:marRight w:val="0"/>
          <w:marTop w:val="200"/>
          <w:marBottom w:val="0"/>
          <w:divBdr>
            <w:top w:val="none" w:sz="0" w:space="0" w:color="auto"/>
            <w:left w:val="none" w:sz="0" w:space="0" w:color="auto"/>
            <w:bottom w:val="none" w:sz="0" w:space="0" w:color="auto"/>
            <w:right w:val="none" w:sz="0" w:space="0" w:color="auto"/>
          </w:divBdr>
        </w:div>
        <w:div w:id="1285116643">
          <w:marLeft w:val="360"/>
          <w:marRight w:val="0"/>
          <w:marTop w:val="200"/>
          <w:marBottom w:val="0"/>
          <w:divBdr>
            <w:top w:val="none" w:sz="0" w:space="0" w:color="auto"/>
            <w:left w:val="none" w:sz="0" w:space="0" w:color="auto"/>
            <w:bottom w:val="none" w:sz="0" w:space="0" w:color="auto"/>
            <w:right w:val="none" w:sz="0" w:space="0" w:color="auto"/>
          </w:divBdr>
        </w:div>
        <w:div w:id="1301809215">
          <w:marLeft w:val="2520"/>
          <w:marRight w:val="0"/>
          <w:marTop w:val="200"/>
          <w:marBottom w:val="0"/>
          <w:divBdr>
            <w:top w:val="none" w:sz="0" w:space="0" w:color="auto"/>
            <w:left w:val="none" w:sz="0" w:space="0" w:color="auto"/>
            <w:bottom w:val="none" w:sz="0" w:space="0" w:color="auto"/>
            <w:right w:val="none" w:sz="0" w:space="0" w:color="auto"/>
          </w:divBdr>
        </w:div>
        <w:div w:id="1327320749">
          <w:marLeft w:val="360"/>
          <w:marRight w:val="0"/>
          <w:marTop w:val="200"/>
          <w:marBottom w:val="0"/>
          <w:divBdr>
            <w:top w:val="none" w:sz="0" w:space="0" w:color="auto"/>
            <w:left w:val="none" w:sz="0" w:space="0" w:color="auto"/>
            <w:bottom w:val="none" w:sz="0" w:space="0" w:color="auto"/>
            <w:right w:val="none" w:sz="0" w:space="0" w:color="auto"/>
          </w:divBdr>
        </w:div>
        <w:div w:id="1347905860">
          <w:marLeft w:val="1080"/>
          <w:marRight w:val="0"/>
          <w:marTop w:val="200"/>
          <w:marBottom w:val="0"/>
          <w:divBdr>
            <w:top w:val="none" w:sz="0" w:space="0" w:color="auto"/>
            <w:left w:val="none" w:sz="0" w:space="0" w:color="auto"/>
            <w:bottom w:val="none" w:sz="0" w:space="0" w:color="auto"/>
            <w:right w:val="none" w:sz="0" w:space="0" w:color="auto"/>
          </w:divBdr>
        </w:div>
        <w:div w:id="1506675019">
          <w:marLeft w:val="2520"/>
          <w:marRight w:val="0"/>
          <w:marTop w:val="200"/>
          <w:marBottom w:val="0"/>
          <w:divBdr>
            <w:top w:val="none" w:sz="0" w:space="0" w:color="auto"/>
            <w:left w:val="none" w:sz="0" w:space="0" w:color="auto"/>
            <w:bottom w:val="none" w:sz="0" w:space="0" w:color="auto"/>
            <w:right w:val="none" w:sz="0" w:space="0" w:color="auto"/>
          </w:divBdr>
        </w:div>
        <w:div w:id="1725178183">
          <w:marLeft w:val="360"/>
          <w:marRight w:val="0"/>
          <w:marTop w:val="200"/>
          <w:marBottom w:val="0"/>
          <w:divBdr>
            <w:top w:val="none" w:sz="0" w:space="0" w:color="auto"/>
            <w:left w:val="none" w:sz="0" w:space="0" w:color="auto"/>
            <w:bottom w:val="none" w:sz="0" w:space="0" w:color="auto"/>
            <w:right w:val="none" w:sz="0" w:space="0" w:color="auto"/>
          </w:divBdr>
        </w:div>
        <w:div w:id="1793094561">
          <w:marLeft w:val="1800"/>
          <w:marRight w:val="0"/>
          <w:marTop w:val="200"/>
          <w:marBottom w:val="0"/>
          <w:divBdr>
            <w:top w:val="none" w:sz="0" w:space="0" w:color="auto"/>
            <w:left w:val="none" w:sz="0" w:space="0" w:color="auto"/>
            <w:bottom w:val="none" w:sz="0" w:space="0" w:color="auto"/>
            <w:right w:val="none" w:sz="0" w:space="0" w:color="auto"/>
          </w:divBdr>
        </w:div>
        <w:div w:id="1859157547">
          <w:marLeft w:val="2520"/>
          <w:marRight w:val="0"/>
          <w:marTop w:val="200"/>
          <w:marBottom w:val="0"/>
          <w:divBdr>
            <w:top w:val="none" w:sz="0" w:space="0" w:color="auto"/>
            <w:left w:val="none" w:sz="0" w:space="0" w:color="auto"/>
            <w:bottom w:val="none" w:sz="0" w:space="0" w:color="auto"/>
            <w:right w:val="none" w:sz="0" w:space="0" w:color="auto"/>
          </w:divBdr>
        </w:div>
        <w:div w:id="1883979105">
          <w:marLeft w:val="1080"/>
          <w:marRight w:val="0"/>
          <w:marTop w:val="200"/>
          <w:marBottom w:val="0"/>
          <w:divBdr>
            <w:top w:val="none" w:sz="0" w:space="0" w:color="auto"/>
            <w:left w:val="none" w:sz="0" w:space="0" w:color="auto"/>
            <w:bottom w:val="none" w:sz="0" w:space="0" w:color="auto"/>
            <w:right w:val="none" w:sz="0" w:space="0" w:color="auto"/>
          </w:divBdr>
        </w:div>
        <w:div w:id="1903171360">
          <w:marLeft w:val="360"/>
          <w:marRight w:val="0"/>
          <w:marTop w:val="200"/>
          <w:marBottom w:val="0"/>
          <w:divBdr>
            <w:top w:val="none" w:sz="0" w:space="0" w:color="auto"/>
            <w:left w:val="none" w:sz="0" w:space="0" w:color="auto"/>
            <w:bottom w:val="none" w:sz="0" w:space="0" w:color="auto"/>
            <w:right w:val="none" w:sz="0" w:space="0" w:color="auto"/>
          </w:divBdr>
        </w:div>
      </w:divsChild>
    </w:div>
    <w:div w:id="1970354951">
      <w:bodyDiv w:val="1"/>
      <w:marLeft w:val="0"/>
      <w:marRight w:val="0"/>
      <w:marTop w:val="0"/>
      <w:marBottom w:val="0"/>
      <w:divBdr>
        <w:top w:val="none" w:sz="0" w:space="0" w:color="auto"/>
        <w:left w:val="none" w:sz="0" w:space="0" w:color="auto"/>
        <w:bottom w:val="none" w:sz="0" w:space="0" w:color="auto"/>
        <w:right w:val="none" w:sz="0" w:space="0" w:color="auto"/>
      </w:divBdr>
      <w:divsChild>
        <w:div w:id="419723092">
          <w:marLeft w:val="1080"/>
          <w:marRight w:val="0"/>
          <w:marTop w:val="100"/>
          <w:marBottom w:val="0"/>
          <w:divBdr>
            <w:top w:val="none" w:sz="0" w:space="0" w:color="auto"/>
            <w:left w:val="none" w:sz="0" w:space="0" w:color="auto"/>
            <w:bottom w:val="none" w:sz="0" w:space="0" w:color="auto"/>
            <w:right w:val="none" w:sz="0" w:space="0" w:color="auto"/>
          </w:divBdr>
        </w:div>
        <w:div w:id="1023747701">
          <w:marLeft w:val="1080"/>
          <w:marRight w:val="0"/>
          <w:marTop w:val="100"/>
          <w:marBottom w:val="0"/>
          <w:divBdr>
            <w:top w:val="none" w:sz="0" w:space="0" w:color="auto"/>
            <w:left w:val="none" w:sz="0" w:space="0" w:color="auto"/>
            <w:bottom w:val="none" w:sz="0" w:space="0" w:color="auto"/>
            <w:right w:val="none" w:sz="0" w:space="0" w:color="auto"/>
          </w:divBdr>
        </w:div>
        <w:div w:id="1212696003">
          <w:marLeft w:val="1080"/>
          <w:marRight w:val="0"/>
          <w:marTop w:val="100"/>
          <w:marBottom w:val="0"/>
          <w:divBdr>
            <w:top w:val="none" w:sz="0" w:space="0" w:color="auto"/>
            <w:left w:val="none" w:sz="0" w:space="0" w:color="auto"/>
            <w:bottom w:val="none" w:sz="0" w:space="0" w:color="auto"/>
            <w:right w:val="none" w:sz="0" w:space="0" w:color="auto"/>
          </w:divBdr>
        </w:div>
        <w:div w:id="2109426405">
          <w:marLeft w:val="360"/>
          <w:marRight w:val="0"/>
          <w:marTop w:val="200"/>
          <w:marBottom w:val="0"/>
          <w:divBdr>
            <w:top w:val="none" w:sz="0" w:space="0" w:color="auto"/>
            <w:left w:val="none" w:sz="0" w:space="0" w:color="auto"/>
            <w:bottom w:val="none" w:sz="0" w:space="0" w:color="auto"/>
            <w:right w:val="none" w:sz="0" w:space="0" w:color="auto"/>
          </w:divBdr>
        </w:div>
      </w:divsChild>
    </w:div>
    <w:div w:id="1974017964">
      <w:bodyDiv w:val="1"/>
      <w:marLeft w:val="0"/>
      <w:marRight w:val="0"/>
      <w:marTop w:val="0"/>
      <w:marBottom w:val="0"/>
      <w:divBdr>
        <w:top w:val="none" w:sz="0" w:space="0" w:color="auto"/>
        <w:left w:val="none" w:sz="0" w:space="0" w:color="auto"/>
        <w:bottom w:val="none" w:sz="0" w:space="0" w:color="auto"/>
        <w:right w:val="none" w:sz="0" w:space="0" w:color="auto"/>
      </w:divBdr>
    </w:div>
    <w:div w:id="1976791784">
      <w:bodyDiv w:val="1"/>
      <w:marLeft w:val="0"/>
      <w:marRight w:val="0"/>
      <w:marTop w:val="0"/>
      <w:marBottom w:val="0"/>
      <w:divBdr>
        <w:top w:val="none" w:sz="0" w:space="0" w:color="auto"/>
        <w:left w:val="none" w:sz="0" w:space="0" w:color="auto"/>
        <w:bottom w:val="none" w:sz="0" w:space="0" w:color="auto"/>
        <w:right w:val="none" w:sz="0" w:space="0" w:color="auto"/>
      </w:divBdr>
    </w:div>
    <w:div w:id="1986399059">
      <w:bodyDiv w:val="1"/>
      <w:marLeft w:val="0"/>
      <w:marRight w:val="0"/>
      <w:marTop w:val="0"/>
      <w:marBottom w:val="0"/>
      <w:divBdr>
        <w:top w:val="none" w:sz="0" w:space="0" w:color="auto"/>
        <w:left w:val="none" w:sz="0" w:space="0" w:color="auto"/>
        <w:bottom w:val="none" w:sz="0" w:space="0" w:color="auto"/>
        <w:right w:val="none" w:sz="0" w:space="0" w:color="auto"/>
      </w:divBdr>
      <w:divsChild>
        <w:div w:id="1121411719">
          <w:marLeft w:val="547"/>
          <w:marRight w:val="0"/>
          <w:marTop w:val="96"/>
          <w:marBottom w:val="0"/>
          <w:divBdr>
            <w:top w:val="none" w:sz="0" w:space="0" w:color="auto"/>
            <w:left w:val="none" w:sz="0" w:space="0" w:color="auto"/>
            <w:bottom w:val="none" w:sz="0" w:space="0" w:color="auto"/>
            <w:right w:val="none" w:sz="0" w:space="0" w:color="auto"/>
          </w:divBdr>
        </w:div>
      </w:divsChild>
    </w:div>
    <w:div w:id="1987395100">
      <w:bodyDiv w:val="1"/>
      <w:marLeft w:val="0"/>
      <w:marRight w:val="0"/>
      <w:marTop w:val="0"/>
      <w:marBottom w:val="0"/>
      <w:divBdr>
        <w:top w:val="none" w:sz="0" w:space="0" w:color="auto"/>
        <w:left w:val="none" w:sz="0" w:space="0" w:color="auto"/>
        <w:bottom w:val="none" w:sz="0" w:space="0" w:color="auto"/>
        <w:right w:val="none" w:sz="0" w:space="0" w:color="auto"/>
      </w:divBdr>
    </w:div>
    <w:div w:id="1997031606">
      <w:bodyDiv w:val="1"/>
      <w:marLeft w:val="0"/>
      <w:marRight w:val="0"/>
      <w:marTop w:val="0"/>
      <w:marBottom w:val="0"/>
      <w:divBdr>
        <w:top w:val="none" w:sz="0" w:space="0" w:color="auto"/>
        <w:left w:val="none" w:sz="0" w:space="0" w:color="auto"/>
        <w:bottom w:val="none" w:sz="0" w:space="0" w:color="auto"/>
        <w:right w:val="none" w:sz="0" w:space="0" w:color="auto"/>
      </w:divBdr>
      <w:divsChild>
        <w:div w:id="1829327480">
          <w:marLeft w:val="0"/>
          <w:marRight w:val="0"/>
          <w:marTop w:val="0"/>
          <w:marBottom w:val="0"/>
          <w:divBdr>
            <w:top w:val="none" w:sz="0" w:space="0" w:color="auto"/>
            <w:left w:val="none" w:sz="0" w:space="0" w:color="auto"/>
            <w:bottom w:val="none" w:sz="0" w:space="0" w:color="auto"/>
            <w:right w:val="none" w:sz="0" w:space="0" w:color="auto"/>
          </w:divBdr>
          <w:divsChild>
            <w:div w:id="2090468260">
              <w:marLeft w:val="0"/>
              <w:marRight w:val="0"/>
              <w:marTop w:val="0"/>
              <w:marBottom w:val="0"/>
              <w:divBdr>
                <w:top w:val="none" w:sz="0" w:space="0" w:color="auto"/>
                <w:left w:val="none" w:sz="0" w:space="0" w:color="auto"/>
                <w:bottom w:val="none" w:sz="0" w:space="0" w:color="auto"/>
                <w:right w:val="none" w:sz="0" w:space="0" w:color="auto"/>
              </w:divBdr>
              <w:divsChild>
                <w:div w:id="813525720">
                  <w:marLeft w:val="0"/>
                  <w:marRight w:val="0"/>
                  <w:marTop w:val="0"/>
                  <w:marBottom w:val="0"/>
                  <w:divBdr>
                    <w:top w:val="none" w:sz="0" w:space="0" w:color="auto"/>
                    <w:left w:val="none" w:sz="0" w:space="0" w:color="auto"/>
                    <w:bottom w:val="none" w:sz="0" w:space="0" w:color="auto"/>
                    <w:right w:val="none" w:sz="0" w:space="0" w:color="auto"/>
                  </w:divBdr>
                </w:div>
              </w:divsChild>
            </w:div>
            <w:div w:id="1069767736">
              <w:marLeft w:val="0"/>
              <w:marRight w:val="0"/>
              <w:marTop w:val="0"/>
              <w:marBottom w:val="0"/>
              <w:divBdr>
                <w:top w:val="none" w:sz="0" w:space="0" w:color="auto"/>
                <w:left w:val="none" w:sz="0" w:space="0" w:color="auto"/>
                <w:bottom w:val="none" w:sz="0" w:space="0" w:color="auto"/>
                <w:right w:val="none" w:sz="0" w:space="0" w:color="auto"/>
              </w:divBdr>
              <w:divsChild>
                <w:div w:id="601109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7343154">
      <w:bodyDiv w:val="1"/>
      <w:marLeft w:val="0"/>
      <w:marRight w:val="0"/>
      <w:marTop w:val="0"/>
      <w:marBottom w:val="0"/>
      <w:divBdr>
        <w:top w:val="none" w:sz="0" w:space="0" w:color="auto"/>
        <w:left w:val="none" w:sz="0" w:space="0" w:color="auto"/>
        <w:bottom w:val="none" w:sz="0" w:space="0" w:color="auto"/>
        <w:right w:val="none" w:sz="0" w:space="0" w:color="auto"/>
      </w:divBdr>
    </w:div>
    <w:div w:id="1998655501">
      <w:bodyDiv w:val="1"/>
      <w:marLeft w:val="0"/>
      <w:marRight w:val="0"/>
      <w:marTop w:val="0"/>
      <w:marBottom w:val="0"/>
      <w:divBdr>
        <w:top w:val="none" w:sz="0" w:space="0" w:color="auto"/>
        <w:left w:val="none" w:sz="0" w:space="0" w:color="auto"/>
        <w:bottom w:val="none" w:sz="0" w:space="0" w:color="auto"/>
        <w:right w:val="none" w:sz="0" w:space="0" w:color="auto"/>
      </w:divBdr>
      <w:divsChild>
        <w:div w:id="1504779806">
          <w:marLeft w:val="1166"/>
          <w:marRight w:val="0"/>
          <w:marTop w:val="82"/>
          <w:marBottom w:val="0"/>
          <w:divBdr>
            <w:top w:val="none" w:sz="0" w:space="0" w:color="auto"/>
            <w:left w:val="none" w:sz="0" w:space="0" w:color="auto"/>
            <w:bottom w:val="none" w:sz="0" w:space="0" w:color="auto"/>
            <w:right w:val="none" w:sz="0" w:space="0" w:color="auto"/>
          </w:divBdr>
        </w:div>
      </w:divsChild>
    </w:div>
    <w:div w:id="1999840735">
      <w:bodyDiv w:val="1"/>
      <w:marLeft w:val="0"/>
      <w:marRight w:val="0"/>
      <w:marTop w:val="0"/>
      <w:marBottom w:val="0"/>
      <w:divBdr>
        <w:top w:val="none" w:sz="0" w:space="0" w:color="auto"/>
        <w:left w:val="none" w:sz="0" w:space="0" w:color="auto"/>
        <w:bottom w:val="none" w:sz="0" w:space="0" w:color="auto"/>
        <w:right w:val="none" w:sz="0" w:space="0" w:color="auto"/>
      </w:divBdr>
      <w:divsChild>
        <w:div w:id="249318606">
          <w:marLeft w:val="1800"/>
          <w:marRight w:val="0"/>
          <w:marTop w:val="86"/>
          <w:marBottom w:val="0"/>
          <w:divBdr>
            <w:top w:val="none" w:sz="0" w:space="0" w:color="auto"/>
            <w:left w:val="none" w:sz="0" w:space="0" w:color="auto"/>
            <w:bottom w:val="none" w:sz="0" w:space="0" w:color="auto"/>
            <w:right w:val="none" w:sz="0" w:space="0" w:color="auto"/>
          </w:divBdr>
        </w:div>
        <w:div w:id="321199178">
          <w:marLeft w:val="2520"/>
          <w:marRight w:val="0"/>
          <w:marTop w:val="67"/>
          <w:marBottom w:val="0"/>
          <w:divBdr>
            <w:top w:val="none" w:sz="0" w:space="0" w:color="auto"/>
            <w:left w:val="none" w:sz="0" w:space="0" w:color="auto"/>
            <w:bottom w:val="none" w:sz="0" w:space="0" w:color="auto"/>
            <w:right w:val="none" w:sz="0" w:space="0" w:color="auto"/>
          </w:divBdr>
        </w:div>
        <w:div w:id="456146863">
          <w:marLeft w:val="1166"/>
          <w:marRight w:val="0"/>
          <w:marTop w:val="96"/>
          <w:marBottom w:val="0"/>
          <w:divBdr>
            <w:top w:val="none" w:sz="0" w:space="0" w:color="auto"/>
            <w:left w:val="none" w:sz="0" w:space="0" w:color="auto"/>
            <w:bottom w:val="none" w:sz="0" w:space="0" w:color="auto"/>
            <w:right w:val="none" w:sz="0" w:space="0" w:color="auto"/>
          </w:divBdr>
        </w:div>
        <w:div w:id="522524537">
          <w:marLeft w:val="2520"/>
          <w:marRight w:val="0"/>
          <w:marTop w:val="67"/>
          <w:marBottom w:val="0"/>
          <w:divBdr>
            <w:top w:val="none" w:sz="0" w:space="0" w:color="auto"/>
            <w:left w:val="none" w:sz="0" w:space="0" w:color="auto"/>
            <w:bottom w:val="none" w:sz="0" w:space="0" w:color="auto"/>
            <w:right w:val="none" w:sz="0" w:space="0" w:color="auto"/>
          </w:divBdr>
        </w:div>
        <w:div w:id="799228702">
          <w:marLeft w:val="1800"/>
          <w:marRight w:val="0"/>
          <w:marTop w:val="86"/>
          <w:marBottom w:val="0"/>
          <w:divBdr>
            <w:top w:val="none" w:sz="0" w:space="0" w:color="auto"/>
            <w:left w:val="none" w:sz="0" w:space="0" w:color="auto"/>
            <w:bottom w:val="none" w:sz="0" w:space="0" w:color="auto"/>
            <w:right w:val="none" w:sz="0" w:space="0" w:color="auto"/>
          </w:divBdr>
        </w:div>
        <w:div w:id="844976718">
          <w:marLeft w:val="547"/>
          <w:marRight w:val="0"/>
          <w:marTop w:val="115"/>
          <w:marBottom w:val="0"/>
          <w:divBdr>
            <w:top w:val="none" w:sz="0" w:space="0" w:color="auto"/>
            <w:left w:val="none" w:sz="0" w:space="0" w:color="auto"/>
            <w:bottom w:val="none" w:sz="0" w:space="0" w:color="auto"/>
            <w:right w:val="none" w:sz="0" w:space="0" w:color="auto"/>
          </w:divBdr>
        </w:div>
        <w:div w:id="914171590">
          <w:marLeft w:val="2520"/>
          <w:marRight w:val="0"/>
          <w:marTop w:val="67"/>
          <w:marBottom w:val="0"/>
          <w:divBdr>
            <w:top w:val="none" w:sz="0" w:space="0" w:color="auto"/>
            <w:left w:val="none" w:sz="0" w:space="0" w:color="auto"/>
            <w:bottom w:val="none" w:sz="0" w:space="0" w:color="auto"/>
            <w:right w:val="none" w:sz="0" w:space="0" w:color="auto"/>
          </w:divBdr>
        </w:div>
        <w:div w:id="977690691">
          <w:marLeft w:val="1800"/>
          <w:marRight w:val="0"/>
          <w:marTop w:val="86"/>
          <w:marBottom w:val="0"/>
          <w:divBdr>
            <w:top w:val="none" w:sz="0" w:space="0" w:color="auto"/>
            <w:left w:val="none" w:sz="0" w:space="0" w:color="auto"/>
            <w:bottom w:val="none" w:sz="0" w:space="0" w:color="auto"/>
            <w:right w:val="none" w:sz="0" w:space="0" w:color="auto"/>
          </w:divBdr>
        </w:div>
        <w:div w:id="1245340260">
          <w:marLeft w:val="1166"/>
          <w:marRight w:val="0"/>
          <w:marTop w:val="96"/>
          <w:marBottom w:val="0"/>
          <w:divBdr>
            <w:top w:val="none" w:sz="0" w:space="0" w:color="auto"/>
            <w:left w:val="none" w:sz="0" w:space="0" w:color="auto"/>
            <w:bottom w:val="none" w:sz="0" w:space="0" w:color="auto"/>
            <w:right w:val="none" w:sz="0" w:space="0" w:color="auto"/>
          </w:divBdr>
        </w:div>
        <w:div w:id="1411390010">
          <w:marLeft w:val="1800"/>
          <w:marRight w:val="0"/>
          <w:marTop w:val="86"/>
          <w:marBottom w:val="0"/>
          <w:divBdr>
            <w:top w:val="none" w:sz="0" w:space="0" w:color="auto"/>
            <w:left w:val="none" w:sz="0" w:space="0" w:color="auto"/>
            <w:bottom w:val="none" w:sz="0" w:space="0" w:color="auto"/>
            <w:right w:val="none" w:sz="0" w:space="0" w:color="auto"/>
          </w:divBdr>
        </w:div>
        <w:div w:id="1565335685">
          <w:marLeft w:val="1800"/>
          <w:marRight w:val="0"/>
          <w:marTop w:val="86"/>
          <w:marBottom w:val="0"/>
          <w:divBdr>
            <w:top w:val="none" w:sz="0" w:space="0" w:color="auto"/>
            <w:left w:val="none" w:sz="0" w:space="0" w:color="auto"/>
            <w:bottom w:val="none" w:sz="0" w:space="0" w:color="auto"/>
            <w:right w:val="none" w:sz="0" w:space="0" w:color="auto"/>
          </w:divBdr>
        </w:div>
        <w:div w:id="1617559889">
          <w:marLeft w:val="1166"/>
          <w:marRight w:val="0"/>
          <w:marTop w:val="96"/>
          <w:marBottom w:val="0"/>
          <w:divBdr>
            <w:top w:val="none" w:sz="0" w:space="0" w:color="auto"/>
            <w:left w:val="none" w:sz="0" w:space="0" w:color="auto"/>
            <w:bottom w:val="none" w:sz="0" w:space="0" w:color="auto"/>
            <w:right w:val="none" w:sz="0" w:space="0" w:color="auto"/>
          </w:divBdr>
        </w:div>
        <w:div w:id="2059476740">
          <w:marLeft w:val="1800"/>
          <w:marRight w:val="0"/>
          <w:marTop w:val="86"/>
          <w:marBottom w:val="0"/>
          <w:divBdr>
            <w:top w:val="none" w:sz="0" w:space="0" w:color="auto"/>
            <w:left w:val="none" w:sz="0" w:space="0" w:color="auto"/>
            <w:bottom w:val="none" w:sz="0" w:space="0" w:color="auto"/>
            <w:right w:val="none" w:sz="0" w:space="0" w:color="auto"/>
          </w:divBdr>
        </w:div>
      </w:divsChild>
    </w:div>
    <w:div w:id="2003967412">
      <w:bodyDiv w:val="1"/>
      <w:marLeft w:val="0"/>
      <w:marRight w:val="0"/>
      <w:marTop w:val="0"/>
      <w:marBottom w:val="0"/>
      <w:divBdr>
        <w:top w:val="none" w:sz="0" w:space="0" w:color="auto"/>
        <w:left w:val="none" w:sz="0" w:space="0" w:color="auto"/>
        <w:bottom w:val="none" w:sz="0" w:space="0" w:color="auto"/>
        <w:right w:val="none" w:sz="0" w:space="0" w:color="auto"/>
      </w:divBdr>
    </w:div>
    <w:div w:id="2007005959">
      <w:bodyDiv w:val="1"/>
      <w:marLeft w:val="0"/>
      <w:marRight w:val="0"/>
      <w:marTop w:val="0"/>
      <w:marBottom w:val="0"/>
      <w:divBdr>
        <w:top w:val="none" w:sz="0" w:space="0" w:color="auto"/>
        <w:left w:val="none" w:sz="0" w:space="0" w:color="auto"/>
        <w:bottom w:val="none" w:sz="0" w:space="0" w:color="auto"/>
        <w:right w:val="none" w:sz="0" w:space="0" w:color="auto"/>
      </w:divBdr>
    </w:div>
    <w:div w:id="2018850992">
      <w:bodyDiv w:val="1"/>
      <w:marLeft w:val="0"/>
      <w:marRight w:val="0"/>
      <w:marTop w:val="0"/>
      <w:marBottom w:val="0"/>
      <w:divBdr>
        <w:top w:val="none" w:sz="0" w:space="0" w:color="auto"/>
        <w:left w:val="none" w:sz="0" w:space="0" w:color="auto"/>
        <w:bottom w:val="none" w:sz="0" w:space="0" w:color="auto"/>
        <w:right w:val="none" w:sz="0" w:space="0" w:color="auto"/>
      </w:divBdr>
      <w:divsChild>
        <w:div w:id="662662207">
          <w:marLeft w:val="547"/>
          <w:marRight w:val="0"/>
          <w:marTop w:val="86"/>
          <w:marBottom w:val="0"/>
          <w:divBdr>
            <w:top w:val="none" w:sz="0" w:space="0" w:color="auto"/>
            <w:left w:val="none" w:sz="0" w:space="0" w:color="auto"/>
            <w:bottom w:val="none" w:sz="0" w:space="0" w:color="auto"/>
            <w:right w:val="none" w:sz="0" w:space="0" w:color="auto"/>
          </w:divBdr>
        </w:div>
        <w:div w:id="1077287555">
          <w:marLeft w:val="1166"/>
          <w:marRight w:val="0"/>
          <w:marTop w:val="77"/>
          <w:marBottom w:val="0"/>
          <w:divBdr>
            <w:top w:val="none" w:sz="0" w:space="0" w:color="auto"/>
            <w:left w:val="none" w:sz="0" w:space="0" w:color="auto"/>
            <w:bottom w:val="none" w:sz="0" w:space="0" w:color="auto"/>
            <w:right w:val="none" w:sz="0" w:space="0" w:color="auto"/>
          </w:divBdr>
        </w:div>
        <w:div w:id="1348749396">
          <w:marLeft w:val="547"/>
          <w:marRight w:val="0"/>
          <w:marTop w:val="86"/>
          <w:marBottom w:val="0"/>
          <w:divBdr>
            <w:top w:val="none" w:sz="0" w:space="0" w:color="auto"/>
            <w:left w:val="none" w:sz="0" w:space="0" w:color="auto"/>
            <w:bottom w:val="none" w:sz="0" w:space="0" w:color="auto"/>
            <w:right w:val="none" w:sz="0" w:space="0" w:color="auto"/>
          </w:divBdr>
        </w:div>
        <w:div w:id="1449353778">
          <w:marLeft w:val="1166"/>
          <w:marRight w:val="0"/>
          <w:marTop w:val="77"/>
          <w:marBottom w:val="0"/>
          <w:divBdr>
            <w:top w:val="none" w:sz="0" w:space="0" w:color="auto"/>
            <w:left w:val="none" w:sz="0" w:space="0" w:color="auto"/>
            <w:bottom w:val="none" w:sz="0" w:space="0" w:color="auto"/>
            <w:right w:val="none" w:sz="0" w:space="0" w:color="auto"/>
          </w:divBdr>
        </w:div>
        <w:div w:id="1505975376">
          <w:marLeft w:val="1166"/>
          <w:marRight w:val="0"/>
          <w:marTop w:val="77"/>
          <w:marBottom w:val="0"/>
          <w:divBdr>
            <w:top w:val="none" w:sz="0" w:space="0" w:color="auto"/>
            <w:left w:val="none" w:sz="0" w:space="0" w:color="auto"/>
            <w:bottom w:val="none" w:sz="0" w:space="0" w:color="auto"/>
            <w:right w:val="none" w:sz="0" w:space="0" w:color="auto"/>
          </w:divBdr>
        </w:div>
        <w:div w:id="1545753946">
          <w:marLeft w:val="1166"/>
          <w:marRight w:val="0"/>
          <w:marTop w:val="77"/>
          <w:marBottom w:val="0"/>
          <w:divBdr>
            <w:top w:val="none" w:sz="0" w:space="0" w:color="auto"/>
            <w:left w:val="none" w:sz="0" w:space="0" w:color="auto"/>
            <w:bottom w:val="none" w:sz="0" w:space="0" w:color="auto"/>
            <w:right w:val="none" w:sz="0" w:space="0" w:color="auto"/>
          </w:divBdr>
        </w:div>
        <w:div w:id="1653219970">
          <w:marLeft w:val="1166"/>
          <w:marRight w:val="0"/>
          <w:marTop w:val="77"/>
          <w:marBottom w:val="0"/>
          <w:divBdr>
            <w:top w:val="none" w:sz="0" w:space="0" w:color="auto"/>
            <w:left w:val="none" w:sz="0" w:space="0" w:color="auto"/>
            <w:bottom w:val="none" w:sz="0" w:space="0" w:color="auto"/>
            <w:right w:val="none" w:sz="0" w:space="0" w:color="auto"/>
          </w:divBdr>
        </w:div>
        <w:div w:id="1703090774">
          <w:marLeft w:val="547"/>
          <w:marRight w:val="0"/>
          <w:marTop w:val="86"/>
          <w:marBottom w:val="0"/>
          <w:divBdr>
            <w:top w:val="none" w:sz="0" w:space="0" w:color="auto"/>
            <w:left w:val="none" w:sz="0" w:space="0" w:color="auto"/>
            <w:bottom w:val="none" w:sz="0" w:space="0" w:color="auto"/>
            <w:right w:val="none" w:sz="0" w:space="0" w:color="auto"/>
          </w:divBdr>
        </w:div>
        <w:div w:id="1919747343">
          <w:marLeft w:val="1800"/>
          <w:marRight w:val="0"/>
          <w:marTop w:val="67"/>
          <w:marBottom w:val="0"/>
          <w:divBdr>
            <w:top w:val="none" w:sz="0" w:space="0" w:color="auto"/>
            <w:left w:val="none" w:sz="0" w:space="0" w:color="auto"/>
            <w:bottom w:val="none" w:sz="0" w:space="0" w:color="auto"/>
            <w:right w:val="none" w:sz="0" w:space="0" w:color="auto"/>
          </w:divBdr>
        </w:div>
        <w:div w:id="2143575609">
          <w:marLeft w:val="1166"/>
          <w:marRight w:val="0"/>
          <w:marTop w:val="77"/>
          <w:marBottom w:val="0"/>
          <w:divBdr>
            <w:top w:val="none" w:sz="0" w:space="0" w:color="auto"/>
            <w:left w:val="none" w:sz="0" w:space="0" w:color="auto"/>
            <w:bottom w:val="none" w:sz="0" w:space="0" w:color="auto"/>
            <w:right w:val="none" w:sz="0" w:space="0" w:color="auto"/>
          </w:divBdr>
        </w:div>
        <w:div w:id="2145150149">
          <w:marLeft w:val="1800"/>
          <w:marRight w:val="0"/>
          <w:marTop w:val="67"/>
          <w:marBottom w:val="0"/>
          <w:divBdr>
            <w:top w:val="none" w:sz="0" w:space="0" w:color="auto"/>
            <w:left w:val="none" w:sz="0" w:space="0" w:color="auto"/>
            <w:bottom w:val="none" w:sz="0" w:space="0" w:color="auto"/>
            <w:right w:val="none" w:sz="0" w:space="0" w:color="auto"/>
          </w:divBdr>
        </w:div>
      </w:divsChild>
    </w:div>
    <w:div w:id="2019114369">
      <w:bodyDiv w:val="1"/>
      <w:marLeft w:val="0"/>
      <w:marRight w:val="0"/>
      <w:marTop w:val="0"/>
      <w:marBottom w:val="0"/>
      <w:divBdr>
        <w:top w:val="none" w:sz="0" w:space="0" w:color="auto"/>
        <w:left w:val="none" w:sz="0" w:space="0" w:color="auto"/>
        <w:bottom w:val="none" w:sz="0" w:space="0" w:color="auto"/>
        <w:right w:val="none" w:sz="0" w:space="0" w:color="auto"/>
      </w:divBdr>
    </w:div>
    <w:div w:id="2032223421">
      <w:bodyDiv w:val="1"/>
      <w:marLeft w:val="0"/>
      <w:marRight w:val="0"/>
      <w:marTop w:val="0"/>
      <w:marBottom w:val="0"/>
      <w:divBdr>
        <w:top w:val="none" w:sz="0" w:space="0" w:color="auto"/>
        <w:left w:val="none" w:sz="0" w:space="0" w:color="auto"/>
        <w:bottom w:val="none" w:sz="0" w:space="0" w:color="auto"/>
        <w:right w:val="none" w:sz="0" w:space="0" w:color="auto"/>
      </w:divBdr>
    </w:div>
    <w:div w:id="2037274016">
      <w:bodyDiv w:val="1"/>
      <w:marLeft w:val="0"/>
      <w:marRight w:val="0"/>
      <w:marTop w:val="0"/>
      <w:marBottom w:val="0"/>
      <w:divBdr>
        <w:top w:val="none" w:sz="0" w:space="0" w:color="auto"/>
        <w:left w:val="none" w:sz="0" w:space="0" w:color="auto"/>
        <w:bottom w:val="none" w:sz="0" w:space="0" w:color="auto"/>
        <w:right w:val="none" w:sz="0" w:space="0" w:color="auto"/>
      </w:divBdr>
    </w:div>
    <w:div w:id="2042507083">
      <w:bodyDiv w:val="1"/>
      <w:marLeft w:val="0"/>
      <w:marRight w:val="0"/>
      <w:marTop w:val="0"/>
      <w:marBottom w:val="0"/>
      <w:divBdr>
        <w:top w:val="none" w:sz="0" w:space="0" w:color="auto"/>
        <w:left w:val="none" w:sz="0" w:space="0" w:color="auto"/>
        <w:bottom w:val="none" w:sz="0" w:space="0" w:color="auto"/>
        <w:right w:val="none" w:sz="0" w:space="0" w:color="auto"/>
      </w:divBdr>
    </w:div>
    <w:div w:id="2052142712">
      <w:bodyDiv w:val="1"/>
      <w:marLeft w:val="0"/>
      <w:marRight w:val="0"/>
      <w:marTop w:val="0"/>
      <w:marBottom w:val="0"/>
      <w:divBdr>
        <w:top w:val="none" w:sz="0" w:space="0" w:color="auto"/>
        <w:left w:val="none" w:sz="0" w:space="0" w:color="auto"/>
        <w:bottom w:val="none" w:sz="0" w:space="0" w:color="auto"/>
        <w:right w:val="none" w:sz="0" w:space="0" w:color="auto"/>
      </w:divBdr>
    </w:div>
    <w:div w:id="2052802083">
      <w:bodyDiv w:val="1"/>
      <w:marLeft w:val="0"/>
      <w:marRight w:val="0"/>
      <w:marTop w:val="0"/>
      <w:marBottom w:val="0"/>
      <w:divBdr>
        <w:top w:val="none" w:sz="0" w:space="0" w:color="auto"/>
        <w:left w:val="none" w:sz="0" w:space="0" w:color="auto"/>
        <w:bottom w:val="none" w:sz="0" w:space="0" w:color="auto"/>
        <w:right w:val="none" w:sz="0" w:space="0" w:color="auto"/>
      </w:divBdr>
    </w:div>
    <w:div w:id="2055227749">
      <w:bodyDiv w:val="1"/>
      <w:marLeft w:val="0"/>
      <w:marRight w:val="0"/>
      <w:marTop w:val="0"/>
      <w:marBottom w:val="0"/>
      <w:divBdr>
        <w:top w:val="none" w:sz="0" w:space="0" w:color="auto"/>
        <w:left w:val="none" w:sz="0" w:space="0" w:color="auto"/>
        <w:bottom w:val="none" w:sz="0" w:space="0" w:color="auto"/>
        <w:right w:val="none" w:sz="0" w:space="0" w:color="auto"/>
      </w:divBdr>
    </w:div>
    <w:div w:id="2071683448">
      <w:bodyDiv w:val="1"/>
      <w:marLeft w:val="0"/>
      <w:marRight w:val="0"/>
      <w:marTop w:val="0"/>
      <w:marBottom w:val="0"/>
      <w:divBdr>
        <w:top w:val="none" w:sz="0" w:space="0" w:color="auto"/>
        <w:left w:val="none" w:sz="0" w:space="0" w:color="auto"/>
        <w:bottom w:val="none" w:sz="0" w:space="0" w:color="auto"/>
        <w:right w:val="none" w:sz="0" w:space="0" w:color="auto"/>
      </w:divBdr>
    </w:div>
    <w:div w:id="2075153689">
      <w:bodyDiv w:val="1"/>
      <w:marLeft w:val="0"/>
      <w:marRight w:val="0"/>
      <w:marTop w:val="0"/>
      <w:marBottom w:val="0"/>
      <w:divBdr>
        <w:top w:val="none" w:sz="0" w:space="0" w:color="auto"/>
        <w:left w:val="none" w:sz="0" w:space="0" w:color="auto"/>
        <w:bottom w:val="none" w:sz="0" w:space="0" w:color="auto"/>
        <w:right w:val="none" w:sz="0" w:space="0" w:color="auto"/>
      </w:divBdr>
    </w:div>
    <w:div w:id="2084449258">
      <w:bodyDiv w:val="1"/>
      <w:marLeft w:val="0"/>
      <w:marRight w:val="0"/>
      <w:marTop w:val="0"/>
      <w:marBottom w:val="0"/>
      <w:divBdr>
        <w:top w:val="none" w:sz="0" w:space="0" w:color="auto"/>
        <w:left w:val="none" w:sz="0" w:space="0" w:color="auto"/>
        <w:bottom w:val="none" w:sz="0" w:space="0" w:color="auto"/>
        <w:right w:val="none" w:sz="0" w:space="0" w:color="auto"/>
      </w:divBdr>
    </w:div>
    <w:div w:id="2102486898">
      <w:bodyDiv w:val="1"/>
      <w:marLeft w:val="0"/>
      <w:marRight w:val="0"/>
      <w:marTop w:val="0"/>
      <w:marBottom w:val="0"/>
      <w:divBdr>
        <w:top w:val="none" w:sz="0" w:space="0" w:color="auto"/>
        <w:left w:val="none" w:sz="0" w:space="0" w:color="auto"/>
        <w:bottom w:val="none" w:sz="0" w:space="0" w:color="auto"/>
        <w:right w:val="none" w:sz="0" w:space="0" w:color="auto"/>
      </w:divBdr>
    </w:div>
    <w:div w:id="2113043924">
      <w:bodyDiv w:val="1"/>
      <w:marLeft w:val="0"/>
      <w:marRight w:val="0"/>
      <w:marTop w:val="0"/>
      <w:marBottom w:val="0"/>
      <w:divBdr>
        <w:top w:val="none" w:sz="0" w:space="0" w:color="auto"/>
        <w:left w:val="none" w:sz="0" w:space="0" w:color="auto"/>
        <w:bottom w:val="none" w:sz="0" w:space="0" w:color="auto"/>
        <w:right w:val="none" w:sz="0" w:space="0" w:color="auto"/>
      </w:divBdr>
    </w:div>
    <w:div w:id="2121754156">
      <w:bodyDiv w:val="1"/>
      <w:marLeft w:val="0"/>
      <w:marRight w:val="0"/>
      <w:marTop w:val="0"/>
      <w:marBottom w:val="0"/>
      <w:divBdr>
        <w:top w:val="none" w:sz="0" w:space="0" w:color="auto"/>
        <w:left w:val="none" w:sz="0" w:space="0" w:color="auto"/>
        <w:bottom w:val="none" w:sz="0" w:space="0" w:color="auto"/>
        <w:right w:val="none" w:sz="0" w:space="0" w:color="auto"/>
      </w:divBdr>
    </w:div>
    <w:div w:id="2123988151">
      <w:bodyDiv w:val="1"/>
      <w:marLeft w:val="0"/>
      <w:marRight w:val="0"/>
      <w:marTop w:val="0"/>
      <w:marBottom w:val="0"/>
      <w:divBdr>
        <w:top w:val="none" w:sz="0" w:space="0" w:color="auto"/>
        <w:left w:val="none" w:sz="0" w:space="0" w:color="auto"/>
        <w:bottom w:val="none" w:sz="0" w:space="0" w:color="auto"/>
        <w:right w:val="none" w:sz="0" w:space="0" w:color="auto"/>
      </w:divBdr>
    </w:div>
    <w:div w:id="2126121898">
      <w:bodyDiv w:val="1"/>
      <w:marLeft w:val="0"/>
      <w:marRight w:val="0"/>
      <w:marTop w:val="0"/>
      <w:marBottom w:val="0"/>
      <w:divBdr>
        <w:top w:val="none" w:sz="0" w:space="0" w:color="auto"/>
        <w:left w:val="none" w:sz="0" w:space="0" w:color="auto"/>
        <w:bottom w:val="none" w:sz="0" w:space="0" w:color="auto"/>
        <w:right w:val="none" w:sz="0" w:space="0" w:color="auto"/>
      </w:divBdr>
    </w:div>
    <w:div w:id="2126922940">
      <w:bodyDiv w:val="1"/>
      <w:marLeft w:val="0"/>
      <w:marRight w:val="0"/>
      <w:marTop w:val="0"/>
      <w:marBottom w:val="0"/>
      <w:divBdr>
        <w:top w:val="none" w:sz="0" w:space="0" w:color="auto"/>
        <w:left w:val="none" w:sz="0" w:space="0" w:color="auto"/>
        <w:bottom w:val="none" w:sz="0" w:space="0" w:color="auto"/>
        <w:right w:val="none" w:sz="0" w:space="0" w:color="auto"/>
      </w:divBdr>
    </w:div>
    <w:div w:id="2132359910">
      <w:bodyDiv w:val="1"/>
      <w:marLeft w:val="0"/>
      <w:marRight w:val="0"/>
      <w:marTop w:val="0"/>
      <w:marBottom w:val="0"/>
      <w:divBdr>
        <w:top w:val="none" w:sz="0" w:space="0" w:color="auto"/>
        <w:left w:val="none" w:sz="0" w:space="0" w:color="auto"/>
        <w:bottom w:val="none" w:sz="0" w:space="0" w:color="auto"/>
        <w:right w:val="none" w:sz="0" w:space="0" w:color="auto"/>
      </w:divBdr>
    </w:div>
    <w:div w:id="2133815979">
      <w:bodyDiv w:val="1"/>
      <w:marLeft w:val="0"/>
      <w:marRight w:val="0"/>
      <w:marTop w:val="0"/>
      <w:marBottom w:val="0"/>
      <w:divBdr>
        <w:top w:val="none" w:sz="0" w:space="0" w:color="auto"/>
        <w:left w:val="none" w:sz="0" w:space="0" w:color="auto"/>
        <w:bottom w:val="none" w:sz="0" w:space="0" w:color="auto"/>
        <w:right w:val="none" w:sz="0" w:space="0" w:color="auto"/>
      </w:divBdr>
    </w:div>
    <w:div w:id="2142578194">
      <w:bodyDiv w:val="1"/>
      <w:marLeft w:val="0"/>
      <w:marRight w:val="0"/>
      <w:marTop w:val="0"/>
      <w:marBottom w:val="0"/>
      <w:divBdr>
        <w:top w:val="none" w:sz="0" w:space="0" w:color="auto"/>
        <w:left w:val="none" w:sz="0" w:space="0" w:color="auto"/>
        <w:bottom w:val="none" w:sz="0" w:space="0" w:color="auto"/>
        <w:right w:val="none" w:sz="0" w:space="0" w:color="auto"/>
      </w:divBdr>
      <w:divsChild>
        <w:div w:id="1898667918">
          <w:marLeft w:val="0"/>
          <w:marRight w:val="0"/>
          <w:marTop w:val="0"/>
          <w:marBottom w:val="0"/>
          <w:divBdr>
            <w:top w:val="none" w:sz="0" w:space="0" w:color="auto"/>
            <w:left w:val="none" w:sz="0" w:space="0" w:color="auto"/>
            <w:bottom w:val="none" w:sz="0" w:space="0" w:color="auto"/>
            <w:right w:val="none" w:sz="0" w:space="0" w:color="auto"/>
          </w:divBdr>
        </w:div>
      </w:divsChild>
    </w:div>
    <w:div w:id="2145468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file:///c:/Users/wanshic/OneDrive%2520-%2520Qualcomm/Documents/Standards/3GPP%2520Standards/Meeting%2520Documents/TSGR1_100b/Docs/R1-2002348.zip" TargetMode="External"/><Relationship Id="rId18" Type="http://schemas.openxmlformats.org/officeDocument/2006/relationships/image" Target="media/image4.wmf"/><Relationship Id="rId26" Type="http://schemas.openxmlformats.org/officeDocument/2006/relationships/image" Target="media/image12.wmf"/><Relationship Id="rId39" Type="http://schemas.openxmlformats.org/officeDocument/2006/relationships/image" Target="media/image21.wmf"/><Relationship Id="rId21" Type="http://schemas.openxmlformats.org/officeDocument/2006/relationships/image" Target="media/image7.wmf"/><Relationship Id="rId34" Type="http://schemas.openxmlformats.org/officeDocument/2006/relationships/oleObject" Target="embeddings/oleObject2.bin"/><Relationship Id="rId42" Type="http://schemas.openxmlformats.org/officeDocument/2006/relationships/oleObject" Target="embeddings/oleObject6.bin"/><Relationship Id="rId47" Type="http://schemas.openxmlformats.org/officeDocument/2006/relationships/theme" Target="theme/theme1.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image" Target="media/image2.wmf"/><Relationship Id="rId29" Type="http://schemas.openxmlformats.org/officeDocument/2006/relationships/image" Target="media/image15.wmf"/><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10.wmf"/><Relationship Id="rId32" Type="http://schemas.openxmlformats.org/officeDocument/2006/relationships/oleObject" Target="embeddings/oleObject1.bin"/><Relationship Id="rId37" Type="http://schemas.openxmlformats.org/officeDocument/2006/relationships/image" Target="media/image20.wmf"/><Relationship Id="rId40" Type="http://schemas.openxmlformats.org/officeDocument/2006/relationships/oleObject" Target="embeddings/oleObject5.bin"/><Relationship Id="rId45" Type="http://schemas.openxmlformats.org/officeDocument/2006/relationships/footer" Target="footer2.xml"/><Relationship Id="rId5" Type="http://schemas.openxmlformats.org/officeDocument/2006/relationships/customXml" Target="../customXml/item5.xml"/><Relationship Id="rId15" Type="http://schemas.openxmlformats.org/officeDocument/2006/relationships/image" Target="media/image1.wmf"/><Relationship Id="rId23" Type="http://schemas.openxmlformats.org/officeDocument/2006/relationships/image" Target="media/image9.wmf"/><Relationship Id="rId28" Type="http://schemas.openxmlformats.org/officeDocument/2006/relationships/image" Target="media/image14.wmf"/><Relationship Id="rId36" Type="http://schemas.openxmlformats.org/officeDocument/2006/relationships/oleObject" Target="embeddings/oleObject3.bin"/><Relationship Id="rId10" Type="http://schemas.openxmlformats.org/officeDocument/2006/relationships/footnotes" Target="footnotes.xml"/><Relationship Id="rId19" Type="http://schemas.openxmlformats.org/officeDocument/2006/relationships/image" Target="media/image5.wmf"/><Relationship Id="rId31" Type="http://schemas.openxmlformats.org/officeDocument/2006/relationships/image" Target="media/image17.wmf"/><Relationship Id="rId44"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file:///c:/Users/wanshic/OneDrive%2520-%2520Qualcomm/Documents/Standards/3GPP%2520Standards/Meeting%2520Documents/TSGR1_100b/Docs/R1-2002348.zip" TargetMode="External"/><Relationship Id="rId22" Type="http://schemas.openxmlformats.org/officeDocument/2006/relationships/image" Target="media/image8.wmf"/><Relationship Id="rId27" Type="http://schemas.openxmlformats.org/officeDocument/2006/relationships/image" Target="media/image13.wmf"/><Relationship Id="rId30" Type="http://schemas.openxmlformats.org/officeDocument/2006/relationships/image" Target="media/image16.png"/><Relationship Id="rId35" Type="http://schemas.openxmlformats.org/officeDocument/2006/relationships/image" Target="media/image19.wmf"/><Relationship Id="rId43" Type="http://schemas.openxmlformats.org/officeDocument/2006/relationships/header" Target="header1.xm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hyperlink" Target="file:///c:/Users/wanshic/OneDrive%2520-%2520Qualcomm/Documents/Standards/3GPP%2520Standards/Meeting%2520Documents/TSGR1_100b/Docs/R1-2002348.zip" TargetMode="External"/><Relationship Id="rId17" Type="http://schemas.openxmlformats.org/officeDocument/2006/relationships/image" Target="media/image3.wmf"/><Relationship Id="rId25" Type="http://schemas.openxmlformats.org/officeDocument/2006/relationships/image" Target="media/image11.wmf"/><Relationship Id="rId33" Type="http://schemas.openxmlformats.org/officeDocument/2006/relationships/image" Target="media/image18.wmf"/><Relationship Id="rId38" Type="http://schemas.openxmlformats.org/officeDocument/2006/relationships/oleObject" Target="embeddings/oleObject4.bin"/><Relationship Id="rId46" Type="http://schemas.openxmlformats.org/officeDocument/2006/relationships/fontTable" Target="fontTable.xml"/><Relationship Id="rId20" Type="http://schemas.openxmlformats.org/officeDocument/2006/relationships/image" Target="media/image6.wmf"/><Relationship Id="rId41" Type="http://schemas.openxmlformats.org/officeDocument/2006/relationships/image" Target="media/image22.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22C4744E2C3194A99119A9C6B17BC0A" ma:contentTypeVersion="13" ma:contentTypeDescription="Create a new document." ma:contentTypeScope="" ma:versionID="3510bb7acece430bf6583b7373a838fc">
  <xsd:schema xmlns:xsd="http://www.w3.org/2001/XMLSchema" xmlns:xs="http://www.w3.org/2001/XMLSchema" xmlns:p="http://schemas.microsoft.com/office/2006/metadata/properties" xmlns:ns3="16d3abbb-ac62-4723-a952-e511a3121568" xmlns:ns4="69f6baf6-0e22-4b51-814b-1cf2778135e5" targetNamespace="http://schemas.microsoft.com/office/2006/metadata/properties" ma:root="true" ma:fieldsID="144d24dc9061aa1a11d5cbbb94cff5e5" ns3:_="" ns4:_="">
    <xsd:import namespace="16d3abbb-ac62-4723-a952-e511a3121568"/>
    <xsd:import namespace="69f6baf6-0e22-4b51-814b-1cf2778135e5"/>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d3abbb-ac62-4723-a952-e511a31215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9f6baf6-0e22-4b51-814b-1cf2778135e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2.xml><?xml version="1.0" encoding="utf-8"?>
<ds:datastoreItem xmlns:ds="http://schemas.openxmlformats.org/officeDocument/2006/customXml" ds:itemID="{49F5215A-324B-4719-B6D3-39BE59E6DE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d3abbb-ac62-4723-a952-e511a3121568"/>
    <ds:schemaRef ds:uri="69f6baf6-0e22-4b51-814b-1cf2778135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784BEC7-28DE-41D1-971D-B27A0AAA8AC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29C2401-72A3-B840-A2FD-2E259491D338}">
  <ds:schemaRefs>
    <ds:schemaRef ds:uri="http://schemas.openxmlformats.org/officeDocument/2006/bibliography"/>
  </ds:schemaRefs>
</ds:datastoreItem>
</file>

<file path=customXml/itemProps5.xml><?xml version="1.0" encoding="utf-8"?>
<ds:datastoreItem xmlns:ds="http://schemas.openxmlformats.org/officeDocument/2006/customXml" ds:itemID="{6FA984BB-7360-7B48-B213-DABE477FB9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C:\Users\Userinf\MSOffice\Template\3gpp_70.dot</Template>
  <TotalTime>18</TotalTime>
  <Pages>14</Pages>
  <Words>5973</Words>
  <Characters>34048</Characters>
  <Application>Microsoft Office Word</Application>
  <DocSecurity>0</DocSecurity>
  <Lines>283</Lines>
  <Paragraphs>79</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Extending FR2 power class requirements to multi-band UEs</vt:lpstr>
      <vt:lpstr>Extending FR2 power class requirements to multi-band UEs</vt:lpstr>
    </vt:vector>
  </TitlesOfParts>
  <Manager/>
  <Company>Apple Inc.</Company>
  <LinksUpToDate>false</LinksUpToDate>
  <CharactersWithSpaces>39942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Extending FR2 power class requirements to multi-band UEs</dc:title>
  <dc:subject/>
  <dc:creator>Apple Inc.</dc:creator>
  <cp:keywords>CTPClassification=CTP_NT</cp:keywords>
  <dc:description/>
  <cp:lastModifiedBy>Chunhai Yao</cp:lastModifiedBy>
  <cp:revision>4</cp:revision>
  <cp:lastPrinted>2019-10-09T22:14:00Z</cp:lastPrinted>
  <dcterms:created xsi:type="dcterms:W3CDTF">2020-04-23T03:56:00Z</dcterms:created>
  <dcterms:modified xsi:type="dcterms:W3CDTF">2020-04-23T04:09:00Z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1587434947</vt:lpwstr>
  </property>
  <property fmtid="{D5CDD505-2E9C-101B-9397-08002B2CF9AE}" pid="6" name="ContentTypeId">
    <vt:lpwstr>0x010100B22C4744E2C3194A99119A9C6B17BC0A</vt:lpwstr>
  </property>
  <property fmtid="{D5CDD505-2E9C-101B-9397-08002B2CF9AE}" pid="7" name="NSCPROP_SA">
    <vt:lpwstr>D:\회사\업무\3GPP\3GPP meeting\202004_RAN1#100b-e_Busan_Cancel\feature lead drafts\7.2.10.2 Single TX\R1-200xxxx Summary of Single Tx v5_QC_Ericsson.docx</vt:lpwstr>
  </property>
  <property fmtid="{D5CDD505-2E9C-101B-9397-08002B2CF9AE}" pid="8" name="TitusGUID">
    <vt:lpwstr>66dd7c67-b9a5-4afe-a7fb-98dd618133f8</vt:lpwstr>
  </property>
  <property fmtid="{D5CDD505-2E9C-101B-9397-08002B2CF9AE}" pid="9" name="CTP_TimeStamp">
    <vt:lpwstr>2020-04-22 15:32:15Z</vt:lpwstr>
  </property>
  <property fmtid="{D5CDD505-2E9C-101B-9397-08002B2CF9AE}" pid="10" name="CTP_BU">
    <vt:lpwstr>NA</vt:lpwstr>
  </property>
  <property fmtid="{D5CDD505-2E9C-101B-9397-08002B2CF9AE}" pid="11" name="CTP_IDSID">
    <vt:lpwstr>NA</vt:lpwstr>
  </property>
  <property fmtid="{D5CDD505-2E9C-101B-9397-08002B2CF9AE}" pid="12" name="CTP_WWID">
    <vt:lpwstr>NA</vt:lpwstr>
  </property>
  <property fmtid="{D5CDD505-2E9C-101B-9397-08002B2CF9AE}" pid="13" name="CTPClassification">
    <vt:lpwstr>CTP_NT</vt:lpwstr>
  </property>
</Properties>
</file>