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In x1636, it is proposed to modify the text in 36.214 to clarify that measurements are made in “slots” in which the UE receives the new numerology with 0.37kHz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 xml:space="preserve">MBSFN Reference Signal Received Quality (RSRQ) is defined as the ratio N× MBSFN RSRP/(MBSFN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 since the slots are comprised of 3 subframes. If this needs clarification, we suggest the following:</w:t>
            </w:r>
          </w:p>
          <w:p w14:paraId="5AC2656F" w14:textId="4CBAF30B" w:rsidR="00C90208" w:rsidRDefault="00C90208" w:rsidP="00C90208">
            <w:pPr>
              <w:pStyle w:val="NO"/>
            </w:pPr>
            <w:r>
              <w:t>NOTE 1:</w:t>
            </w:r>
            <w:r>
              <w:tab/>
              <w:t xml:space="preserve">The measurement is made only in subframes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r w:rsidR="00264477" w14:paraId="48EB26B2" w14:textId="77777777" w:rsidTr="006C1DEB">
        <w:tc>
          <w:tcPr>
            <w:tcW w:w="1525" w:type="dxa"/>
          </w:tcPr>
          <w:p w14:paraId="6B892254" w14:textId="411F6576" w:rsidR="00264477" w:rsidRPr="00264477" w:rsidRDefault="00264477" w:rsidP="006C1DEB">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4D40DA6A" w14:textId="77777777" w:rsidR="00264477" w:rsidRDefault="00264477" w:rsidP="00423E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believe the </w:t>
            </w:r>
            <w:r w:rsidR="00423E3F">
              <w:rPr>
                <w:rFonts w:eastAsiaTheme="minorEastAsia"/>
                <w:lang w:val="en-US" w:eastAsia="zh-CN"/>
              </w:rPr>
              <w:t xml:space="preserve">TP is needed. </w:t>
            </w:r>
          </w:p>
          <w:p w14:paraId="06F6E63B" w14:textId="4BDF067F" w:rsidR="00423E3F" w:rsidRPr="00264477" w:rsidRDefault="00423E3F" w:rsidP="00423E3F">
            <w:pPr>
              <w:rPr>
                <w:rFonts w:eastAsiaTheme="minorEastAsia"/>
                <w:lang w:val="en-US" w:eastAsia="zh-CN"/>
              </w:rPr>
            </w:pPr>
            <w:r>
              <w:rPr>
                <w:rFonts w:eastAsiaTheme="minorEastAsia"/>
                <w:lang w:val="en-US" w:eastAsia="zh-CN"/>
              </w:rPr>
              <w:t>Regarding Qualcomm’s suggestion, we prefer to keep our original wording since there is no definition of subframe in case of 0.37 subcarrier.</w:t>
            </w:r>
          </w:p>
        </w:tc>
      </w:tr>
      <w:tr w:rsidR="00930A74" w14:paraId="4DC8C094" w14:textId="77777777" w:rsidTr="006C1DEB">
        <w:tc>
          <w:tcPr>
            <w:tcW w:w="1525" w:type="dxa"/>
          </w:tcPr>
          <w:p w14:paraId="5D07D484" w14:textId="2B75E7A4" w:rsidR="00930A74" w:rsidRDefault="00930A74" w:rsidP="006C1DEB">
            <w:pPr>
              <w:rPr>
                <w:rFonts w:eastAsiaTheme="minorEastAsia"/>
                <w:lang w:val="en-US" w:eastAsia="zh-CN"/>
              </w:rPr>
            </w:pPr>
            <w:r>
              <w:rPr>
                <w:rFonts w:eastAsiaTheme="minorEastAsia"/>
                <w:lang w:val="en-US" w:eastAsia="zh-CN"/>
              </w:rPr>
              <w:t>Qualcomm 2</w:t>
            </w:r>
          </w:p>
        </w:tc>
        <w:tc>
          <w:tcPr>
            <w:tcW w:w="8104" w:type="dxa"/>
          </w:tcPr>
          <w:p w14:paraId="1070ADD0" w14:textId="69F4E7C1" w:rsidR="00930A74" w:rsidRDefault="00930A74" w:rsidP="00423E3F">
            <w:pPr>
              <w:rPr>
                <w:rFonts w:eastAsiaTheme="minorEastAsia"/>
                <w:lang w:val="en-US" w:eastAsia="zh-CN"/>
              </w:rPr>
            </w:pPr>
            <w:r>
              <w:rPr>
                <w:rFonts w:eastAsiaTheme="minorEastAsia"/>
                <w:lang w:val="en-US" w:eastAsia="zh-CN"/>
              </w:rPr>
              <w:t>In our understanding, one subframe is still 1ms for all numerologies, and one slot comprises 3ms (i.e., 3 subframes). With respect to the original wording, we think it can be confusing (the part “corresponding to 0.37kHz SCS” can be read to apply also to subframes). But if there is a majority view that wants to go with the original wording, we can be OK.</w:t>
            </w:r>
          </w:p>
        </w:tc>
      </w:tr>
      <w:tr w:rsidR="00CB2043" w14:paraId="1B0067CC" w14:textId="77777777" w:rsidTr="006C1DEB">
        <w:tc>
          <w:tcPr>
            <w:tcW w:w="1525" w:type="dxa"/>
          </w:tcPr>
          <w:p w14:paraId="16DA0C3F" w14:textId="799ABA3F" w:rsidR="00CB2043" w:rsidRDefault="00CB2043" w:rsidP="006C1DEB">
            <w:pPr>
              <w:rPr>
                <w:rFonts w:eastAsiaTheme="minorEastAsia" w:hint="eastAsia"/>
                <w:lang w:val="en-US" w:eastAsia="zh-CN"/>
              </w:rPr>
            </w:pPr>
            <w:r>
              <w:rPr>
                <w:rFonts w:eastAsiaTheme="minorEastAsia" w:hint="eastAsia"/>
                <w:lang w:val="en-US" w:eastAsia="zh-CN"/>
              </w:rPr>
              <w:t>Huawei, HiSilicon</w:t>
            </w:r>
          </w:p>
        </w:tc>
        <w:tc>
          <w:tcPr>
            <w:tcW w:w="8104" w:type="dxa"/>
          </w:tcPr>
          <w:p w14:paraId="46147CB1" w14:textId="77F28610" w:rsidR="00CB2043" w:rsidRDefault="005A2A29" w:rsidP="005A2A29">
            <w:pPr>
              <w:rPr>
                <w:rFonts w:eastAsiaTheme="minorEastAsia" w:hint="eastAsia"/>
                <w:lang w:val="en-US" w:eastAsia="zh-CN"/>
              </w:rPr>
            </w:pPr>
            <w:r>
              <w:rPr>
                <w:rFonts w:eastAsiaTheme="minorEastAsia" w:hint="eastAsia"/>
                <w:lang w:val="en-US" w:eastAsia="zh-CN"/>
              </w:rPr>
              <w:t>We</w:t>
            </w:r>
            <w:r>
              <w:rPr>
                <w:rFonts w:eastAsiaTheme="minorEastAsia"/>
                <w:lang w:val="en-US" w:eastAsia="zh-CN"/>
              </w:rPr>
              <w:t xml:space="preserve"> think QC’s suggested TP seems clearer to us. </w:t>
            </w:r>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2" w:name="_Toc37673402"/>
      <w:r>
        <w:t>Issue #</w:t>
      </w:r>
      <w:r w:rsidR="00C90208">
        <w:t>2</w:t>
      </w:r>
      <w:r>
        <w:t>: TP for 36.201</w:t>
      </w:r>
      <w:bookmarkEnd w:id="32"/>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3"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3"/>
    </w:p>
    <w:p w14:paraId="176E119F" w14:textId="77777777" w:rsidR="0022389D" w:rsidRDefault="0022389D" w:rsidP="0022389D">
      <w:pPr>
        <w:pStyle w:val="Heading3"/>
      </w:pPr>
      <w:bookmarkStart w:id="34" w:name="_Toc531763185"/>
      <w:r>
        <w:rPr>
          <w:rFonts w:hint="eastAsia"/>
          <w:lang w:eastAsia="ja-JP"/>
        </w:rPr>
        <w:t>4</w:t>
      </w:r>
      <w:r>
        <w:t>.2.1</w:t>
      </w:r>
      <w:r>
        <w:tab/>
        <w:t>Multiple access</w:t>
      </w:r>
      <w:bookmarkEnd w:id="34"/>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sidelink.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35" w:author="Huawei" w:date="2020-02-03T12:37:00Z">
        <w:r>
          <w:t xml:space="preserve">72 sub-carriers with a sub-carrier bandwidth of 2.5kHz each over a slot duration of </w:t>
        </w:r>
      </w:ins>
      <w:ins w:id="36" w:author="Huawei" w:date="2020-02-03T12:38:00Z">
        <w:r>
          <w:t>0.5ms</w:t>
        </w:r>
      </w:ins>
      <w:ins w:id="37" w:author="Huawei" w:date="2020-02-03T12:39:00Z">
        <w:r>
          <w:t xml:space="preserve">, </w:t>
        </w:r>
      </w:ins>
      <w:del w:id="38" w:author="Huawei" w:date="2020-02-03T12:39:00Z">
        <w:r w:rsidDel="00FA71FC">
          <w:delText xml:space="preserve">or </w:delText>
        </w:r>
      </w:del>
      <w:r>
        <w:t>144 sub-carriers with a sub-carrier bandwidth of 1.25kHz over a slot duration of 1ms</w:t>
      </w:r>
      <w:ins w:id="39" w:author="Huawei" w:date="2020-02-03T12:39:00Z">
        <w:r>
          <w:t xml:space="preserve">, or 486 sub-carriers with a sub-carrier bandwidth of </w:t>
        </w:r>
      </w:ins>
      <w:ins w:id="40" w:author="Huawei" w:date="2020-02-14T12:28:00Z">
        <w:r w:rsidRPr="00236BA7">
          <w:t xml:space="preserve">approximately </w:t>
        </w:r>
      </w:ins>
      <w:ins w:id="41" w:author="Huawei" w:date="2020-02-03T12:40:00Z">
        <w:r>
          <w:t>0.37</w:t>
        </w:r>
      </w:ins>
      <w:ins w:id="42" w:author="Huawei" w:date="2020-02-03T12:39:00Z">
        <w:r>
          <w:t xml:space="preserve">kHz over a slot duration of </w:t>
        </w:r>
      </w:ins>
      <w:ins w:id="43" w:author="Huawei" w:date="2020-02-03T12:40:00Z">
        <w:r>
          <w:t>3</w:t>
        </w:r>
      </w:ins>
      <w:ins w:id="44"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45" w:author="Huawei" w:date="2020-02-03T12:41:00Z">
        <w:r>
          <w:t xml:space="preserve"> or</w:t>
        </w:r>
      </w:ins>
      <w:ins w:id="46" w:author="Huawei" w:date="2020-02-14T12:28:00Z">
        <w:r>
          <w:t xml:space="preserve"> </w:t>
        </w:r>
        <w:r w:rsidRPr="00236BA7">
          <w:t>approximately</w:t>
        </w:r>
      </w:ins>
      <w:ins w:id="47" w:author="Huawei" w:date="2020-02-03T12:41:00Z">
        <w:r>
          <w:t xml:space="preserve"> 0.37kHz</w:t>
        </w:r>
      </w:ins>
      <w:r>
        <w:t>, in which case one slot forms one sub-frame</w:t>
      </w:r>
      <w:ins w:id="48" w:author="Huawei" w:date="2020-02-03T12:42:00Z">
        <w:r>
          <w:t xml:space="preserve"> or </w:t>
        </w:r>
      </w:ins>
      <w:ins w:id="49" w:author="Huawei" w:date="2020-02-14T23:20:00Z">
        <w:r>
          <w:t xml:space="preserve">a </w:t>
        </w:r>
      </w:ins>
      <w:ins w:id="50" w:author="Huawei" w:date="2020-02-03T12:42:00Z">
        <w:r>
          <w:t>time duration of 3ms</w:t>
        </w:r>
      </w:ins>
      <w:ins w:id="51" w:author="Huawei" w:date="2020-02-03T12:43:00Z">
        <w:r>
          <w:t>, respectively</w:t>
        </w:r>
      </w:ins>
      <w:r>
        <w:t>. When the sub-carrier bandwidth is 15kHz, a slot can be further subdivided into three subslots of length 2 or 3 OFDM or SC-FDMA symbols for reduced latency operation.</w:t>
      </w:r>
    </w:p>
    <w:p w14:paraId="50F31417" w14:textId="77777777" w:rsidR="0022389D" w:rsidRDefault="0022389D" w:rsidP="0022389D">
      <w:r>
        <w:t>The radio frame structure type 2 is only applicable to TDD and consists of two half-frames with a duration of 5ms each and containing each either 10 slots of length 0.5ms, or 8 slots of length 0.5ms and three special fields (DwPTS, GP and UpPTS) which have configurable individual lengths and a total length of 1ms. A subframe consists of two adjacent slots, except for subframes which consist of DwPTS, GP and UpPTS, namely subframe 1 and, in some configurations, subframe 6. Both 5ms and 10ms downlink-to-uplink switch-point periodicity are supported. Further details on the LTE 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 xml:space="preserve">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eNB shall perform the channel access procedures as specified in [4] prior to transmitting. A downlink or uplink transmission may start at the subframe </w:t>
      </w:r>
      <w:r>
        <w:lastRenderedPageBreak/>
        <w:t>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2" w:author="Huawei" w:date="2020-02-03T12:44:00Z">
        <w:r>
          <w:t xml:space="preserve">, </w:t>
        </w:r>
      </w:ins>
      <w:ins w:id="53" w:author="Huawei" w:date="2020-02-03T12:45:00Z">
        <w:r>
          <w:t>the sub-carrier bandwidth of 2.5kHz with a long CP</w:t>
        </w:r>
      </w:ins>
      <w:ins w:id="54" w:author="Huawei" w:date="2020-02-03T13:23:00Z">
        <w:r>
          <w:t xml:space="preserve"> (100µs)</w:t>
        </w:r>
      </w:ins>
      <w:ins w:id="55" w:author="Huawei" w:date="2020-02-03T12:45:00Z">
        <w:r>
          <w:t xml:space="preserve">, </w:t>
        </w:r>
      </w:ins>
      <w:del w:id="56" w:author="Huawei" w:date="2020-02-03T12:44:00Z">
        <w:r w:rsidDel="009B3523">
          <w:delText xml:space="preserve"> and </w:delText>
        </w:r>
      </w:del>
      <w:r>
        <w:t>the sub-carrier bandwidth of 1.25kHz with very long CP (200µs)</w:t>
      </w:r>
      <w:ins w:id="57" w:author="Huawei" w:date="2020-02-03T12:45:00Z">
        <w:r>
          <w:t xml:space="preserve">, and the sub-carrier bandwidth of </w:t>
        </w:r>
      </w:ins>
      <w:ins w:id="58" w:author="Huawei" w:date="2020-02-14T12:28:00Z">
        <w:r w:rsidRPr="00236BA7">
          <w:t xml:space="preserve">approximately </w:t>
        </w:r>
      </w:ins>
      <w:ins w:id="59" w:author="Huawei" w:date="2020-02-03T12:45:00Z">
        <w:r>
          <w:t>0.37kHz with a long CP</w:t>
        </w:r>
      </w:ins>
      <w:ins w:id="60" w:author="Huawei" w:date="2020-02-03T12:47:00Z">
        <w:r>
          <w:t xml:space="preserve"> (300µs)</w:t>
        </w:r>
      </w:ins>
      <w:r>
        <w:t xml:space="preserve"> are </w:t>
      </w:r>
      <w:del w:id="61" w:author="Huawei" w:date="2020-02-03T12:46:00Z">
        <w:r w:rsidDel="009B3523">
          <w:delText xml:space="preserve">both </w:delText>
        </w:r>
      </w:del>
      <w:ins w:id="62" w:author="Huawei" w:date="2020-02-03T12:46:00Z">
        <w:r>
          <w:t xml:space="preserve">all </w:t>
        </w:r>
      </w:ins>
      <w:r>
        <w:t xml:space="preserve">supported on dedicated MBSFN carriers, whereas MBSFN subframes that are time-multiplexed on the same carrier with non-MBSFN subframes may be configured with the </w:t>
      </w:r>
      <w:ins w:id="63" w:author="Huawei" w:date="2020-02-03T13:24:00Z">
        <w:r>
          <w:t xml:space="preserve">2.5kHz, </w:t>
        </w:r>
      </w:ins>
      <w:r>
        <w:t>1.25kHz</w:t>
      </w:r>
      <w:ins w:id="64" w:author="Huawei" w:date="2020-02-03T13:24:00Z">
        <w:r>
          <w:t xml:space="preserve">, or </w:t>
        </w:r>
      </w:ins>
      <w:ins w:id="65" w:author="Huawei" w:date="2020-02-14T12:28:00Z">
        <w:r w:rsidRPr="00236BA7">
          <w:t xml:space="preserve">approximately </w:t>
        </w:r>
      </w:ins>
      <w:ins w:id="66"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 xml:space="preserve">Coordinated Multi-Point (CoMP)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eNode-Bs </w:t>
      </w:r>
      <w:r w:rsidRPr="00AB2167">
        <w:t>is also supported</w:t>
      </w:r>
      <w:r w:rsidRPr="00E35280">
        <w:t>.</w:t>
      </w:r>
    </w:p>
    <w:p w14:paraId="4B9CD622" w14:textId="5CA92F23" w:rsidR="0022389D" w:rsidRPr="003D28EF" w:rsidRDefault="0022389D" w:rsidP="0022389D">
      <w:pPr>
        <w:rPr>
          <w:kern w:val="2"/>
          <w:lang w:eastAsia="ja-JP"/>
        </w:rPr>
      </w:pPr>
      <w:r>
        <w:rPr>
          <w:kern w:val="2"/>
          <w:lang w:eastAsia="ja-JP"/>
        </w:rPr>
        <w:t>Sidelink transmissions are defined for ProSe Direct Discovery and ProSe Direct Communication between U</w:t>
      </w:r>
      <w:r w:rsidR="005A2A29">
        <w:rPr>
          <w:kern w:val="2"/>
          <w:lang w:eastAsia="ja-JP"/>
        </w:rPr>
        <w:t>e</w:t>
      </w:r>
      <w:r>
        <w:rPr>
          <w:kern w:val="2"/>
          <w:lang w:eastAsia="ja-JP"/>
        </w:rPr>
        <w:t>s. The sidelink transmissions use the same frame structure as uplink and downlink when the UEs are in network coverage; however, the sidelink transmissions are restricted to a sub-set of the uplink resources.</w:t>
      </w:r>
      <w:r w:rsidRPr="000D64D1">
        <w:rPr>
          <w:kern w:val="2"/>
          <w:lang w:eastAsia="ja-JP"/>
        </w:rPr>
        <w:t xml:space="preserve"> </w:t>
      </w:r>
      <w:r>
        <w:rPr>
          <w:kern w:val="2"/>
          <w:lang w:eastAsia="ja-JP"/>
        </w:rPr>
        <w:t>V2X communication between UEs is supported via sidelink transmissions or via the eNB.</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67" w:author="QC" w:date="2020-04-19T23:29:00Z">
          <w:tblPr>
            <w:tblStyle w:val="TableGrid"/>
            <w:tblW w:w="0" w:type="auto"/>
            <w:tblLook w:val="04A0" w:firstRow="1" w:lastRow="0" w:firstColumn="1" w:lastColumn="0" w:noHBand="0" w:noVBand="1"/>
          </w:tblPr>
        </w:tblPrChange>
      </w:tblPr>
      <w:tblGrid>
        <w:gridCol w:w="1525"/>
        <w:gridCol w:w="8104"/>
        <w:tblGridChange w:id="68">
          <w:tblGrid>
            <w:gridCol w:w="1525"/>
            <w:gridCol w:w="8104"/>
          </w:tblGrid>
        </w:tblGridChange>
      </w:tblGrid>
      <w:tr w:rsidR="00C90208" w14:paraId="789E4B3F" w14:textId="77777777" w:rsidTr="006C1DEB">
        <w:tc>
          <w:tcPr>
            <w:tcW w:w="1525" w:type="dxa"/>
            <w:tcPrChange w:id="69"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0"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1"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2"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r w:rsidR="0001615C" w14:paraId="5E290088" w14:textId="77777777" w:rsidTr="006C1DEB">
        <w:tc>
          <w:tcPr>
            <w:tcW w:w="1525" w:type="dxa"/>
          </w:tcPr>
          <w:p w14:paraId="496DA73B" w14:textId="3FE17859"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EB55921" w14:textId="37183CCE" w:rsidR="0001615C" w:rsidRDefault="0001615C" w:rsidP="006C1DEB">
            <w:pPr>
              <w:rPr>
                <w:lang w:val="en-US"/>
              </w:rPr>
            </w:pPr>
            <w:r>
              <w:rPr>
                <w:lang w:val="en-US"/>
              </w:rPr>
              <w:t>We support this TP.</w:t>
            </w:r>
          </w:p>
        </w:tc>
      </w:tr>
      <w:tr w:rsidR="005A2A29" w14:paraId="1C01F090" w14:textId="77777777" w:rsidTr="006C1DEB">
        <w:tc>
          <w:tcPr>
            <w:tcW w:w="1525" w:type="dxa"/>
          </w:tcPr>
          <w:p w14:paraId="46D774F6" w14:textId="37794E1E" w:rsidR="005A2A29" w:rsidRDefault="005A2A29" w:rsidP="006C1DEB">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8104" w:type="dxa"/>
          </w:tcPr>
          <w:p w14:paraId="52AEEE89" w14:textId="4CCF0587" w:rsidR="005A2A29" w:rsidRPr="005A2A29" w:rsidRDefault="005A2A29" w:rsidP="006C1DEB">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support the TP. </w:t>
            </w:r>
          </w:p>
        </w:tc>
      </w:tr>
    </w:tbl>
    <w:p w14:paraId="124BE97B" w14:textId="13858839" w:rsidR="0022389D" w:rsidRPr="005A2A29" w:rsidRDefault="0022389D" w:rsidP="0022389D">
      <w:pPr>
        <w:rPr>
          <w:rFonts w:eastAsiaTheme="minorEastAsia" w:hint="eastAsia"/>
          <w:lang w:eastAsia="zh-CN"/>
        </w:rPr>
      </w:pPr>
    </w:p>
    <w:p w14:paraId="1B97B401" w14:textId="437598EB" w:rsidR="003F5BF3" w:rsidRDefault="003F5BF3" w:rsidP="003F5BF3">
      <w:pPr>
        <w:pStyle w:val="Heading1"/>
        <w:numPr>
          <w:ilvl w:val="0"/>
          <w:numId w:val="1"/>
        </w:numPr>
        <w:tabs>
          <w:tab w:val="clear" w:pos="1140"/>
          <w:tab w:val="num" w:pos="720"/>
        </w:tabs>
        <w:ind w:left="720" w:hanging="720"/>
        <w:jc w:val="both"/>
      </w:pPr>
      <w:bookmarkStart w:id="73" w:name="_Toc37673404"/>
      <w:r>
        <w:t>Issue #</w:t>
      </w:r>
      <w:r w:rsidR="00C90208">
        <w:t>3</w:t>
      </w:r>
      <w:r>
        <w:t>: Text for TBS scaling</w:t>
      </w:r>
      <w:bookmarkEnd w:id="73"/>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val="en-US" w:eastAsia="zh-CN"/>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val="en-US" w:eastAsia="zh-CN"/>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74"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15.85pt" o:ole="">
            <v:imagedata r:id="rId10" o:title=""/>
          </v:shape>
          <o:OLEObject Type="Embed" ProgID="Equation.DSMT4" ShapeID="_x0000_i1025" DrawAspect="Content" ObjectID="_1648967936" r:id="rId11"/>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26" type="#_x0000_t75" style="width:24.5pt;height:12.25pt" o:ole="">
            <v:imagedata r:id="rId12" o:title=""/>
          </v:shape>
          <o:OLEObject Type="Embed" ProgID="Equation.DSMT4" ShapeID="_x0000_i1026" DrawAspect="Content" ObjectID="_1648967937" r:id="rId13"/>
        </w:object>
      </w:r>
      <w:r w:rsidRPr="009C3678">
        <w:rPr>
          <w:lang w:eastAsia="en-GB"/>
        </w:rPr>
        <w:t>, then round</w:t>
      </w:r>
      <w:del w:id="75" w:author="Ayan Sengupta" w:date="2020-04-09T14:41:00Z">
        <w:r w:rsidRPr="009C3678" w:rsidDel="00EC48E0">
          <w:rPr>
            <w:lang w:eastAsia="en-GB"/>
          </w:rPr>
          <w:delText xml:space="preserve"> half-way to</w:delText>
        </w:r>
        <w:r w:rsidRPr="009C3678" w:rsidDel="00182D8B">
          <w:rPr>
            <w:lang w:eastAsia="en-GB"/>
          </w:rPr>
          <w:delText>wards positive infinity</w:delText>
        </w:r>
      </w:del>
      <w:r w:rsidRPr="009C3678">
        <w:rPr>
          <w:lang w:eastAsia="en-GB"/>
        </w:rPr>
        <w:t xml:space="preserve"> to the closest valid transport block size</w:t>
      </w:r>
      <w:bookmarkEnd w:id="74"/>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w:t>
      </w:r>
      <w:r w:rsidRPr="009C3678">
        <w:rPr>
          <w:lang w:eastAsia="en-GB"/>
        </w:rPr>
        <w:lastRenderedPageBreak/>
        <w:t xml:space="preserve">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SimSun"/>
          <w:kern w:val="2"/>
          <w:lang w:eastAsia="zh-CN"/>
        </w:rPr>
        <w:t>if the UE is configured by higher layers to decode the PMCH based on QPSK, 16QAM, 64QAM, and 256QAM</w:t>
      </w:r>
      <w:ins w:id="76" w:author="Ayan Sengupta" w:date="2020-04-09T14:44:00Z">
        <w:r>
          <w:rPr>
            <w:rFonts w:eastAsia="SimSun"/>
            <w:kern w:val="2"/>
            <w:lang w:eastAsia="zh-CN"/>
          </w:rPr>
          <w:t>;</w:t>
        </w:r>
      </w:ins>
      <w:del w:id="77" w:author="Ayan Sengupta" w:date="2020-04-09T14:44:00Z">
        <w:r w:rsidRPr="009C3678" w:rsidDel="006137FF">
          <w:rPr>
            <w:rFonts w:eastAsia="SimSun"/>
            <w:kern w:val="2"/>
            <w:lang w:eastAsia="zh-CN"/>
          </w:rPr>
          <w:delText>,</w:delText>
        </w:r>
      </w:del>
      <w:ins w:id="78" w:author="Ayan Sengupta" w:date="2020-04-09T14:44:00Z">
        <w:r>
          <w:rPr>
            <w:rFonts w:eastAsia="SimSun"/>
            <w:kern w:val="2"/>
            <w:lang w:eastAsia="zh-CN"/>
          </w:rPr>
          <w:t xml:space="preserve"> and</w:t>
        </w:r>
      </w:ins>
      <w:r w:rsidRPr="009C3678">
        <w:rPr>
          <w:rFonts w:eastAsia="SimSun"/>
          <w:kern w:val="2"/>
          <w:lang w:eastAsia="zh-CN"/>
        </w:rPr>
        <w:t xml:space="preserve"> </w:t>
      </w:r>
      <w:r w:rsidRPr="009C3678">
        <w:rPr>
          <w:lang w:eastAsia="en-GB"/>
        </w:rPr>
        <w:t>only the TBS entries in Table 7.1.7.2.1-1 with</w:t>
      </w:r>
      <w:r w:rsidRPr="009C3678">
        <w:rPr>
          <w:rFonts w:eastAsia="SimSun"/>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SimSun"/>
          <w:kern w:val="2"/>
          <w:lang w:eastAsia="zh-CN"/>
        </w:rPr>
        <w:t xml:space="preserve"> </w:t>
      </w:r>
      <w:ins w:id="79" w:author="Ayan Sengupta" w:date="2020-04-09T14:42:00Z">
        <w:r w:rsidRPr="0003643F">
          <w:rPr>
            <w:rFonts w:eastAsia="SimSun"/>
            <w:kern w:val="2"/>
            <w:lang w:eastAsia="zh-CN"/>
          </w:rPr>
          <w:t>I</w:t>
        </w:r>
      </w:ins>
      <w:ins w:id="80" w:author="Ayan Sengupta" w:date="2020-04-09T14:47:00Z">
        <w:r>
          <w:rPr>
            <w:rFonts w:eastAsia="SimSun"/>
            <w:kern w:val="2"/>
            <w:lang w:eastAsia="zh-CN"/>
          </w:rPr>
          <w:t>n case</w:t>
        </w:r>
      </w:ins>
      <w:ins w:id="81" w:author="Ayan Sengupta" w:date="2020-04-09T14:42:00Z">
        <w:r w:rsidRPr="0003643F">
          <w:rPr>
            <w:rFonts w:eastAsia="SimSun"/>
            <w:kern w:val="2"/>
            <w:lang w:eastAsia="zh-CN"/>
          </w:rPr>
          <w:t xml:space="preserve"> the scaled TBS </w:t>
        </w:r>
      </w:ins>
      <w:ins w:id="82" w:author="Ayan Sengupta" w:date="2020-04-09T14:43:00Z">
        <w:r>
          <w:rPr>
            <w:rFonts w:eastAsia="SimSun"/>
            <w:kern w:val="2"/>
            <w:lang w:eastAsia="zh-CN"/>
          </w:rPr>
          <w:t>has the same distance</w:t>
        </w:r>
      </w:ins>
      <w:ins w:id="83" w:author="Ayan Sengupta" w:date="2020-04-09T14:42:00Z">
        <w:r w:rsidRPr="0003643F">
          <w:rPr>
            <w:rFonts w:eastAsia="SimSun"/>
            <w:kern w:val="2"/>
            <w:lang w:eastAsia="zh-CN"/>
          </w:rPr>
          <w:t xml:space="preserve"> to two valid transport block sizes, it is rounded to the larger transport block size.</w:t>
        </w:r>
        <w:r>
          <w:rPr>
            <w:rFonts w:eastAsia="SimSun"/>
            <w:kern w:val="2"/>
            <w:lang w:eastAsia="zh-CN"/>
          </w:rPr>
          <w:t xml:space="preserve"> </w:t>
        </w:r>
      </w:ins>
      <w:r w:rsidRPr="009C3678">
        <w:rPr>
          <w:lang w:eastAsia="en-GB"/>
        </w:rPr>
        <w:t xml:space="preserve">The UE shall set the redundancy version </w:t>
      </w:r>
      <w:r w:rsidRPr="009C3678">
        <w:rPr>
          <w:rFonts w:eastAsia="SimSun"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84" w:author="QC" w:date="2020-04-19T23:29:00Z">
          <w:tblPr>
            <w:tblStyle w:val="TableGrid"/>
            <w:tblW w:w="0" w:type="auto"/>
            <w:tblLook w:val="04A0" w:firstRow="1" w:lastRow="0" w:firstColumn="1" w:lastColumn="0" w:noHBand="0" w:noVBand="1"/>
          </w:tblPr>
        </w:tblPrChange>
      </w:tblPr>
      <w:tblGrid>
        <w:gridCol w:w="1525"/>
        <w:gridCol w:w="8104"/>
        <w:tblGridChange w:id="85">
          <w:tblGrid>
            <w:gridCol w:w="1525"/>
            <w:gridCol w:w="8104"/>
          </w:tblGrid>
        </w:tblGridChange>
      </w:tblGrid>
      <w:tr w:rsidR="00AF124B" w14:paraId="0F536828" w14:textId="77777777" w:rsidTr="006C1DEB">
        <w:tc>
          <w:tcPr>
            <w:tcW w:w="1525" w:type="dxa"/>
            <w:tcPrChange w:id="86"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t>Company name</w:t>
            </w:r>
          </w:p>
        </w:tc>
        <w:tc>
          <w:tcPr>
            <w:tcW w:w="8104" w:type="dxa"/>
            <w:tcPrChange w:id="87"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88" w:author="QC" w:date="2020-04-19T23:29:00Z">
              <w:tcPr>
                <w:tcW w:w="1525" w:type="dxa"/>
              </w:tcPr>
            </w:tcPrChange>
          </w:tcPr>
          <w:p w14:paraId="0DCF86D3" w14:textId="060E6F74" w:rsidR="00AF124B" w:rsidRDefault="00AF124B" w:rsidP="006C1DEB">
            <w:pPr>
              <w:rPr>
                <w:lang w:val="en-US"/>
              </w:rPr>
            </w:pPr>
            <w:r>
              <w:rPr>
                <w:lang w:val="en-US"/>
              </w:rPr>
              <w:t>Qualcomm</w:t>
            </w:r>
          </w:p>
        </w:tc>
        <w:tc>
          <w:tcPr>
            <w:tcW w:w="8104" w:type="dxa"/>
            <w:tcPrChange w:id="89" w:author="QC" w:date="2020-04-19T23:29:00Z">
              <w:tcPr>
                <w:tcW w:w="8104" w:type="dxa"/>
              </w:tcPr>
            </w:tcPrChange>
          </w:tcPr>
          <w:p w14:paraId="6D73FA48" w14:textId="468DFADE" w:rsidR="00AF124B" w:rsidRDefault="00AF124B" w:rsidP="006C1DEB">
            <w:pPr>
              <w:rPr>
                <w:lang w:val="en-US"/>
              </w:rPr>
            </w:pPr>
            <w:r>
              <w:rPr>
                <w:lang w:val="en-US"/>
              </w:rPr>
              <w:t>Support this change</w:t>
            </w:r>
          </w:p>
        </w:tc>
      </w:tr>
      <w:tr w:rsidR="0001615C" w14:paraId="3C15D100" w14:textId="77777777" w:rsidTr="006C1DEB">
        <w:tc>
          <w:tcPr>
            <w:tcW w:w="1525" w:type="dxa"/>
          </w:tcPr>
          <w:p w14:paraId="20D83FB1" w14:textId="2B692336"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3101C2E" w14:textId="7A32A6DC" w:rsidR="0001615C" w:rsidRPr="0001615C" w:rsidRDefault="0001615C"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this TP.</w:t>
            </w:r>
          </w:p>
        </w:tc>
      </w:tr>
      <w:tr w:rsidR="005A2A29" w14:paraId="4C8E6C14" w14:textId="77777777" w:rsidTr="006C1DEB">
        <w:tc>
          <w:tcPr>
            <w:tcW w:w="1525" w:type="dxa"/>
          </w:tcPr>
          <w:p w14:paraId="3F82EFCD" w14:textId="7B1FB325" w:rsidR="005A2A29" w:rsidRDefault="005A2A29" w:rsidP="006C1DEB">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8104" w:type="dxa"/>
          </w:tcPr>
          <w:p w14:paraId="1D3670B4" w14:textId="3316C6A8" w:rsidR="005A2A29" w:rsidRDefault="005A2A29" w:rsidP="006C1DEB">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TP is ok to us. </w:t>
            </w:r>
            <w:bookmarkStart w:id="90" w:name="_GoBack"/>
            <w:bookmarkEnd w:id="90"/>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91" w:name="_Toc37673252"/>
      <w:bookmarkStart w:id="92" w:name="_Toc37673406"/>
      <w:r>
        <w:t>References</w:t>
      </w:r>
      <w:bookmarkEnd w:id="91"/>
      <w:bookmarkEnd w:id="92"/>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BE027A" w:rsidP="0022389D">
            <w:pPr>
              <w:spacing w:after="0"/>
              <w:rPr>
                <w:rFonts w:ascii="Arial" w:hAnsi="Arial" w:cs="Arial"/>
                <w:color w:val="0000FF"/>
                <w:sz w:val="16"/>
                <w:szCs w:val="16"/>
                <w:u w:val="single"/>
                <w:lang w:val="en-US"/>
              </w:rPr>
            </w:pPr>
            <w:hyperlink r:id="rId14" w:tgtFrame="_parent" w:history="1">
              <w:r w:rsidR="0022389D" w:rsidRPr="0022389D">
                <w:rPr>
                  <w:rFonts w:ascii="Arial" w:hAnsi="Arial" w:cs="Arial"/>
                  <w:color w:val="0000FF"/>
                  <w:sz w:val="16"/>
                  <w:szCs w:val="16"/>
                  <w:u w:val="single"/>
                  <w:lang w:val="en-US"/>
                </w:rPr>
                <w:t>R1-2001636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BE027A" w:rsidP="0022389D">
            <w:pPr>
              <w:spacing w:after="0"/>
              <w:rPr>
                <w:rFonts w:ascii="Arial" w:hAnsi="Arial" w:cs="Arial"/>
                <w:color w:val="0000FF"/>
                <w:sz w:val="16"/>
                <w:szCs w:val="16"/>
                <w:u w:val="single"/>
                <w:lang w:val="en-US"/>
              </w:rPr>
            </w:pPr>
            <w:hyperlink r:id="rId1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BE027A"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Huawei, HiSilicon</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BE027A"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8"/>
      <w:foot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0B1B9" w14:textId="77777777" w:rsidR="00BE027A" w:rsidRDefault="00BE027A">
      <w:pPr>
        <w:spacing w:after="0"/>
      </w:pPr>
      <w:r>
        <w:separator/>
      </w:r>
    </w:p>
  </w:endnote>
  <w:endnote w:type="continuationSeparator" w:id="0">
    <w:p w14:paraId="13317D84" w14:textId="77777777" w:rsidR="00BE027A" w:rsidRDefault="00BE02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BE027A" w:rsidP="008C0E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5A2A2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2A29">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A1B7" w14:textId="77777777" w:rsidR="00BE027A" w:rsidRDefault="00BE027A">
      <w:pPr>
        <w:spacing w:after="0"/>
      </w:pPr>
      <w:r>
        <w:separator/>
      </w:r>
    </w:p>
  </w:footnote>
  <w:footnote w:type="continuationSeparator" w:id="0">
    <w:p w14:paraId="443D3814" w14:textId="77777777" w:rsidR="00BE027A" w:rsidRDefault="00BE02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w15:presenceInfo w15:providerId="None" w15:userId="QC"/>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615C"/>
    <w:rsid w:val="00037582"/>
    <w:rsid w:val="00042869"/>
    <w:rsid w:val="00054E5C"/>
    <w:rsid w:val="00063DAE"/>
    <w:rsid w:val="00122D19"/>
    <w:rsid w:val="00124E5D"/>
    <w:rsid w:val="00125DAC"/>
    <w:rsid w:val="00146E52"/>
    <w:rsid w:val="00154C05"/>
    <w:rsid w:val="00171661"/>
    <w:rsid w:val="001A452F"/>
    <w:rsid w:val="001B1EC7"/>
    <w:rsid w:val="001C45C2"/>
    <w:rsid w:val="001E1134"/>
    <w:rsid w:val="0022389D"/>
    <w:rsid w:val="00255F0A"/>
    <w:rsid w:val="00260902"/>
    <w:rsid w:val="00264477"/>
    <w:rsid w:val="002742EE"/>
    <w:rsid w:val="0029388D"/>
    <w:rsid w:val="002C380C"/>
    <w:rsid w:val="002D13DD"/>
    <w:rsid w:val="00386F50"/>
    <w:rsid w:val="00392F4B"/>
    <w:rsid w:val="003C33DA"/>
    <w:rsid w:val="003E4EB7"/>
    <w:rsid w:val="003F5BF3"/>
    <w:rsid w:val="00400A2E"/>
    <w:rsid w:val="0041454F"/>
    <w:rsid w:val="00423E3F"/>
    <w:rsid w:val="00476C2A"/>
    <w:rsid w:val="0049613A"/>
    <w:rsid w:val="00520F4B"/>
    <w:rsid w:val="0055738F"/>
    <w:rsid w:val="00572128"/>
    <w:rsid w:val="00586156"/>
    <w:rsid w:val="005A2A29"/>
    <w:rsid w:val="005A74CD"/>
    <w:rsid w:val="005C2778"/>
    <w:rsid w:val="005D201C"/>
    <w:rsid w:val="00601F79"/>
    <w:rsid w:val="00606F7E"/>
    <w:rsid w:val="00620296"/>
    <w:rsid w:val="00623263"/>
    <w:rsid w:val="00632162"/>
    <w:rsid w:val="006B3A59"/>
    <w:rsid w:val="0075364E"/>
    <w:rsid w:val="00794448"/>
    <w:rsid w:val="007B0A79"/>
    <w:rsid w:val="008260B0"/>
    <w:rsid w:val="00835C35"/>
    <w:rsid w:val="008C3448"/>
    <w:rsid w:val="008C6866"/>
    <w:rsid w:val="008D5442"/>
    <w:rsid w:val="008D60F7"/>
    <w:rsid w:val="00904028"/>
    <w:rsid w:val="00930A74"/>
    <w:rsid w:val="00983EFA"/>
    <w:rsid w:val="009E2C20"/>
    <w:rsid w:val="009F0072"/>
    <w:rsid w:val="00A06BA2"/>
    <w:rsid w:val="00A238B6"/>
    <w:rsid w:val="00A40DBD"/>
    <w:rsid w:val="00A5043D"/>
    <w:rsid w:val="00AA685A"/>
    <w:rsid w:val="00AB425B"/>
    <w:rsid w:val="00AB6DBE"/>
    <w:rsid w:val="00AE7EB7"/>
    <w:rsid w:val="00AF124B"/>
    <w:rsid w:val="00B17212"/>
    <w:rsid w:val="00B32506"/>
    <w:rsid w:val="00B42AB1"/>
    <w:rsid w:val="00B64915"/>
    <w:rsid w:val="00B64F64"/>
    <w:rsid w:val="00BA11DA"/>
    <w:rsid w:val="00BA2B73"/>
    <w:rsid w:val="00BA52F0"/>
    <w:rsid w:val="00BE027A"/>
    <w:rsid w:val="00BF27FB"/>
    <w:rsid w:val="00C056B0"/>
    <w:rsid w:val="00C51EDA"/>
    <w:rsid w:val="00C73B9F"/>
    <w:rsid w:val="00C90208"/>
    <w:rsid w:val="00CB2043"/>
    <w:rsid w:val="00CD6583"/>
    <w:rsid w:val="00CE64ED"/>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SimSun" w:hAnsi="Arial"/>
      <w:sz w:val="18"/>
      <w:lang w:val="en-US"/>
    </w:rPr>
  </w:style>
  <w:style w:type="character" w:customStyle="1" w:styleId="TALChar">
    <w:name w:val="TAL Char"/>
    <w:link w:val="TAL"/>
    <w:qFormat/>
    <w:rsid w:val="00C90208"/>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3gpp.org/ftp/tsg_ran/WG1_RL1/TSGR1_100b_e/Docs/R1-2002626.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601.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3gpp.org/ftp/tsg_ran/WG1_RL1/TSGR1_100b_e/Docs/R1-2002179.zip"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3gpp.org/ftp/tsg_ran/WG1_RL1/TSGR1_100b_e/Docs/R1-200163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64A1-6EF9-4A03-BAE4-C81B1F01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Huawei</cp:lastModifiedBy>
  <cp:revision>45</cp:revision>
  <cp:lastPrinted>2020-02-10T06:14:00Z</cp:lastPrinted>
  <dcterms:created xsi:type="dcterms:W3CDTF">2020-02-10T06:17:00Z</dcterms:created>
  <dcterms:modified xsi:type="dcterms:W3CDTF">2020-04-21T01:25:00Z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1587393252</vt:lpwstr>
  </property>
  <property fmtid="{D5CDD505-2E9C-101B-9397-08002B2CF9AE}" pid="6" name="_2015_ms_pID_725343">
    <vt:lpwstr>(2)njHmIiVzP3i2xatAuWSerU8R9YanOdTINEXD6/uLI3Kd+GGlVvpOS5kA8hoODrkD6r0ib1Tt
1RZRjsvuRRO0+5zHpVWkI5YsOnM8cokFiJ3Z/bIEtmMBTFc7fPeOAhLU9Eewkp62zb5AUgS9
/EFMzoqsdrRj9AiUswYcIUtOaV9QQhxG+Xf0PZD+WOxRvAEMdm/gc+tIOyOPZCgjx1N3PJwt
jdi0KcmYCMMHIsRIft</vt:lpwstr>
  </property>
  <property fmtid="{D5CDD505-2E9C-101B-9397-08002B2CF9AE}" pid="7" name="_2015_ms_pID_7253431">
    <vt:lpwstr>VXYB74or5IJ8OL82LMdH+ZiqoM19470TfvH0swI4+U1JMjJiOh/bVf
1pDp72cKBVE5sj2qgLsS6+zITNr2zR5Y9XTSed2WEtkJTISc3Wuxw8/h8+SH3flksJx7p6X5
lckRn94KXkgjCo34wGGg50v9DB2Dg/xp8ol/4drnGOOl1Oz92At08+arqsla53oosG4=</vt:lpwstr>
  </property>
</Properties>
</file>