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36D91A7D" w:rsidR="002429D9" w:rsidRDefault="002429D9" w:rsidP="002429D9">
      <w:pPr>
        <w:tabs>
          <w:tab w:val="right" w:pos="9630"/>
        </w:tabs>
        <w:spacing w:after="0"/>
        <w:jc w:val="both"/>
        <w:rPr>
          <w:color w:val="000000"/>
          <w:lang w:val="en-US"/>
        </w:rPr>
      </w:pPr>
      <w:bookmarkStart w:id="0" w:name="_Hlk525903026"/>
      <w:bookmarkStart w:id="1" w:name="_Hlk506565237"/>
      <w:r w:rsidRPr="008E6327">
        <w:rPr>
          <w:rFonts w:ascii="Arial" w:hAnsi="Arial" w:cs="Arial"/>
          <w:b/>
          <w:color w:val="000000"/>
          <w:sz w:val="24"/>
        </w:rPr>
        <w:t xml:space="preserve">3GPP TSG RAN WG1 Meeting </w:t>
      </w:r>
      <w:r>
        <w:rPr>
          <w:rFonts w:ascii="Arial" w:hAnsi="Arial" w:cs="Arial"/>
          <w:b/>
          <w:color w:val="000000"/>
          <w:sz w:val="24"/>
        </w:rPr>
        <w:t>#</w:t>
      </w:r>
      <w:r w:rsidR="00A43243">
        <w:rPr>
          <w:rFonts w:ascii="Arial" w:hAnsi="Arial" w:cs="Arial"/>
          <w:b/>
          <w:color w:val="000000"/>
          <w:sz w:val="24"/>
        </w:rPr>
        <w:t>100</w:t>
      </w:r>
      <w:r w:rsidR="008C3FC6">
        <w:rPr>
          <w:rFonts w:ascii="Arial" w:hAnsi="Arial" w:cs="Arial"/>
          <w:b/>
          <w:color w:val="000000"/>
          <w:sz w:val="24"/>
        </w:rPr>
        <w:t>bis</w:t>
      </w:r>
      <w:r w:rsidR="003A329B">
        <w:rPr>
          <w:rFonts w:ascii="Arial" w:hAnsi="Arial" w:cs="Arial"/>
          <w:b/>
          <w:color w:val="000000"/>
          <w:sz w:val="24"/>
        </w:rPr>
        <w:t>-e</w:t>
      </w:r>
      <w:r>
        <w:rPr>
          <w:rFonts w:ascii="Arial" w:hAnsi="Arial" w:cs="Arial"/>
          <w:b/>
          <w:color w:val="000000"/>
          <w:sz w:val="24"/>
        </w:rPr>
        <w:tab/>
      </w:r>
      <w:r w:rsidR="00B77552" w:rsidRPr="00B77552">
        <w:rPr>
          <w:rFonts w:ascii="Arial" w:hAnsi="Arial" w:cs="Arial"/>
          <w:b/>
          <w:color w:val="000000"/>
          <w:sz w:val="24"/>
        </w:rPr>
        <w:t>R1-</w:t>
      </w:r>
      <w:r w:rsidR="00940B57" w:rsidRPr="00940B57">
        <w:t xml:space="preserve"> </w:t>
      </w:r>
      <w:r w:rsidR="00940B57" w:rsidRPr="00940B57">
        <w:rPr>
          <w:rFonts w:ascii="Arial" w:hAnsi="Arial" w:cs="Arial"/>
          <w:b/>
          <w:color w:val="000000"/>
          <w:sz w:val="24"/>
        </w:rPr>
        <w:t>200</w:t>
      </w:r>
      <w:r w:rsidR="00E74DD6">
        <w:rPr>
          <w:rFonts w:ascii="Arial" w:hAnsi="Arial" w:cs="Arial"/>
          <w:b/>
          <w:color w:val="000000"/>
          <w:sz w:val="24"/>
        </w:rPr>
        <w:t>2538</w:t>
      </w:r>
    </w:p>
    <w:p w14:paraId="3BEBC94F" w14:textId="677CBBD1" w:rsidR="00785A29" w:rsidRDefault="008C3FC6" w:rsidP="001E5F34">
      <w:pPr>
        <w:spacing w:after="0"/>
        <w:jc w:val="both"/>
        <w:rPr>
          <w:rFonts w:ascii="Arial" w:hAnsi="Arial" w:cs="Arial"/>
          <w:b/>
          <w:sz w:val="24"/>
          <w:szCs w:val="24"/>
        </w:rPr>
      </w:pPr>
      <w:r>
        <w:rPr>
          <w:rFonts w:ascii="Arial" w:hAnsi="Arial" w:cs="Arial"/>
          <w:b/>
          <w:sz w:val="24"/>
          <w:szCs w:val="24"/>
        </w:rPr>
        <w:t>April</w:t>
      </w:r>
      <w:r w:rsidR="001774E3" w:rsidRPr="003A329B">
        <w:rPr>
          <w:rFonts w:ascii="Arial" w:hAnsi="Arial" w:cs="Arial"/>
          <w:b/>
          <w:sz w:val="24"/>
          <w:szCs w:val="24"/>
        </w:rPr>
        <w:t xml:space="preserve"> 2</w:t>
      </w:r>
      <w:r>
        <w:rPr>
          <w:rFonts w:ascii="Arial" w:hAnsi="Arial" w:cs="Arial"/>
          <w:b/>
          <w:sz w:val="24"/>
          <w:szCs w:val="24"/>
        </w:rPr>
        <w:t>0</w:t>
      </w:r>
      <w:r w:rsidR="00D90606" w:rsidRPr="003A329B">
        <w:rPr>
          <w:rFonts w:ascii="Arial" w:hAnsi="Arial" w:cs="Arial"/>
          <w:b/>
          <w:sz w:val="24"/>
          <w:szCs w:val="24"/>
        </w:rPr>
        <w:t>th –</w:t>
      </w:r>
      <w:r>
        <w:rPr>
          <w:rFonts w:ascii="Arial" w:hAnsi="Arial" w:cs="Arial"/>
          <w:b/>
          <w:sz w:val="24"/>
          <w:szCs w:val="24"/>
        </w:rPr>
        <w:t xml:space="preserve"> April 30</w:t>
      </w:r>
      <w:r w:rsidR="003A329B" w:rsidRPr="003A329B">
        <w:rPr>
          <w:rFonts w:ascii="Arial" w:hAnsi="Arial" w:cs="Arial"/>
          <w:b/>
          <w:sz w:val="24"/>
          <w:szCs w:val="24"/>
          <w:vertAlign w:val="superscript"/>
        </w:rPr>
        <w:t>th</w:t>
      </w:r>
      <w:r w:rsidR="00D90606" w:rsidRPr="003A329B">
        <w:rPr>
          <w:rFonts w:ascii="Arial" w:hAnsi="Arial" w:cs="Arial"/>
          <w:b/>
          <w:sz w:val="24"/>
          <w:szCs w:val="24"/>
        </w:rPr>
        <w:t>, 20</w:t>
      </w:r>
      <w:r w:rsidR="003A329B" w:rsidRPr="003A329B">
        <w:rPr>
          <w:rFonts w:ascii="Arial" w:hAnsi="Arial" w:cs="Arial"/>
          <w:b/>
          <w:sz w:val="24"/>
          <w:szCs w:val="24"/>
        </w:rPr>
        <w:t>20</w:t>
      </w:r>
    </w:p>
    <w:bookmarkEnd w:id="0"/>
    <w:p w14:paraId="50F51C33" w14:textId="77777777" w:rsidR="00D90606" w:rsidRDefault="00D90606" w:rsidP="002429D9">
      <w:pPr>
        <w:tabs>
          <w:tab w:val="left" w:pos="1985"/>
        </w:tabs>
        <w:jc w:val="both"/>
        <w:rPr>
          <w:rFonts w:ascii="Arial" w:hAnsi="Arial"/>
          <w:b/>
          <w:color w:val="000000"/>
          <w:sz w:val="24"/>
        </w:rPr>
      </w:pPr>
    </w:p>
    <w:p w14:paraId="7FB05D6E" w14:textId="5E80F9AB" w:rsidR="002429D9" w:rsidRDefault="002429D9" w:rsidP="002429D9">
      <w:pPr>
        <w:tabs>
          <w:tab w:val="left" w:pos="1985"/>
        </w:tabs>
        <w:jc w:val="both"/>
        <w:rPr>
          <w:rFonts w:ascii="Arial" w:hAnsi="Arial"/>
          <w:color w:val="000000"/>
          <w:sz w:val="24"/>
          <w:lang w:val="en-US"/>
        </w:rPr>
      </w:pPr>
      <w:r>
        <w:rPr>
          <w:rFonts w:ascii="Arial" w:hAnsi="Arial"/>
          <w:b/>
          <w:color w:val="000000"/>
          <w:sz w:val="24"/>
        </w:rPr>
        <w:t>Agenda item:</w:t>
      </w:r>
      <w:bookmarkStart w:id="2" w:name="Source"/>
      <w:bookmarkEnd w:id="2"/>
      <w:r>
        <w:rPr>
          <w:rFonts w:ascii="Arial" w:hAnsi="Arial"/>
          <w:color w:val="000000"/>
          <w:sz w:val="24"/>
        </w:rPr>
        <w:tab/>
        <w:t>7.2.4.</w:t>
      </w:r>
      <w:r w:rsidR="00E74DD6">
        <w:rPr>
          <w:rFonts w:ascii="Arial" w:hAnsi="Arial"/>
          <w:color w:val="000000"/>
          <w:sz w:val="24"/>
        </w:rPr>
        <w:t>2.1</w:t>
      </w:r>
    </w:p>
    <w:p w14:paraId="2BFD3F8C" w14:textId="256A8E7B" w:rsidR="002429D9" w:rsidRDefault="002429D9" w:rsidP="002429D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r w:rsidR="004C56AC">
        <w:rPr>
          <w:rFonts w:ascii="Arial" w:hAnsi="Arial"/>
          <w:sz w:val="24"/>
        </w:rPr>
        <w:t xml:space="preserve"> </w:t>
      </w:r>
    </w:p>
    <w:p w14:paraId="2D7B97A1" w14:textId="61EE6FEA" w:rsidR="002429D9" w:rsidRDefault="002429D9" w:rsidP="002429D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E74DD6">
        <w:rPr>
          <w:rFonts w:ascii="Arial" w:hAnsi="Arial"/>
          <w:sz w:val="22"/>
        </w:rPr>
        <w:t>Sidelink Resource Allocation Mode 1</w:t>
      </w:r>
    </w:p>
    <w:p w14:paraId="7974D70C" w14:textId="77777777" w:rsidR="002429D9" w:rsidRDefault="002429D9" w:rsidP="002429D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Discussion/Decision</w:t>
      </w:r>
    </w:p>
    <w:p w14:paraId="126AE637" w14:textId="77777777" w:rsidR="002429D9" w:rsidRPr="00677958" w:rsidRDefault="002429D9" w:rsidP="00F756EC">
      <w:pPr>
        <w:pStyle w:val="Heading1"/>
      </w:pPr>
      <w:r>
        <w:t>Introduction</w:t>
      </w:r>
    </w:p>
    <w:p w14:paraId="73D0635B" w14:textId="355B4983" w:rsidR="00E14434" w:rsidRDefault="00E14434" w:rsidP="00E14434">
      <w:pPr>
        <w:jc w:val="both"/>
        <w:rPr>
          <w:lang w:val="en-US"/>
        </w:rPr>
      </w:pPr>
      <w:r>
        <w:rPr>
          <w:lang w:val="en-US"/>
        </w:rPr>
        <w:t xml:space="preserve">In this contribution, we provide </w:t>
      </w:r>
      <w:r w:rsidR="00063E2C">
        <w:rPr>
          <w:lang w:val="en-US"/>
        </w:rPr>
        <w:t>discuss open issues</w:t>
      </w:r>
      <w:r>
        <w:rPr>
          <w:lang w:val="en-US"/>
        </w:rPr>
        <w:t xml:space="preserve"> for NR V2X specifications regarding </w:t>
      </w:r>
      <w:r w:rsidR="00E74DD6">
        <w:rPr>
          <w:lang w:val="en-US"/>
        </w:rPr>
        <w:t>Mode 1 resource allocation</w:t>
      </w:r>
      <w:r>
        <w:rPr>
          <w:lang w:val="en-US"/>
        </w:rPr>
        <w:t>.</w:t>
      </w:r>
    </w:p>
    <w:bookmarkEnd w:id="1"/>
    <w:p w14:paraId="5566B6AA" w14:textId="454C99E3" w:rsidR="00EF63C0" w:rsidRDefault="00EF63C0" w:rsidP="00F756EC">
      <w:pPr>
        <w:pStyle w:val="Heading1"/>
      </w:pPr>
      <w:r>
        <w:t xml:space="preserve">Determination of the </w:t>
      </w:r>
      <w:r w:rsidR="001B6821">
        <w:t>S</w:t>
      </w:r>
      <w:r>
        <w:t xml:space="preserve">lot for SL HARQ-ACK </w:t>
      </w:r>
      <w:r w:rsidR="001B6821">
        <w:t>R</w:t>
      </w:r>
      <w:r>
        <w:t>eporting to gNB</w:t>
      </w:r>
    </w:p>
    <w:p w14:paraId="38C65E8A" w14:textId="47FB0958" w:rsidR="00EF63C0" w:rsidRDefault="00EF63C0" w:rsidP="00EF63C0">
      <w:pPr>
        <w:rPr>
          <w:lang w:eastAsia="zh-CN"/>
        </w:rPr>
      </w:pPr>
      <w:r>
        <w:rPr>
          <w:lang w:eastAsia="zh-CN"/>
        </w:rPr>
        <w:t>The following agreement was made in RAN1-100e</w:t>
      </w:r>
      <w:r w:rsidR="00D75B4C">
        <w:rPr>
          <w:lang w:eastAsia="zh-CN"/>
        </w:rPr>
        <w:t xml:space="preserve"> </w:t>
      </w:r>
      <w:r w:rsidR="00D75B4C">
        <w:rPr>
          <w:lang w:eastAsia="zh-CN"/>
        </w:rPr>
        <w:fldChar w:fldCharType="begin"/>
      </w:r>
      <w:r w:rsidR="00D75B4C">
        <w:rPr>
          <w:lang w:eastAsia="zh-CN"/>
        </w:rPr>
        <w:instrText xml:space="preserve"> REF _Ref37238208 \r \h </w:instrText>
      </w:r>
      <w:r w:rsidR="00D75B4C">
        <w:rPr>
          <w:lang w:eastAsia="zh-CN"/>
        </w:rPr>
      </w:r>
      <w:r w:rsidR="00D75B4C">
        <w:rPr>
          <w:lang w:eastAsia="zh-CN"/>
        </w:rPr>
        <w:fldChar w:fldCharType="separate"/>
      </w:r>
      <w:r w:rsidR="00AF028B">
        <w:rPr>
          <w:lang w:eastAsia="zh-CN"/>
        </w:rPr>
        <w:t>[6]</w:t>
      </w:r>
      <w:r w:rsidR="00D75B4C">
        <w:rPr>
          <w:lang w:eastAsia="zh-CN"/>
        </w:rPr>
        <w:fldChar w:fldCharType="end"/>
      </w:r>
      <w:r>
        <w:rPr>
          <w:lang w:eastAsia="zh-CN"/>
        </w:rPr>
        <w:t>:</w:t>
      </w:r>
    </w:p>
    <w:p w14:paraId="19CD2C9D" w14:textId="77777777" w:rsidR="00EF63C0" w:rsidRPr="00EF63C0" w:rsidRDefault="00EF63C0" w:rsidP="00EF63C0">
      <w:pPr>
        <w:ind w:left="360" w:right="300"/>
        <w:rPr>
          <w:b/>
          <w:bCs/>
          <w:lang w:eastAsia="ja-JP"/>
        </w:rPr>
      </w:pPr>
      <w:r w:rsidRPr="00EF63C0">
        <w:rPr>
          <w:b/>
          <w:bCs/>
          <w:highlight w:val="green"/>
          <w:lang w:eastAsia="ja-JP"/>
        </w:rPr>
        <w:t>Agreements</w:t>
      </w:r>
      <w:r w:rsidRPr="00EF63C0">
        <w:rPr>
          <w:b/>
          <w:bCs/>
          <w:lang w:eastAsia="ja-JP"/>
        </w:rPr>
        <w:t>:</w:t>
      </w:r>
    </w:p>
    <w:p w14:paraId="6F353F0D" w14:textId="77777777" w:rsidR="00EF63C0" w:rsidRPr="00EF63C0" w:rsidRDefault="00EF63C0" w:rsidP="00EF63C0">
      <w:pPr>
        <w:numPr>
          <w:ilvl w:val="0"/>
          <w:numId w:val="44"/>
        </w:numPr>
        <w:spacing w:after="0" w:line="252" w:lineRule="auto"/>
        <w:ind w:left="1080"/>
        <w:rPr>
          <w:lang w:val="en-US" w:eastAsia="ja-JP"/>
        </w:rPr>
      </w:pPr>
      <w:r w:rsidRPr="00EF63C0">
        <w:rPr>
          <w:lang w:val="en-US" w:eastAsia="ja-JP"/>
        </w:rPr>
        <w:t>The working assumption from RAN1#99 is confirmed.</w:t>
      </w:r>
    </w:p>
    <w:p w14:paraId="68C0C284" w14:textId="77777777" w:rsidR="00EF63C0" w:rsidRPr="00EF63C0" w:rsidRDefault="00EF63C0" w:rsidP="00EF63C0">
      <w:pPr>
        <w:numPr>
          <w:ilvl w:val="0"/>
          <w:numId w:val="44"/>
        </w:numPr>
        <w:spacing w:after="0" w:line="252" w:lineRule="auto"/>
        <w:ind w:left="1080"/>
        <w:rPr>
          <w:lang w:val="en-US" w:eastAsia="ja-JP"/>
        </w:rPr>
      </w:pPr>
      <w:r w:rsidRPr="00EF63C0">
        <w:rPr>
          <w:lang w:val="en-US" w:eastAsia="ja-JP"/>
        </w:rPr>
        <w:t>To derive the time of SL HARQ-ACK to the gNB the timing of Uu is used (i.e., assuming that the SL and the Uu timing are the same).</w:t>
      </w:r>
    </w:p>
    <w:p w14:paraId="34FD1CF7" w14:textId="77777777" w:rsidR="00EF63C0" w:rsidRDefault="00EF63C0" w:rsidP="00EF63C0">
      <w:pPr>
        <w:rPr>
          <w:lang w:eastAsia="zh-CN"/>
        </w:rPr>
      </w:pPr>
    </w:p>
    <w:p w14:paraId="3E78004B" w14:textId="61A20DC6" w:rsidR="00EF63C0" w:rsidRDefault="00EF63C0" w:rsidP="00EF63C0">
      <w:pPr>
        <w:rPr>
          <w:lang w:eastAsia="zh-CN"/>
        </w:rPr>
      </w:pPr>
      <w:r>
        <w:rPr>
          <w:lang w:eastAsia="zh-CN"/>
        </w:rPr>
        <w:t xml:space="preserve">The working assumption from RAN1 99 </w:t>
      </w:r>
      <w:r w:rsidR="00D75B4C">
        <w:rPr>
          <w:lang w:eastAsia="zh-CN"/>
        </w:rPr>
        <w:t xml:space="preserve">is </w:t>
      </w:r>
      <w:r w:rsidR="00D75B4C">
        <w:rPr>
          <w:lang w:eastAsia="zh-CN"/>
        </w:rPr>
        <w:fldChar w:fldCharType="begin"/>
      </w:r>
      <w:r w:rsidR="00D75B4C">
        <w:rPr>
          <w:lang w:eastAsia="zh-CN"/>
        </w:rPr>
        <w:instrText xml:space="preserve"> REF _Ref32590964 \r \h </w:instrText>
      </w:r>
      <w:r w:rsidR="00D75B4C">
        <w:rPr>
          <w:lang w:eastAsia="zh-CN"/>
        </w:rPr>
      </w:r>
      <w:r w:rsidR="00D75B4C">
        <w:rPr>
          <w:lang w:eastAsia="zh-CN"/>
        </w:rPr>
        <w:fldChar w:fldCharType="separate"/>
      </w:r>
      <w:r w:rsidR="00AF028B">
        <w:rPr>
          <w:lang w:eastAsia="zh-CN"/>
        </w:rPr>
        <w:t>[5]</w:t>
      </w:r>
      <w:r w:rsidR="00D75B4C">
        <w:rPr>
          <w:lang w:eastAsia="zh-CN"/>
        </w:rPr>
        <w:fldChar w:fldCharType="end"/>
      </w:r>
      <w:r>
        <w:rPr>
          <w:lang w:eastAsia="zh-CN"/>
        </w:rPr>
        <w:t>:</w:t>
      </w:r>
    </w:p>
    <w:p w14:paraId="6A90BAFF" w14:textId="77777777" w:rsidR="00EF63C0" w:rsidRPr="00EF63C0" w:rsidRDefault="00EF63C0" w:rsidP="00EF63C0">
      <w:pPr>
        <w:ind w:left="360"/>
        <w:rPr>
          <w:highlight w:val="darkYellow"/>
        </w:rPr>
      </w:pPr>
      <w:r w:rsidRPr="00EF63C0">
        <w:rPr>
          <w:highlight w:val="darkYellow"/>
        </w:rPr>
        <w:t>Working assumption:</w:t>
      </w:r>
    </w:p>
    <w:p w14:paraId="4D62C6F7" w14:textId="77777777" w:rsidR="00EF63C0" w:rsidRPr="00EF63C0" w:rsidRDefault="00EF63C0" w:rsidP="00EF63C0">
      <w:pPr>
        <w:pStyle w:val="ListParagraph"/>
        <w:numPr>
          <w:ilvl w:val="0"/>
          <w:numId w:val="38"/>
        </w:numPr>
        <w:spacing w:after="160" w:line="259" w:lineRule="auto"/>
        <w:ind w:left="1080"/>
        <w:contextualSpacing w:val="0"/>
        <w:rPr>
          <w:bCs/>
          <w:lang w:eastAsia="ja-JP"/>
        </w:rPr>
      </w:pPr>
      <w:bookmarkStart w:id="3" w:name="_Hlk25254457"/>
      <w:r w:rsidRPr="00EF63C0">
        <w:rPr>
          <w:bCs/>
          <w:lang w:eastAsia="ja-JP"/>
        </w:rPr>
        <w:t xml:space="preserve">The timing of the PUCCH used for conveying SL HARQ is indicated in DCI or RRC (only for transmissions without a DCI) in terms of PSFCH-to-PUCCH physical slots, where the slot duration is defined based on the PUCCH SCS. </w:t>
      </w:r>
    </w:p>
    <w:p w14:paraId="6177D502" w14:textId="5A815629" w:rsidR="00EF63C0" w:rsidRPr="00E23B3D" w:rsidRDefault="00EF63C0" w:rsidP="00EF63C0">
      <w:pPr>
        <w:pStyle w:val="ListParagraph"/>
        <w:numPr>
          <w:ilvl w:val="1"/>
          <w:numId w:val="38"/>
        </w:numPr>
        <w:spacing w:after="160" w:line="259" w:lineRule="auto"/>
        <w:ind w:left="1800"/>
        <w:contextualSpacing w:val="0"/>
        <w:rPr>
          <w:rFonts w:ascii="Arial" w:hAnsi="Arial" w:cs="Arial"/>
          <w:bCs/>
          <w:lang w:eastAsia="ja-JP"/>
        </w:rPr>
      </w:pPr>
      <w:r w:rsidRPr="00EF63C0">
        <w:rPr>
          <w:bCs/>
          <w:lang w:eastAsia="ja-JP"/>
        </w:rPr>
        <w:t>Note: it is not intended to define any new sync requirements for gNBs</w:t>
      </w:r>
    </w:p>
    <w:p w14:paraId="2ED34E31" w14:textId="6B690B43" w:rsidR="00E23B3D" w:rsidRDefault="00063E2C" w:rsidP="00922847">
      <w:pPr>
        <w:jc w:val="both"/>
        <w:rPr>
          <w:lang w:eastAsia="ja-JP"/>
        </w:rPr>
      </w:pPr>
      <w:r>
        <w:rPr>
          <w:lang w:eastAsia="ja-JP"/>
        </w:rPr>
        <w:t>The first issue to address is that the UE should be provided sufficient time to receive, PSFCH, process SL HARQ-ACK, prepare the HARQ-ACK for transmission on UL, and transmit PUCCH. This is similar to preparing HARQ-ACK for PDSCH and a similar timeline could be used.</w:t>
      </w:r>
    </w:p>
    <w:p w14:paraId="129DDDD3" w14:textId="7E651A4B" w:rsidR="00063E2C" w:rsidRPr="00603711" w:rsidRDefault="00063E2C" w:rsidP="00922847">
      <w:pPr>
        <w:pStyle w:val="Caption"/>
        <w:jc w:val="both"/>
        <w:rPr>
          <w:b w:val="0"/>
          <w:bCs/>
          <w:lang w:eastAsia="zh-CN"/>
        </w:rPr>
      </w:pPr>
      <w:bookmarkStart w:id="4" w:name="_Toc37444689"/>
      <w:r>
        <w:t xml:space="preserve">Proposal </w:t>
      </w:r>
      <w:r>
        <w:fldChar w:fldCharType="begin"/>
      </w:r>
      <w:r>
        <w:instrText xml:space="preserve"> SEQ Proposal \* ARABIC </w:instrText>
      </w:r>
      <w:r>
        <w:fldChar w:fldCharType="separate"/>
      </w:r>
      <w:r w:rsidR="00AF028B">
        <w:rPr>
          <w:noProof/>
        </w:rPr>
        <w:t>1</w:t>
      </w:r>
      <w:r>
        <w:fldChar w:fldCharType="end"/>
      </w:r>
      <w:r>
        <w:t xml:space="preserve">: </w:t>
      </w:r>
      <w:r w:rsidRPr="00603711">
        <w:rPr>
          <w:b w:val="0"/>
          <w:bCs/>
          <w:lang w:eastAsia="zh-CN"/>
        </w:rPr>
        <w:t xml:space="preserve">The minimum time between the end of the PSFCH resource and the beginning of the PUCCH on which the UE reports SL HARQ-ACK to gNB is than </w:t>
      </w:r>
      <m:oMath>
        <m:sSub>
          <m:sSubPr>
            <m:ctrlPr>
              <w:rPr>
                <w:rFonts w:ascii="Cambria Math" w:hAnsi="Cambria Math"/>
                <w:b w:val="0"/>
                <w:bCs/>
                <w:i/>
                <w:lang w:eastAsia="zh-CN"/>
              </w:rPr>
            </m:ctrlPr>
          </m:sSubPr>
          <m:e>
            <m:r>
              <m:rPr>
                <m:sty m:val="bi"/>
              </m:rPr>
              <w:rPr>
                <w:rFonts w:ascii="Cambria Math" w:hAnsi="Cambria Math"/>
                <w:lang w:eastAsia="zh-CN"/>
              </w:rPr>
              <m:t>T</m:t>
            </m:r>
          </m:e>
          <m:sub>
            <m:r>
              <m:rPr>
                <m:sty m:val="bi"/>
              </m:rPr>
              <w:rPr>
                <w:rFonts w:ascii="Cambria Math" w:hAnsi="Cambria Math"/>
                <w:lang w:eastAsia="zh-CN"/>
              </w:rPr>
              <m:t>PSFCH-PUCCH</m:t>
            </m:r>
          </m:sub>
        </m:sSub>
        <m:r>
          <m:rPr>
            <m:sty m:val="bi"/>
          </m:rPr>
          <w:rPr>
            <w:rFonts w:ascii="Cambria Math" w:hAns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N</m:t>
            </m:r>
          </m:e>
          <m:sub>
            <m:r>
              <m:rPr>
                <m:sty m:val="bi"/>
              </m:rPr>
              <w:rPr>
                <w:rFonts w:ascii="Cambria Math" w:hAnsi="Cambria Math"/>
                <w:lang w:eastAsia="zh-CN"/>
              </w:rPr>
              <m:t>PSFCH-PUCCH</m:t>
            </m:r>
          </m:sub>
        </m:sSub>
        <m:r>
          <m:rPr>
            <m:sty m:val="bi"/>
          </m:rPr>
          <w:rPr>
            <w:rFonts w:ascii="Cambria Math" w:hAnsi="Cambria Math"/>
            <w:lang w:eastAsia="zh-CN"/>
          </w:rPr>
          <m:t>⋅</m:t>
        </m:r>
        <m:d>
          <m:dPr>
            <m:ctrlPr>
              <w:rPr>
                <w:rFonts w:ascii="Cambria Math" w:hAnsi="Cambria Math"/>
                <w:b w:val="0"/>
                <w:bCs/>
                <w:i/>
                <w:lang w:eastAsia="zh-CN"/>
              </w:rPr>
            </m:ctrlPr>
          </m:dPr>
          <m:e>
            <m:r>
              <m:rPr>
                <m:sty m:val="bi"/>
              </m:rPr>
              <w:rPr>
                <w:rFonts w:ascii="Cambria Math" w:hAnsi="Cambria Math"/>
                <w:lang w:eastAsia="zh-CN"/>
              </w:rPr>
              <m:t>2048+144</m:t>
            </m:r>
          </m:e>
        </m:d>
        <m:r>
          <m:rPr>
            <m:sty m:val="bi"/>
          </m:rPr>
          <w:rPr>
            <w:rFonts w:ascii="Cambria Math" w:hAnsi="Cambria Math"/>
            <w:lang w:eastAsia="zh-CN"/>
          </w:rPr>
          <m:t>⋅κ⋅</m:t>
        </m:r>
        <m:sSup>
          <m:sSupPr>
            <m:ctrlPr>
              <w:rPr>
                <w:rFonts w:ascii="Cambria Math" w:hAnsi="Cambria Math"/>
                <w:b w:val="0"/>
                <w:bCs/>
                <w:i/>
                <w:lang w:eastAsia="zh-CN"/>
              </w:rPr>
            </m:ctrlPr>
          </m:sSupPr>
          <m:e>
            <m:r>
              <m:rPr>
                <m:sty m:val="bi"/>
              </m:rPr>
              <w:rPr>
                <w:rFonts w:ascii="Cambria Math" w:hAnsi="Cambria Math"/>
                <w:lang w:eastAsia="zh-CN"/>
              </w:rPr>
              <m:t>2</m:t>
            </m:r>
          </m:e>
          <m:sup>
            <m:r>
              <m:rPr>
                <m:sty m:val="bi"/>
              </m:rPr>
              <w:rPr>
                <w:rFonts w:ascii="Cambria Math" w:hAnsi="Cambria Math"/>
                <w:lang w:eastAsia="zh-CN"/>
              </w:rPr>
              <m:t>-μ</m:t>
            </m:r>
          </m:sup>
        </m:sSup>
        <m:r>
          <m:rPr>
            <m:sty m:val="bi"/>
          </m:rPr>
          <w:rPr>
            <w:rFonts w:ascii="Cambria Math" w:hAnsi="Cambria Math"/>
            <w:lang w:eastAsia="zh-CN"/>
          </w:rPr>
          <m:t>⋅</m:t>
        </m:r>
        <m:sSub>
          <m:sSubPr>
            <m:ctrlPr>
              <w:rPr>
                <w:rFonts w:ascii="Cambria Math" w:hAnsi="Cambria Math"/>
                <w:b w:val="0"/>
                <w:bCs/>
                <w:i/>
                <w:lang w:eastAsia="zh-CN"/>
              </w:rPr>
            </m:ctrlPr>
          </m:sSubPr>
          <m:e>
            <m:r>
              <m:rPr>
                <m:sty m:val="bi"/>
              </m:rPr>
              <w:rPr>
                <w:rFonts w:ascii="Cambria Math" w:hAnsi="Cambria Math"/>
                <w:lang w:eastAsia="zh-CN"/>
              </w:rPr>
              <m:t>T</m:t>
            </m:r>
          </m:e>
          <m:sub>
            <m:r>
              <m:rPr>
                <m:sty m:val="bi"/>
              </m:rPr>
              <w:rPr>
                <w:rFonts w:ascii="Cambria Math" w:hAnsi="Cambria Math"/>
                <w:lang w:eastAsia="zh-CN"/>
              </w:rPr>
              <m:t>c</m:t>
            </m:r>
          </m:sub>
        </m:sSub>
      </m:oMath>
      <w:r w:rsidRPr="00603711">
        <w:rPr>
          <w:b w:val="0"/>
          <w:bCs/>
          <w:lang w:eastAsia="zh-CN"/>
        </w:rPr>
        <w:t>, including the effect of time advance, after the end of the PSFCH resource, where</w:t>
      </w:r>
      <w:bookmarkEnd w:id="4"/>
    </w:p>
    <w:p w14:paraId="4D53AB16" w14:textId="427D2D61" w:rsidR="00063E2C" w:rsidRPr="00603711" w:rsidRDefault="00603711" w:rsidP="00922847">
      <w:pPr>
        <w:pStyle w:val="ListParagraph"/>
        <w:numPr>
          <w:ilvl w:val="0"/>
          <w:numId w:val="38"/>
        </w:numPr>
        <w:jc w:val="both"/>
        <w:rPr>
          <w:bCs/>
          <w:lang w:eastAsia="zh-CN"/>
        </w:rPr>
      </w:pPr>
      <m:oMath>
        <m:r>
          <w:rPr>
            <w:rFonts w:ascii="Cambria Math" w:hAnsi="Cambria Math"/>
            <w:lang w:eastAsia="zh-CN"/>
          </w:rPr>
          <m:t>κ</m:t>
        </m:r>
      </m:oMath>
      <w:r w:rsidR="00063E2C" w:rsidRPr="00603711">
        <w:rPr>
          <w:bCs/>
          <w:lang w:eastAsia="zh-CN"/>
        </w:rPr>
        <w:t xml:space="preserve">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c</m:t>
            </m:r>
          </m:sub>
        </m:sSub>
      </m:oMath>
      <w:r w:rsidR="00063E2C" w:rsidRPr="00603711">
        <w:rPr>
          <w:bCs/>
          <w:lang w:eastAsia="zh-CN"/>
        </w:rPr>
        <w:t xml:space="preserve"> are defined in clause 4.1 of [TS 38.211]</w:t>
      </w:r>
    </w:p>
    <w:p w14:paraId="1DD7571E" w14:textId="3627BD96" w:rsidR="00063E2C" w:rsidRPr="00603711" w:rsidRDefault="00603711" w:rsidP="00922847">
      <w:pPr>
        <w:pStyle w:val="ListParagraph"/>
        <w:numPr>
          <w:ilvl w:val="0"/>
          <w:numId w:val="38"/>
        </w:numPr>
        <w:jc w:val="both"/>
        <w:rPr>
          <w:bCs/>
          <w:lang w:eastAsia="zh-CN"/>
        </w:rPr>
      </w:pPr>
      <m:oMath>
        <m:r>
          <w:rPr>
            <w:rFonts w:ascii="Cambria Math" w:hAnsi="Cambria Math"/>
            <w:lang w:eastAsia="zh-CN"/>
          </w:rPr>
          <m:t>μ</m:t>
        </m:r>
      </m:oMath>
      <w:r w:rsidR="00063E2C" w:rsidRPr="00603711">
        <w:rPr>
          <w:bCs/>
          <w:lang w:eastAsia="zh-CN"/>
        </w:rPr>
        <w:t xml:space="preserve"> corresponds to the minimum sub-carrier of PDCCH, PSFCH, and PUCCH.</w:t>
      </w:r>
    </w:p>
    <w:p w14:paraId="6935D17E" w14:textId="31DB8E20" w:rsidR="00063E2C" w:rsidRPr="00603711" w:rsidRDefault="00AF028B" w:rsidP="00922847">
      <w:pPr>
        <w:pStyle w:val="ListParagraph"/>
        <w:numPr>
          <w:ilvl w:val="0"/>
          <w:numId w:val="38"/>
        </w:numPr>
        <w:jc w:val="both"/>
        <w:rPr>
          <w:bCs/>
          <w:lang w:eastAsia="zh-CN"/>
        </w:rPr>
      </w:pP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PSFCH-PUCCH</m:t>
            </m:r>
          </m:sub>
        </m:sSub>
      </m:oMath>
      <w:r w:rsidR="00063E2C" w:rsidRPr="00603711">
        <w:rPr>
          <w:bCs/>
          <w:lang w:eastAsia="zh-CN"/>
        </w:rPr>
        <w:t xml:space="preserve"> is {</w:t>
      </w:r>
      <w:r w:rsidR="005A5EF0">
        <w:rPr>
          <w:bCs/>
          <w:lang w:eastAsia="zh-CN"/>
        </w:rPr>
        <w:t>13</w:t>
      </w:r>
      <w:r w:rsidR="00063E2C" w:rsidRPr="00603711">
        <w:rPr>
          <w:bCs/>
          <w:lang w:eastAsia="zh-CN"/>
        </w:rPr>
        <w:t xml:space="preserve">, </w:t>
      </w:r>
      <w:r w:rsidR="005A5EF0">
        <w:rPr>
          <w:bCs/>
          <w:lang w:eastAsia="zh-CN"/>
        </w:rPr>
        <w:t>13</w:t>
      </w:r>
      <w:r w:rsidR="00063E2C" w:rsidRPr="00603711">
        <w:rPr>
          <w:bCs/>
          <w:lang w:eastAsia="zh-CN"/>
        </w:rPr>
        <w:t xml:space="preserve">, </w:t>
      </w:r>
      <w:r w:rsidR="005A5EF0">
        <w:rPr>
          <w:bCs/>
          <w:lang w:eastAsia="zh-CN"/>
        </w:rPr>
        <w:t>20</w:t>
      </w:r>
      <w:r w:rsidR="00063E2C" w:rsidRPr="00603711">
        <w:rPr>
          <w:bCs/>
          <w:lang w:eastAsia="zh-CN"/>
        </w:rPr>
        <w:t xml:space="preserve">, </w:t>
      </w:r>
      <w:r w:rsidR="005A5EF0">
        <w:rPr>
          <w:bCs/>
          <w:lang w:eastAsia="zh-CN"/>
        </w:rPr>
        <w:t>24</w:t>
      </w:r>
      <w:r w:rsidR="00063E2C" w:rsidRPr="00603711">
        <w:rPr>
          <w:bCs/>
          <w:lang w:eastAsia="zh-CN"/>
        </w:rPr>
        <w:t xml:space="preserve">} for </w:t>
      </w:r>
      <m:oMath>
        <m:r>
          <w:rPr>
            <w:rFonts w:ascii="Cambria Math" w:hAnsi="Cambria Math"/>
            <w:lang w:eastAsia="zh-CN"/>
          </w:rPr>
          <m:t>μ=0,1,2,3</m:t>
        </m:r>
      </m:oMath>
      <w:r w:rsidR="00063E2C" w:rsidRPr="00603711">
        <w:rPr>
          <w:bCs/>
          <w:lang w:eastAsia="zh-CN"/>
        </w:rPr>
        <w:t>, respectively.</w:t>
      </w:r>
    </w:p>
    <w:p w14:paraId="0C58C61D" w14:textId="73A5C7F8" w:rsidR="00922847" w:rsidRDefault="00922847" w:rsidP="00922847">
      <w:pPr>
        <w:jc w:val="both"/>
        <w:rPr>
          <w:lang w:eastAsia="ja-JP"/>
        </w:rPr>
      </w:pPr>
      <w:r>
        <w:rPr>
          <w:lang w:eastAsia="ja-JP"/>
        </w:rPr>
        <w:t xml:space="preserve">The other issue brought up during RAN1 100-e, was gNB ambiguity about the PUCCH resource location when sidelink is not synchronized to downlink timing as illustrated in </w:t>
      </w:r>
      <w:r>
        <w:rPr>
          <w:lang w:eastAsia="ja-JP"/>
        </w:rPr>
        <w:fldChar w:fldCharType="begin"/>
      </w:r>
      <w:r>
        <w:rPr>
          <w:lang w:eastAsia="ja-JP"/>
        </w:rPr>
        <w:instrText xml:space="preserve"> REF _Ref37425795 \h  \* MERGEFORMAT </w:instrText>
      </w:r>
      <w:r>
        <w:rPr>
          <w:lang w:eastAsia="ja-JP"/>
        </w:rPr>
      </w:r>
      <w:r>
        <w:rPr>
          <w:lang w:eastAsia="ja-JP"/>
        </w:rPr>
        <w:fldChar w:fldCharType="separate"/>
      </w:r>
      <w:r w:rsidR="00AF028B">
        <w:t xml:space="preserve">Figure </w:t>
      </w:r>
      <w:r w:rsidR="00AF028B">
        <w:rPr>
          <w:noProof/>
        </w:rPr>
        <w:t>1</w:t>
      </w:r>
      <w:r>
        <w:rPr>
          <w:lang w:eastAsia="ja-JP"/>
        </w:rPr>
        <w:fldChar w:fldCharType="end"/>
      </w:r>
      <w:r>
        <w:rPr>
          <w:lang w:eastAsia="ja-JP"/>
        </w:rPr>
        <w:t xml:space="preserve">. </w:t>
      </w:r>
    </w:p>
    <w:p w14:paraId="4BCFD393" w14:textId="77777777" w:rsidR="00063E2C" w:rsidRDefault="00063E2C" w:rsidP="00E23B3D">
      <w:pPr>
        <w:spacing w:after="160" w:line="259" w:lineRule="auto"/>
        <w:rPr>
          <w:rFonts w:ascii="Arial" w:hAnsi="Arial" w:cs="Arial"/>
          <w:bCs/>
          <w:lang w:eastAsia="ja-JP"/>
        </w:rPr>
      </w:pPr>
    </w:p>
    <w:p w14:paraId="398B1E85" w14:textId="357C1ACD" w:rsidR="00E23B3D" w:rsidRDefault="00063E2C" w:rsidP="00063E2C">
      <w:pPr>
        <w:spacing w:after="160" w:line="259" w:lineRule="auto"/>
        <w:jc w:val="center"/>
        <w:rPr>
          <w:rFonts w:ascii="Arial" w:hAnsi="Arial" w:cs="Arial"/>
          <w:bCs/>
          <w:lang w:eastAsia="ja-JP"/>
        </w:rPr>
      </w:pPr>
      <w:r w:rsidRPr="00063E2C">
        <w:rPr>
          <w:noProof/>
        </w:rPr>
        <w:lastRenderedPageBreak/>
        <w:drawing>
          <wp:inline distT="0" distB="0" distL="0" distR="0" wp14:anchorId="24EEA22C" wp14:editId="751B5AED">
            <wp:extent cx="5943600" cy="35445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3544570"/>
                    </a:xfrm>
                    <a:prstGeom prst="rect">
                      <a:avLst/>
                    </a:prstGeom>
                    <a:noFill/>
                    <a:ln>
                      <a:noFill/>
                    </a:ln>
                  </pic:spPr>
                </pic:pic>
              </a:graphicData>
            </a:graphic>
          </wp:inline>
        </w:drawing>
      </w:r>
    </w:p>
    <w:p w14:paraId="751D091B" w14:textId="46D8F434" w:rsidR="00063E2C" w:rsidRPr="00E23B3D" w:rsidRDefault="00063E2C" w:rsidP="00063E2C">
      <w:pPr>
        <w:pStyle w:val="Caption"/>
        <w:jc w:val="center"/>
        <w:rPr>
          <w:rFonts w:ascii="Arial" w:hAnsi="Arial" w:cs="Arial"/>
          <w:bCs/>
          <w:lang w:eastAsia="ja-JP"/>
        </w:rPr>
      </w:pPr>
      <w:bookmarkStart w:id="5" w:name="_Ref37425795"/>
      <w:r>
        <w:t xml:space="preserve">Figure </w:t>
      </w:r>
      <w:r>
        <w:fldChar w:fldCharType="begin"/>
      </w:r>
      <w:r>
        <w:instrText xml:space="preserve"> SEQ Figure \* ARABIC </w:instrText>
      </w:r>
      <w:r>
        <w:fldChar w:fldCharType="separate"/>
      </w:r>
      <w:r w:rsidR="00AF028B">
        <w:rPr>
          <w:noProof/>
        </w:rPr>
        <w:t>1</w:t>
      </w:r>
      <w:r>
        <w:fldChar w:fldCharType="end"/>
      </w:r>
      <w:bookmarkEnd w:id="5"/>
      <w:r>
        <w:t>: Timeline for reporting SL HARQ-ACK to gNB on PUCCH when sidelink is synchronized and not synchronized with downlink.</w:t>
      </w:r>
    </w:p>
    <w:p w14:paraId="07EE2646" w14:textId="7FC32DE8" w:rsidR="00922847" w:rsidRDefault="00922847" w:rsidP="00922847">
      <w:pPr>
        <w:jc w:val="both"/>
        <w:rPr>
          <w:lang w:eastAsia="ja-JP"/>
        </w:rPr>
      </w:pPr>
      <w:r>
        <w:rPr>
          <w:lang w:eastAsia="ja-JP"/>
        </w:rPr>
        <w:t>One proposal during that meeting was to assume sidelink is synchronized to downlink timing when determining the PUCCH resource location. While this resolves the ambiguity in the majority of cases, it does not ensure that UE processing timeline is satisfied</w:t>
      </w:r>
      <w:r w:rsidR="00247450">
        <w:rPr>
          <w:lang w:eastAsia="ja-JP"/>
        </w:rPr>
        <w:t xml:space="preserve"> unless the gNB uses a very large gap to PUCCH resource.</w:t>
      </w:r>
    </w:p>
    <w:p w14:paraId="563EFD12" w14:textId="77777777" w:rsidR="00922847" w:rsidRDefault="00922847" w:rsidP="00922847">
      <w:pPr>
        <w:jc w:val="both"/>
        <w:rPr>
          <w:lang w:eastAsia="ja-JP"/>
        </w:rPr>
      </w:pPr>
      <w:r>
        <w:rPr>
          <w:lang w:eastAsia="ja-JP"/>
        </w:rPr>
        <w:t>If additionally, the gNB is aware of the timing difference between downlink and sidelink (for example by reporting from the UE or comparing directly with the synchronization reference), it has enough information to ensure that UE processing timeline is satisfied.</w:t>
      </w:r>
    </w:p>
    <w:p w14:paraId="67567C2D" w14:textId="667118D2" w:rsidR="006C6F56" w:rsidRDefault="00922847" w:rsidP="00922847">
      <w:pPr>
        <w:pStyle w:val="Caption"/>
      </w:pPr>
      <w:bookmarkStart w:id="6" w:name="_Toc37444687"/>
      <w:r>
        <w:t xml:space="preserve">Observation </w:t>
      </w:r>
      <w:r>
        <w:fldChar w:fldCharType="begin"/>
      </w:r>
      <w:r>
        <w:instrText xml:space="preserve"> SEQ Observation \* ARABIC </w:instrText>
      </w:r>
      <w:r>
        <w:fldChar w:fldCharType="separate"/>
      </w:r>
      <w:r w:rsidR="00AF028B">
        <w:rPr>
          <w:noProof/>
        </w:rPr>
        <w:t>1</w:t>
      </w:r>
      <w:r>
        <w:fldChar w:fldCharType="end"/>
      </w:r>
      <w:r>
        <w:t xml:space="preserve">: </w:t>
      </w:r>
      <w:r w:rsidR="00FE29B8">
        <w:t>If the gNB is not aware of the difference between downlink and sidelink timing, UE processing timeline cannot be guaranteed when downlink timing is used to determine the PUCCH resource</w:t>
      </w:r>
      <w:r w:rsidR="00C2457F">
        <w:t xml:space="preserve"> without using a very large gap</w:t>
      </w:r>
      <w:r w:rsidR="00FE29B8">
        <w:t>.</w:t>
      </w:r>
      <w:bookmarkEnd w:id="6"/>
      <w:r w:rsidR="00FE29B8">
        <w:t xml:space="preserve"> </w:t>
      </w:r>
    </w:p>
    <w:p w14:paraId="1D1CD6F4" w14:textId="66B245B5" w:rsidR="00DF1236" w:rsidRPr="00DF1236" w:rsidRDefault="00DF1236" w:rsidP="00DF1236">
      <w:pPr>
        <w:pStyle w:val="Caption"/>
      </w:pPr>
      <w:bookmarkStart w:id="7" w:name="_Toc37444688"/>
      <w:r>
        <w:t xml:space="preserve">Observation </w:t>
      </w:r>
      <w:r>
        <w:fldChar w:fldCharType="begin"/>
      </w:r>
      <w:r>
        <w:instrText xml:space="preserve"> SEQ Observation \* ARABIC </w:instrText>
      </w:r>
      <w:r>
        <w:fldChar w:fldCharType="separate"/>
      </w:r>
      <w:r w:rsidR="00AF028B">
        <w:rPr>
          <w:noProof/>
        </w:rPr>
        <w:t>2</w:t>
      </w:r>
      <w:r>
        <w:fldChar w:fldCharType="end"/>
      </w:r>
      <w:r w:rsidR="00FE29B8">
        <w:t>: The gNB can ensure the UE processing timeline when it is aware of the difference between downlink and sidelink timing.</w:t>
      </w:r>
      <w:bookmarkEnd w:id="7"/>
    </w:p>
    <w:bookmarkEnd w:id="3"/>
    <w:p w14:paraId="4F675658" w14:textId="58F3A767" w:rsidR="00AA79C8" w:rsidRDefault="00E23B3D" w:rsidP="00E23B3D">
      <w:pPr>
        <w:pStyle w:val="Heading1"/>
      </w:pPr>
      <w:r>
        <w:t>HARQ-ACK Determination</w:t>
      </w:r>
    </w:p>
    <w:p w14:paraId="166A033F" w14:textId="51F1373F" w:rsidR="00C70BC0" w:rsidRPr="00C70BC0" w:rsidRDefault="00C70BC0" w:rsidP="00C70BC0">
      <w:pPr>
        <w:rPr>
          <w:lang w:eastAsia="zh-CN"/>
        </w:rPr>
      </w:pPr>
      <w:r>
        <w:rPr>
          <w:lang w:eastAsia="zh-CN"/>
        </w:rPr>
        <w:t>In RAN1 100e, the following agreements were made:</w:t>
      </w:r>
    </w:p>
    <w:p w14:paraId="604B6A54" w14:textId="77777777" w:rsidR="00C70BC0" w:rsidRPr="00C70BC0" w:rsidRDefault="00C70BC0" w:rsidP="00C70BC0">
      <w:pPr>
        <w:ind w:left="720"/>
        <w:rPr>
          <w:b/>
          <w:bCs/>
          <w:lang w:val="en-US" w:eastAsia="fi-FI"/>
        </w:rPr>
      </w:pPr>
      <w:r w:rsidRPr="00C70BC0">
        <w:rPr>
          <w:b/>
          <w:bCs/>
          <w:highlight w:val="darkYellow"/>
          <w:lang w:val="en-US"/>
        </w:rPr>
        <w:t>Working assumption</w:t>
      </w:r>
      <w:r w:rsidRPr="00C70BC0">
        <w:rPr>
          <w:b/>
          <w:bCs/>
          <w:lang w:val="en-US"/>
        </w:rPr>
        <w:t xml:space="preserve">: </w:t>
      </w:r>
    </w:p>
    <w:p w14:paraId="6FFDE66A" w14:textId="52210E9F" w:rsidR="005F53D0" w:rsidRPr="00C70BC0" w:rsidRDefault="00C70BC0" w:rsidP="00C70BC0">
      <w:pPr>
        <w:ind w:left="720"/>
        <w:rPr>
          <w:lang w:val="en-US"/>
        </w:rPr>
      </w:pPr>
      <w:r w:rsidRPr="00C70BC0">
        <w:rPr>
          <w:lang w:val="en-US"/>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14:paraId="0ACA1E8D" w14:textId="77777777" w:rsidR="00C70BC0" w:rsidRPr="00C70BC0" w:rsidRDefault="00C70BC0" w:rsidP="00C70BC0">
      <w:pPr>
        <w:ind w:left="720"/>
        <w:rPr>
          <w:b/>
          <w:bCs/>
          <w:lang w:val="en-US" w:eastAsia="fi-FI"/>
        </w:rPr>
      </w:pPr>
      <w:r w:rsidRPr="00C70BC0">
        <w:rPr>
          <w:b/>
          <w:bCs/>
          <w:highlight w:val="darkYellow"/>
          <w:lang w:val="en-US"/>
        </w:rPr>
        <w:t>Working assumption</w:t>
      </w:r>
      <w:r w:rsidRPr="00C70BC0">
        <w:rPr>
          <w:b/>
          <w:bCs/>
          <w:lang w:val="en-US"/>
        </w:rPr>
        <w:t xml:space="preserve">: </w:t>
      </w:r>
    </w:p>
    <w:p w14:paraId="593ACCF7" w14:textId="2DE1559D" w:rsidR="00C70BC0" w:rsidRDefault="00C70BC0" w:rsidP="00C70BC0">
      <w:pPr>
        <w:ind w:left="720"/>
        <w:rPr>
          <w:lang w:val="en-US"/>
        </w:rPr>
      </w:pPr>
      <w:r w:rsidRPr="00C70BC0">
        <w:rPr>
          <w:lang w:val="en-US"/>
        </w:rPr>
        <w:lastRenderedPageBreak/>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14:paraId="389E26D3" w14:textId="1E722F73" w:rsidR="00C70BC0" w:rsidRDefault="00C70BC0" w:rsidP="00C70BC0">
      <w:pPr>
        <w:rPr>
          <w:lang w:val="en-US"/>
        </w:rPr>
      </w:pPr>
      <w:r>
        <w:rPr>
          <w:lang w:val="en-US"/>
        </w:rPr>
        <w:t>They identify two cases were UE behavior and the content of HARQ-ACK report the gNB need to be identified.</w:t>
      </w:r>
    </w:p>
    <w:p w14:paraId="1D9300FB" w14:textId="55AF7607" w:rsidR="00C70BC0" w:rsidRDefault="00C70BC0" w:rsidP="00C70BC0">
      <w:pPr>
        <w:jc w:val="both"/>
        <w:rPr>
          <w:lang w:val="en-US"/>
        </w:rPr>
      </w:pPr>
      <w:r>
        <w:rPr>
          <w:lang w:val="en-US"/>
        </w:rPr>
        <w:t>In the first case, the maximum number of HARQ retransmissions for a TB is reached. In Mode 1, the UE is only aware of how many retransmissions it has performed, and the maximum allowed from RRC configuration. When this maximum is reached, the UE should not send any more retransmissions and can send ACK indicating to the gNB that no further resources are requested.</w:t>
      </w:r>
    </w:p>
    <w:p w14:paraId="4EA342AA" w14:textId="36D0394C" w:rsidR="00C70BC0" w:rsidRPr="00F91CE7" w:rsidRDefault="00C70BC0" w:rsidP="00C70BC0">
      <w:pPr>
        <w:pStyle w:val="Caption"/>
        <w:rPr>
          <w:lang w:eastAsia="zh-CN"/>
        </w:rPr>
      </w:pPr>
      <w:bookmarkStart w:id="8" w:name="_Toc37444690"/>
      <w:r>
        <w:t xml:space="preserve">Proposal </w:t>
      </w:r>
      <w:r>
        <w:fldChar w:fldCharType="begin"/>
      </w:r>
      <w:r>
        <w:instrText xml:space="preserve"> SEQ Proposal \* ARABIC </w:instrText>
      </w:r>
      <w:r>
        <w:fldChar w:fldCharType="separate"/>
      </w:r>
      <w:r w:rsidR="00AF028B">
        <w:rPr>
          <w:noProof/>
        </w:rPr>
        <w:t>2</w:t>
      </w:r>
      <w:r>
        <w:fldChar w:fldCharType="end"/>
      </w:r>
      <w:r>
        <w:t>: When the maximum number of retransmissions as configured by higher layers is reached, the UE reports ACK to the gNB.</w:t>
      </w:r>
      <w:bookmarkEnd w:id="8"/>
    </w:p>
    <w:p w14:paraId="543D4C41" w14:textId="6D1905B7" w:rsidR="00C70BC0" w:rsidRPr="00C70BC0" w:rsidRDefault="00C70BC0" w:rsidP="00C70BC0">
      <w:pPr>
        <w:jc w:val="both"/>
        <w:rPr>
          <w:lang w:eastAsia="zh-CN"/>
        </w:rPr>
      </w:pPr>
      <w:r>
        <w:rPr>
          <w:lang w:eastAsia="zh-CN"/>
        </w:rPr>
        <w:t xml:space="preserve">The case when the resource pool does not contain PSFCH resource, but the gNB assigns a PUCCH resource is a misconfiguration that should ideally be avoided. If the UE does not request feedback for blind retransmissions, then </w:t>
      </w:r>
      <w:r w:rsidR="00485FE2">
        <w:rPr>
          <w:lang w:eastAsia="zh-CN"/>
        </w:rPr>
        <w:t>the UE can send ACK to the gNB when the target number of retransmissions is reached. The target number of blind retransmissions can be determined by UE implementation.</w:t>
      </w:r>
      <w:r>
        <w:rPr>
          <w:lang w:eastAsia="zh-CN"/>
        </w:rPr>
        <w:t xml:space="preserve"> </w:t>
      </w:r>
    </w:p>
    <w:p w14:paraId="2CF22062" w14:textId="0E79BDD7" w:rsidR="00E23B3D" w:rsidRDefault="00F91CE7" w:rsidP="00F91CE7">
      <w:pPr>
        <w:pStyle w:val="Caption"/>
      </w:pPr>
      <w:bookmarkStart w:id="9" w:name="_Toc37444691"/>
      <w:r>
        <w:t xml:space="preserve">Proposal </w:t>
      </w:r>
      <w:r>
        <w:fldChar w:fldCharType="begin"/>
      </w:r>
      <w:r>
        <w:instrText xml:space="preserve"> SEQ Proposal \* ARABIC </w:instrText>
      </w:r>
      <w:r>
        <w:fldChar w:fldCharType="separate"/>
      </w:r>
      <w:r w:rsidR="00AF028B">
        <w:rPr>
          <w:noProof/>
        </w:rPr>
        <w:t>3</w:t>
      </w:r>
      <w:r>
        <w:fldChar w:fldCharType="end"/>
      </w:r>
      <w:r>
        <w:t xml:space="preserve">: When sidelink feedback is disabled, the UE reports ACK to the gNB </w:t>
      </w:r>
      <w:r w:rsidR="00E22AAC">
        <w:t xml:space="preserve">if </w:t>
      </w:r>
      <w:r>
        <w:t xml:space="preserve">the target number of retransmissions is reached. Otherwise, it reports </w:t>
      </w:r>
      <w:r w:rsidR="00E22AAC">
        <w:t>N</w:t>
      </w:r>
      <w:r>
        <w:t>ACK.</w:t>
      </w:r>
      <w:bookmarkEnd w:id="9"/>
    </w:p>
    <w:p w14:paraId="28F0426F" w14:textId="4406D6AE" w:rsidR="008234EA" w:rsidRDefault="008234EA" w:rsidP="00F756EC">
      <w:pPr>
        <w:pStyle w:val="Heading1"/>
      </w:pPr>
      <w:r>
        <w:t>Conclusion</w:t>
      </w:r>
    </w:p>
    <w:p w14:paraId="4013A97F" w14:textId="77777777" w:rsidR="00AF028B" w:rsidRDefault="00603711">
      <w:pPr>
        <w:pStyle w:val="TableofFigures"/>
        <w:tabs>
          <w:tab w:val="right" w:leader="dot" w:pos="9350"/>
        </w:tabs>
        <w:rPr>
          <w:rFonts w:asciiTheme="minorHAnsi" w:eastAsiaTheme="minorEastAsia" w:hAnsiTheme="minorHAnsi" w:cstheme="minorBidi"/>
          <w:noProof/>
          <w:sz w:val="22"/>
          <w:szCs w:val="22"/>
          <w:lang w:val="en-US"/>
        </w:rPr>
      </w:pPr>
      <w:r>
        <w:rPr>
          <w:color w:val="FF0000"/>
          <w:lang w:val="en-US" w:eastAsia="zh-CN"/>
        </w:rPr>
        <w:fldChar w:fldCharType="begin"/>
      </w:r>
      <w:r>
        <w:rPr>
          <w:color w:val="FF0000"/>
          <w:lang w:val="en-US" w:eastAsia="zh-CN"/>
        </w:rPr>
        <w:instrText xml:space="preserve"> TOC \n \h \z \c "Observation" </w:instrText>
      </w:r>
      <w:r>
        <w:rPr>
          <w:color w:val="FF0000"/>
          <w:lang w:val="en-US" w:eastAsia="zh-CN"/>
        </w:rPr>
        <w:fldChar w:fldCharType="separate"/>
      </w:r>
      <w:hyperlink w:anchor="_Toc37444687" w:history="1">
        <w:r w:rsidR="00AF028B" w:rsidRPr="00D36237">
          <w:rPr>
            <w:rStyle w:val="Hyperlink"/>
            <w:noProof/>
          </w:rPr>
          <w:t>Observation 1: If the gNB is not aware of the difference between downlink and sidelink timing, UE processing timeline cannot be guaranteed when downlink timing is used to determine the PUCCH resource without using a very large gap.</w:t>
        </w:r>
      </w:hyperlink>
    </w:p>
    <w:p w14:paraId="4D5A3119" w14:textId="77777777" w:rsidR="00AF028B" w:rsidRDefault="00AF028B">
      <w:pPr>
        <w:pStyle w:val="TableofFigures"/>
        <w:tabs>
          <w:tab w:val="right" w:leader="dot" w:pos="9350"/>
        </w:tabs>
        <w:rPr>
          <w:rFonts w:asciiTheme="minorHAnsi" w:eastAsiaTheme="minorEastAsia" w:hAnsiTheme="minorHAnsi" w:cstheme="minorBidi"/>
          <w:noProof/>
          <w:sz w:val="22"/>
          <w:szCs w:val="22"/>
          <w:lang w:val="en-US"/>
        </w:rPr>
      </w:pPr>
      <w:hyperlink w:anchor="_Toc37444688" w:history="1">
        <w:r w:rsidRPr="00D36237">
          <w:rPr>
            <w:rStyle w:val="Hyperlink"/>
            <w:noProof/>
          </w:rPr>
          <w:t>Observation 2: The gNB can ensure the UE processing timeline when it is aware of the difference between downlink and sidelink timing.</w:t>
        </w:r>
      </w:hyperlink>
    </w:p>
    <w:p w14:paraId="5FFD1C10" w14:textId="287588F3" w:rsidR="00CD0E58" w:rsidRDefault="00603711" w:rsidP="00603711">
      <w:pPr>
        <w:rPr>
          <w:color w:val="FF0000"/>
          <w:lang w:val="en-US" w:eastAsia="zh-CN"/>
        </w:rPr>
      </w:pPr>
      <w:r>
        <w:rPr>
          <w:color w:val="FF0000"/>
          <w:lang w:val="en-US" w:eastAsia="zh-CN"/>
        </w:rPr>
        <w:fldChar w:fldCharType="end"/>
      </w:r>
    </w:p>
    <w:p w14:paraId="268BCA32" w14:textId="539F8AE9" w:rsidR="00AF028B" w:rsidRDefault="00603711">
      <w:pPr>
        <w:pStyle w:val="TableofFigures"/>
        <w:tabs>
          <w:tab w:val="right" w:leader="dot" w:pos="9350"/>
        </w:tabs>
        <w:rPr>
          <w:rStyle w:val="Hyperlink"/>
          <w:noProof/>
        </w:rPr>
      </w:pPr>
      <w:r>
        <w:rPr>
          <w:color w:val="FF0000"/>
          <w:lang w:val="en-US" w:eastAsia="zh-CN"/>
        </w:rPr>
        <w:fldChar w:fldCharType="begin"/>
      </w:r>
      <w:r>
        <w:rPr>
          <w:color w:val="FF0000"/>
          <w:lang w:val="en-US" w:eastAsia="zh-CN"/>
        </w:rPr>
        <w:instrText xml:space="preserve"> TOC \n \h \z \c "Proposal" </w:instrText>
      </w:r>
      <w:r>
        <w:rPr>
          <w:color w:val="FF0000"/>
          <w:lang w:val="en-US" w:eastAsia="zh-CN"/>
        </w:rPr>
        <w:fldChar w:fldCharType="separate"/>
      </w:r>
      <w:hyperlink w:anchor="_Toc37444689" w:history="1">
        <w:r w:rsidR="00AF028B" w:rsidRPr="00655660">
          <w:rPr>
            <w:rStyle w:val="Hyperlink"/>
            <w:noProof/>
          </w:rPr>
          <w:t xml:space="preserve">Proposal 1: </w:t>
        </w:r>
        <w:r w:rsidR="00AF028B" w:rsidRPr="00655660">
          <w:rPr>
            <w:rStyle w:val="Hyperlink"/>
            <w:bCs/>
            <w:noProof/>
            <w:lang w:eastAsia="zh-CN"/>
          </w:rPr>
          <w:t xml:space="preserve">The minimum time between the end of the PSFCH resource and the beginning of the PUCCH on which the UE reports SL HARQ-ACK to gNB is than </w:t>
        </w:r>
        <m:oMath>
          <m:r>
            <m:rPr>
              <m:sty m:val="bi"/>
            </m:rPr>
            <w:rPr>
              <w:rStyle w:val="Hyperlink"/>
              <w:rFonts w:ascii="Cambria Math" w:hAnsi="Cambria Math"/>
              <w:noProof/>
              <w:lang w:eastAsia="zh-CN"/>
            </w:rPr>
            <m:t>TPSFCH</m:t>
          </m:r>
          <m:r>
            <w:rPr>
              <w:rStyle w:val="Hyperlink"/>
              <w:rFonts w:ascii="Cambria Math" w:hAnsi="Cambria Math"/>
              <w:noProof/>
              <w:lang w:eastAsia="zh-CN"/>
            </w:rPr>
            <m:t>-</m:t>
          </m:r>
          <m:r>
            <m:rPr>
              <m:sty m:val="bi"/>
            </m:rPr>
            <w:rPr>
              <w:rStyle w:val="Hyperlink"/>
              <w:rFonts w:ascii="Cambria Math" w:hAnsi="Cambria Math"/>
              <w:noProof/>
              <w:lang w:eastAsia="zh-CN"/>
            </w:rPr>
            <m:t>PUCCH</m:t>
          </m:r>
          <m:r>
            <w:rPr>
              <w:rStyle w:val="Hyperlink"/>
              <w:rFonts w:ascii="Cambria Math" w:hAnsi="Cambria Math"/>
              <w:noProof/>
              <w:lang w:eastAsia="zh-CN"/>
            </w:rPr>
            <m:t>=</m:t>
          </m:r>
          <m:r>
            <m:rPr>
              <m:sty m:val="bi"/>
            </m:rPr>
            <w:rPr>
              <w:rStyle w:val="Hyperlink"/>
              <w:rFonts w:ascii="Cambria Math" w:hAnsi="Cambria Math"/>
              <w:noProof/>
              <w:lang w:eastAsia="zh-CN"/>
            </w:rPr>
            <m:t>NPSFCH</m:t>
          </m:r>
          <m:r>
            <w:rPr>
              <w:rStyle w:val="Hyperlink"/>
              <w:rFonts w:ascii="Cambria Math" w:hAnsi="Cambria Math"/>
              <w:noProof/>
              <w:lang w:eastAsia="zh-CN"/>
            </w:rPr>
            <m:t>-</m:t>
          </m:r>
          <m:r>
            <m:rPr>
              <m:sty m:val="bi"/>
            </m:rPr>
            <w:rPr>
              <w:rStyle w:val="Hyperlink"/>
              <w:rFonts w:ascii="Cambria Math" w:hAnsi="Cambria Math"/>
              <w:noProof/>
              <w:lang w:eastAsia="zh-CN"/>
            </w:rPr>
            <m:t>PUCCH</m:t>
          </m:r>
          <m:r>
            <w:rPr>
              <w:rStyle w:val="Hyperlink"/>
              <w:rFonts w:ascii="Cambria Math" w:hAnsi="Cambria Math"/>
              <w:noProof/>
              <w:lang w:eastAsia="zh-CN"/>
            </w:rPr>
            <m:t>⋅</m:t>
          </m:r>
          <m:r>
            <m:rPr>
              <m:sty m:val="bi"/>
            </m:rPr>
            <w:rPr>
              <w:rStyle w:val="Hyperlink"/>
              <w:rFonts w:ascii="Cambria Math" w:hAnsi="Cambria Math"/>
              <w:noProof/>
              <w:lang w:eastAsia="zh-CN"/>
            </w:rPr>
            <m:t>2048</m:t>
          </m:r>
          <m:r>
            <w:rPr>
              <w:rStyle w:val="Hyperlink"/>
              <w:rFonts w:ascii="Cambria Math" w:hAnsi="Cambria Math"/>
              <w:noProof/>
              <w:lang w:eastAsia="zh-CN"/>
            </w:rPr>
            <m:t>+</m:t>
          </m:r>
          <m:r>
            <m:rPr>
              <m:sty m:val="bi"/>
            </m:rPr>
            <w:rPr>
              <w:rStyle w:val="Hyperlink"/>
              <w:rFonts w:ascii="Cambria Math" w:hAnsi="Cambria Math"/>
              <w:noProof/>
              <w:lang w:eastAsia="zh-CN"/>
            </w:rPr>
            <m:t>144</m:t>
          </m:r>
          <m:r>
            <w:rPr>
              <w:rStyle w:val="Hyperlink"/>
              <w:rFonts w:ascii="Cambria Math" w:hAnsi="Cambria Math"/>
              <w:noProof/>
              <w:lang w:eastAsia="zh-CN"/>
            </w:rPr>
            <m:t>⋅</m:t>
          </m:r>
          <m:r>
            <m:rPr>
              <m:sty m:val="bi"/>
            </m:rPr>
            <w:rPr>
              <w:rStyle w:val="Hyperlink"/>
              <w:rFonts w:ascii="Cambria Math" w:hAnsi="Cambria Math"/>
              <w:noProof/>
              <w:lang w:eastAsia="zh-CN"/>
            </w:rPr>
            <m:t>κ</m:t>
          </m:r>
          <m:r>
            <w:rPr>
              <w:rStyle w:val="Hyperlink"/>
              <w:rFonts w:ascii="Cambria Math" w:hAnsi="Cambria Math"/>
              <w:noProof/>
              <w:lang w:eastAsia="zh-CN"/>
            </w:rPr>
            <m:t>⋅</m:t>
          </m:r>
          <m:r>
            <m:rPr>
              <m:sty m:val="bi"/>
            </m:rPr>
            <w:rPr>
              <w:rStyle w:val="Hyperlink"/>
              <w:rFonts w:ascii="Cambria Math" w:hAnsi="Cambria Math"/>
              <w:noProof/>
              <w:lang w:eastAsia="zh-CN"/>
            </w:rPr>
            <m:t>2</m:t>
          </m:r>
          <m:r>
            <w:rPr>
              <w:rStyle w:val="Hyperlink"/>
              <w:rFonts w:ascii="Cambria Math" w:hAnsi="Cambria Math"/>
              <w:noProof/>
              <w:lang w:eastAsia="zh-CN"/>
            </w:rPr>
            <m:t>-</m:t>
          </m:r>
          <m:r>
            <m:rPr>
              <m:sty m:val="bi"/>
            </m:rPr>
            <w:rPr>
              <w:rStyle w:val="Hyperlink"/>
              <w:rFonts w:ascii="Cambria Math" w:hAnsi="Cambria Math"/>
              <w:noProof/>
              <w:lang w:eastAsia="zh-CN"/>
            </w:rPr>
            <m:t>μ</m:t>
          </m:r>
          <m:r>
            <w:rPr>
              <w:rStyle w:val="Hyperlink"/>
              <w:rFonts w:ascii="Cambria Math" w:hAnsi="Cambria Math"/>
              <w:noProof/>
              <w:lang w:eastAsia="zh-CN"/>
            </w:rPr>
            <m:t>⋅</m:t>
          </m:r>
          <m:r>
            <m:rPr>
              <m:sty m:val="bi"/>
            </m:rPr>
            <w:rPr>
              <w:rStyle w:val="Hyperlink"/>
              <w:rFonts w:ascii="Cambria Math" w:hAnsi="Cambria Math"/>
              <w:noProof/>
              <w:lang w:eastAsia="zh-CN"/>
            </w:rPr>
            <m:t>Tc</m:t>
          </m:r>
        </m:oMath>
        <w:r w:rsidR="00AF028B" w:rsidRPr="00655660">
          <w:rPr>
            <w:rStyle w:val="Hyperlink"/>
            <w:bCs/>
            <w:noProof/>
            <w:lang w:eastAsia="zh-CN"/>
          </w:rPr>
          <w:t>, including the effect of time advance, after the end of the PSFCH resource, where</w:t>
        </w:r>
      </w:hyperlink>
    </w:p>
    <w:p w14:paraId="4EAB702A" w14:textId="77777777" w:rsidR="00AF028B" w:rsidRPr="00603711" w:rsidRDefault="00AF028B" w:rsidP="00AF028B">
      <w:pPr>
        <w:pStyle w:val="ListParagraph"/>
        <w:numPr>
          <w:ilvl w:val="0"/>
          <w:numId w:val="38"/>
        </w:numPr>
        <w:jc w:val="both"/>
        <w:rPr>
          <w:bCs/>
          <w:lang w:eastAsia="zh-CN"/>
        </w:rPr>
      </w:pPr>
      <m:oMath>
        <m:r>
          <w:rPr>
            <w:rFonts w:ascii="Cambria Math" w:hAnsi="Cambria Math"/>
            <w:lang w:eastAsia="zh-CN"/>
          </w:rPr>
          <m:t>κ</m:t>
        </m:r>
      </m:oMath>
      <w:r w:rsidRPr="00603711">
        <w:rPr>
          <w:bCs/>
          <w:lang w:eastAsia="zh-CN"/>
        </w:rPr>
        <w:t xml:space="preserve"> and </w:t>
      </w:r>
      <m:oMath>
        <m:sSub>
          <m:sSubPr>
            <m:ctrlPr>
              <w:rPr>
                <w:rFonts w:ascii="Cambria Math" w:hAnsi="Cambria Math"/>
                <w:bCs/>
                <w:i/>
                <w:lang w:eastAsia="zh-CN"/>
              </w:rPr>
            </m:ctrlPr>
          </m:sSubPr>
          <m:e>
            <m:r>
              <w:rPr>
                <w:rFonts w:ascii="Cambria Math" w:hAnsi="Cambria Math"/>
                <w:lang w:eastAsia="zh-CN"/>
              </w:rPr>
              <m:t>T</m:t>
            </m:r>
          </m:e>
          <m:sub>
            <m:r>
              <w:rPr>
                <w:rFonts w:ascii="Cambria Math" w:hAnsi="Cambria Math"/>
                <w:lang w:eastAsia="zh-CN"/>
              </w:rPr>
              <m:t>c</m:t>
            </m:r>
          </m:sub>
        </m:sSub>
      </m:oMath>
      <w:r w:rsidRPr="00603711">
        <w:rPr>
          <w:bCs/>
          <w:lang w:eastAsia="zh-CN"/>
        </w:rPr>
        <w:t xml:space="preserve"> are defined in clause 4.1 of [TS 38.211]</w:t>
      </w:r>
    </w:p>
    <w:p w14:paraId="21FAD313" w14:textId="77777777" w:rsidR="00AF028B" w:rsidRPr="00603711" w:rsidRDefault="00AF028B" w:rsidP="00AF028B">
      <w:pPr>
        <w:pStyle w:val="ListParagraph"/>
        <w:numPr>
          <w:ilvl w:val="0"/>
          <w:numId w:val="38"/>
        </w:numPr>
        <w:jc w:val="both"/>
        <w:rPr>
          <w:bCs/>
          <w:lang w:eastAsia="zh-CN"/>
        </w:rPr>
      </w:pPr>
      <m:oMath>
        <m:r>
          <w:rPr>
            <w:rFonts w:ascii="Cambria Math" w:hAnsi="Cambria Math"/>
            <w:lang w:eastAsia="zh-CN"/>
          </w:rPr>
          <m:t>μ</m:t>
        </m:r>
      </m:oMath>
      <w:r w:rsidRPr="00603711">
        <w:rPr>
          <w:bCs/>
          <w:lang w:eastAsia="zh-CN"/>
        </w:rPr>
        <w:t xml:space="preserve"> corresponds to the minimum sub-carrier of PDCCH, PSFCH, and PUCCH.</w:t>
      </w:r>
    </w:p>
    <w:p w14:paraId="2E80553F" w14:textId="77777777" w:rsidR="00AF028B" w:rsidRPr="00603711" w:rsidRDefault="00AF028B" w:rsidP="00AF028B">
      <w:pPr>
        <w:pStyle w:val="ListParagraph"/>
        <w:numPr>
          <w:ilvl w:val="0"/>
          <w:numId w:val="38"/>
        </w:numPr>
        <w:jc w:val="both"/>
        <w:rPr>
          <w:bCs/>
          <w:lang w:eastAsia="zh-CN"/>
        </w:rPr>
      </w:pPr>
      <m:oMath>
        <m:sSub>
          <m:sSubPr>
            <m:ctrlPr>
              <w:rPr>
                <w:rFonts w:ascii="Cambria Math" w:hAnsi="Cambria Math"/>
                <w:bCs/>
                <w:i/>
                <w:lang w:eastAsia="zh-CN"/>
              </w:rPr>
            </m:ctrlPr>
          </m:sSubPr>
          <m:e>
            <m:r>
              <w:rPr>
                <w:rFonts w:ascii="Cambria Math" w:hAnsi="Cambria Math"/>
                <w:lang w:eastAsia="zh-CN"/>
              </w:rPr>
              <m:t>N</m:t>
            </m:r>
          </m:e>
          <m:sub>
            <m:r>
              <w:rPr>
                <w:rFonts w:ascii="Cambria Math" w:hAnsi="Cambria Math"/>
                <w:lang w:eastAsia="zh-CN"/>
              </w:rPr>
              <m:t>PSFCH-PUCCH</m:t>
            </m:r>
          </m:sub>
        </m:sSub>
      </m:oMath>
      <w:r w:rsidRPr="00603711">
        <w:rPr>
          <w:bCs/>
          <w:lang w:eastAsia="zh-CN"/>
        </w:rPr>
        <w:t xml:space="preserve"> is {</w:t>
      </w:r>
      <w:r>
        <w:rPr>
          <w:bCs/>
          <w:lang w:eastAsia="zh-CN"/>
        </w:rPr>
        <w:t>13</w:t>
      </w:r>
      <w:r w:rsidRPr="00603711">
        <w:rPr>
          <w:bCs/>
          <w:lang w:eastAsia="zh-CN"/>
        </w:rPr>
        <w:t xml:space="preserve">, </w:t>
      </w:r>
      <w:r>
        <w:rPr>
          <w:bCs/>
          <w:lang w:eastAsia="zh-CN"/>
        </w:rPr>
        <w:t>13</w:t>
      </w:r>
      <w:r w:rsidRPr="00603711">
        <w:rPr>
          <w:bCs/>
          <w:lang w:eastAsia="zh-CN"/>
        </w:rPr>
        <w:t xml:space="preserve">, </w:t>
      </w:r>
      <w:r>
        <w:rPr>
          <w:bCs/>
          <w:lang w:eastAsia="zh-CN"/>
        </w:rPr>
        <w:t>20</w:t>
      </w:r>
      <w:r w:rsidRPr="00603711">
        <w:rPr>
          <w:bCs/>
          <w:lang w:eastAsia="zh-CN"/>
        </w:rPr>
        <w:t xml:space="preserve">, </w:t>
      </w:r>
      <w:r>
        <w:rPr>
          <w:bCs/>
          <w:lang w:eastAsia="zh-CN"/>
        </w:rPr>
        <w:t>24</w:t>
      </w:r>
      <w:r w:rsidRPr="00603711">
        <w:rPr>
          <w:bCs/>
          <w:lang w:eastAsia="zh-CN"/>
        </w:rPr>
        <w:t xml:space="preserve">} for </w:t>
      </w:r>
      <m:oMath>
        <m:r>
          <w:rPr>
            <w:rFonts w:ascii="Cambria Math" w:hAnsi="Cambria Math"/>
            <w:lang w:eastAsia="zh-CN"/>
          </w:rPr>
          <m:t>μ=0,1,2,3</m:t>
        </m:r>
      </m:oMath>
      <w:r w:rsidRPr="00603711">
        <w:rPr>
          <w:bCs/>
          <w:lang w:eastAsia="zh-CN"/>
        </w:rPr>
        <w:t>, respectively.</w:t>
      </w:r>
    </w:p>
    <w:bookmarkStart w:id="10" w:name="_GoBack"/>
    <w:bookmarkEnd w:id="10"/>
    <w:p w14:paraId="5BD8B85A" w14:textId="77777777" w:rsidR="00AF028B" w:rsidRDefault="00AF028B">
      <w:pPr>
        <w:pStyle w:val="TableofFigures"/>
        <w:tabs>
          <w:tab w:val="right" w:leader="dot" w:pos="9350"/>
        </w:tabs>
        <w:rPr>
          <w:rFonts w:asciiTheme="minorHAnsi" w:eastAsiaTheme="minorEastAsia" w:hAnsiTheme="minorHAnsi" w:cstheme="minorBidi"/>
          <w:noProof/>
          <w:sz w:val="22"/>
          <w:szCs w:val="22"/>
          <w:lang w:val="en-US"/>
        </w:rPr>
      </w:pPr>
      <w:r w:rsidRPr="00655660">
        <w:rPr>
          <w:rStyle w:val="Hyperlink"/>
          <w:noProof/>
        </w:rPr>
        <w:fldChar w:fldCharType="begin"/>
      </w:r>
      <w:r w:rsidRPr="00655660">
        <w:rPr>
          <w:rStyle w:val="Hyperlink"/>
          <w:noProof/>
        </w:rPr>
        <w:instrText xml:space="preserve"> </w:instrText>
      </w:r>
      <w:r>
        <w:rPr>
          <w:noProof/>
        </w:rPr>
        <w:instrText>HYPERLINK \l "_Toc37444690"</w:instrText>
      </w:r>
      <w:r w:rsidRPr="00655660">
        <w:rPr>
          <w:rStyle w:val="Hyperlink"/>
          <w:noProof/>
        </w:rPr>
        <w:instrText xml:space="preserve"> </w:instrText>
      </w:r>
      <w:r w:rsidRPr="00655660">
        <w:rPr>
          <w:rStyle w:val="Hyperlink"/>
          <w:noProof/>
        </w:rPr>
      </w:r>
      <w:r w:rsidRPr="00655660">
        <w:rPr>
          <w:rStyle w:val="Hyperlink"/>
          <w:noProof/>
        </w:rPr>
        <w:fldChar w:fldCharType="separate"/>
      </w:r>
      <w:r w:rsidRPr="00655660">
        <w:rPr>
          <w:rStyle w:val="Hyperlink"/>
          <w:noProof/>
        </w:rPr>
        <w:t>Proposal 2: When the maximum number of retransmissions as configured by higher layers is reached, the UE reports ACK to the gNB.</w:t>
      </w:r>
      <w:r w:rsidRPr="00655660">
        <w:rPr>
          <w:rStyle w:val="Hyperlink"/>
          <w:noProof/>
        </w:rPr>
        <w:fldChar w:fldCharType="end"/>
      </w:r>
    </w:p>
    <w:p w14:paraId="24254CE2" w14:textId="77777777" w:rsidR="00AF028B" w:rsidRDefault="00AF028B">
      <w:pPr>
        <w:pStyle w:val="TableofFigures"/>
        <w:tabs>
          <w:tab w:val="right" w:leader="dot" w:pos="9350"/>
        </w:tabs>
        <w:rPr>
          <w:rFonts w:asciiTheme="minorHAnsi" w:eastAsiaTheme="minorEastAsia" w:hAnsiTheme="minorHAnsi" w:cstheme="minorBidi"/>
          <w:noProof/>
          <w:sz w:val="22"/>
          <w:szCs w:val="22"/>
          <w:lang w:val="en-US"/>
        </w:rPr>
      </w:pPr>
      <w:hyperlink w:anchor="_Toc37444691" w:history="1">
        <w:r w:rsidRPr="00655660">
          <w:rPr>
            <w:rStyle w:val="Hyperlink"/>
            <w:noProof/>
          </w:rPr>
          <w:t>Proposal 3: When sidelink feedback is disabled, the UE reports ACK to the gNB if the target number of retransmissions is reached. Otherwise, it reports NACK.</w:t>
        </w:r>
      </w:hyperlink>
    </w:p>
    <w:p w14:paraId="3D60BF86" w14:textId="4A36774E" w:rsidR="00603711" w:rsidRDefault="00603711" w:rsidP="00603711">
      <w:pPr>
        <w:rPr>
          <w:color w:val="FF0000"/>
          <w:lang w:val="en-US" w:eastAsia="zh-CN"/>
        </w:rPr>
      </w:pPr>
      <w:r>
        <w:rPr>
          <w:color w:val="FF0000"/>
          <w:lang w:val="en-US" w:eastAsia="zh-CN"/>
        </w:rPr>
        <w:fldChar w:fldCharType="end"/>
      </w:r>
    </w:p>
    <w:p w14:paraId="5C38F1F2" w14:textId="27B7BE63" w:rsidR="008234EA" w:rsidRPr="008234EA" w:rsidRDefault="008234EA" w:rsidP="008234EA">
      <w:pPr>
        <w:rPr>
          <w:lang w:eastAsia="zh-CN"/>
        </w:rPr>
      </w:pPr>
    </w:p>
    <w:p w14:paraId="68E19F63" w14:textId="10B5C917" w:rsidR="002429D9" w:rsidRPr="00BE5B8C" w:rsidRDefault="002429D9" w:rsidP="00F756EC">
      <w:pPr>
        <w:pStyle w:val="Heading1"/>
      </w:pPr>
      <w:r>
        <w:t>References</w:t>
      </w:r>
      <w:bookmarkStart w:id="11" w:name="_Hlk4777878"/>
    </w:p>
    <w:bookmarkEnd w:id="11"/>
    <w:p w14:paraId="40D3CB11" w14:textId="1DF45887" w:rsidR="002429D9"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r>
        <w:rPr>
          <w:bCs/>
          <w:kern w:val="2"/>
          <w:sz w:val="20"/>
        </w:rPr>
        <w:t xml:space="preserve">3GPP TS </w:t>
      </w:r>
      <w:r w:rsidR="001774E3">
        <w:rPr>
          <w:bCs/>
          <w:kern w:val="2"/>
          <w:sz w:val="20"/>
        </w:rPr>
        <w:t>38.211</w:t>
      </w:r>
      <w:r>
        <w:rPr>
          <w:bCs/>
          <w:kern w:val="2"/>
          <w:sz w:val="20"/>
        </w:rPr>
        <w:t xml:space="preserve"> V16.</w:t>
      </w:r>
      <w:r w:rsidR="00915ACC">
        <w:rPr>
          <w:bCs/>
          <w:kern w:val="2"/>
          <w:sz w:val="20"/>
        </w:rPr>
        <w:t>1</w:t>
      </w:r>
      <w:r>
        <w:rPr>
          <w:bCs/>
          <w:kern w:val="2"/>
          <w:sz w:val="20"/>
        </w:rPr>
        <w:t>.0, NR, Physical Channels and Modulation (Release 16).</w:t>
      </w:r>
    </w:p>
    <w:p w14:paraId="3207DD27" w14:textId="6BE3067C" w:rsidR="001774E3" w:rsidRPr="001774E3" w:rsidRDefault="0098759D" w:rsidP="001774E3">
      <w:pPr>
        <w:pStyle w:val="Reference"/>
        <w:numPr>
          <w:ilvl w:val="0"/>
          <w:numId w:val="6"/>
        </w:numPr>
        <w:overflowPunct/>
        <w:autoSpaceDE/>
        <w:autoSpaceDN/>
        <w:adjustRightInd/>
        <w:spacing w:before="120" w:after="0" w:line="280" w:lineRule="atLeast"/>
        <w:textAlignment w:val="auto"/>
        <w:rPr>
          <w:bCs/>
          <w:kern w:val="2"/>
          <w:sz w:val="20"/>
        </w:rPr>
      </w:pPr>
      <w:bookmarkStart w:id="12" w:name="_Hlk32587763"/>
      <w:r>
        <w:rPr>
          <w:bCs/>
          <w:kern w:val="2"/>
          <w:sz w:val="20"/>
        </w:rPr>
        <w:t xml:space="preserve">3GPP </w:t>
      </w:r>
      <w:r w:rsidR="001774E3">
        <w:rPr>
          <w:bCs/>
          <w:kern w:val="2"/>
          <w:sz w:val="20"/>
        </w:rPr>
        <w:t>TS 38.212</w:t>
      </w:r>
      <w:r>
        <w:rPr>
          <w:bCs/>
          <w:kern w:val="2"/>
          <w:sz w:val="20"/>
        </w:rPr>
        <w:t xml:space="preserve"> V16.</w:t>
      </w:r>
      <w:r w:rsidR="00915ACC">
        <w:rPr>
          <w:bCs/>
          <w:kern w:val="2"/>
          <w:sz w:val="20"/>
        </w:rPr>
        <w:t>1</w:t>
      </w:r>
      <w:r>
        <w:rPr>
          <w:bCs/>
          <w:kern w:val="2"/>
          <w:sz w:val="20"/>
        </w:rPr>
        <w:t>.0, NR, Multiplexing and Channel Coding (Release 16).</w:t>
      </w:r>
      <w:bookmarkEnd w:id="12"/>
    </w:p>
    <w:p w14:paraId="5BE594B6" w14:textId="0F397C8C" w:rsidR="001774E3" w:rsidRP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3" w:name="_Hlk32587768"/>
      <w:r>
        <w:rPr>
          <w:bCs/>
          <w:kern w:val="2"/>
          <w:sz w:val="20"/>
        </w:rPr>
        <w:t xml:space="preserve">3GPP </w:t>
      </w:r>
      <w:r w:rsidR="001774E3">
        <w:rPr>
          <w:bCs/>
          <w:kern w:val="2"/>
          <w:sz w:val="20"/>
        </w:rPr>
        <w:t>TS 38.213</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C</w:t>
      </w:r>
      <w:r w:rsidRPr="00EC3496">
        <w:rPr>
          <w:bCs/>
          <w:kern w:val="2"/>
          <w:sz w:val="20"/>
        </w:rPr>
        <w:t>ontrol</w:t>
      </w:r>
      <w:r>
        <w:rPr>
          <w:bCs/>
          <w:kern w:val="2"/>
          <w:sz w:val="20"/>
        </w:rPr>
        <w:t xml:space="preserve"> (Release 16).</w:t>
      </w:r>
      <w:bookmarkEnd w:id="13"/>
    </w:p>
    <w:p w14:paraId="4FD1787B" w14:textId="5F6AE051" w:rsidR="001774E3" w:rsidRDefault="00EC3496" w:rsidP="001774E3">
      <w:pPr>
        <w:pStyle w:val="Reference"/>
        <w:numPr>
          <w:ilvl w:val="0"/>
          <w:numId w:val="6"/>
        </w:numPr>
        <w:overflowPunct/>
        <w:autoSpaceDE/>
        <w:autoSpaceDN/>
        <w:adjustRightInd/>
        <w:spacing w:before="120" w:after="0" w:line="280" w:lineRule="atLeast"/>
        <w:textAlignment w:val="auto"/>
        <w:rPr>
          <w:bCs/>
          <w:kern w:val="2"/>
          <w:sz w:val="20"/>
        </w:rPr>
      </w:pPr>
      <w:bookmarkStart w:id="14" w:name="_Hlk32587775"/>
      <w:r>
        <w:rPr>
          <w:bCs/>
          <w:kern w:val="2"/>
          <w:sz w:val="20"/>
        </w:rPr>
        <w:t xml:space="preserve">3GPP </w:t>
      </w:r>
      <w:r w:rsidR="001774E3">
        <w:rPr>
          <w:bCs/>
          <w:kern w:val="2"/>
          <w:sz w:val="20"/>
        </w:rPr>
        <w:t>TS 38.214</w:t>
      </w:r>
      <w:r>
        <w:rPr>
          <w:bCs/>
          <w:kern w:val="2"/>
          <w:sz w:val="20"/>
        </w:rPr>
        <w:t xml:space="preserve"> V16.</w:t>
      </w:r>
      <w:r w:rsidR="00915ACC">
        <w:rPr>
          <w:bCs/>
          <w:kern w:val="2"/>
          <w:sz w:val="20"/>
        </w:rPr>
        <w:t>1</w:t>
      </w:r>
      <w:r>
        <w:rPr>
          <w:bCs/>
          <w:kern w:val="2"/>
          <w:sz w:val="20"/>
        </w:rPr>
        <w:t xml:space="preserve">.0, NR, </w:t>
      </w:r>
      <w:r w:rsidRPr="00EC3496">
        <w:rPr>
          <w:bCs/>
          <w:kern w:val="2"/>
          <w:sz w:val="20"/>
        </w:rPr>
        <w:t xml:space="preserve">Physical </w:t>
      </w:r>
      <w:r>
        <w:rPr>
          <w:bCs/>
          <w:kern w:val="2"/>
          <w:sz w:val="20"/>
        </w:rPr>
        <w:t>L</w:t>
      </w:r>
      <w:r w:rsidRPr="00EC3496">
        <w:rPr>
          <w:bCs/>
          <w:kern w:val="2"/>
          <w:sz w:val="20"/>
        </w:rPr>
        <w:t xml:space="preserve">ayer </w:t>
      </w:r>
      <w:r>
        <w:rPr>
          <w:bCs/>
          <w:kern w:val="2"/>
          <w:sz w:val="20"/>
        </w:rPr>
        <w:t>P</w:t>
      </w:r>
      <w:r w:rsidRPr="00EC3496">
        <w:rPr>
          <w:bCs/>
          <w:kern w:val="2"/>
          <w:sz w:val="20"/>
        </w:rPr>
        <w:t xml:space="preserve">rocedures for </w:t>
      </w:r>
      <w:r>
        <w:rPr>
          <w:bCs/>
          <w:kern w:val="2"/>
          <w:sz w:val="20"/>
        </w:rPr>
        <w:t>D</w:t>
      </w:r>
      <w:r w:rsidRPr="00EC3496">
        <w:rPr>
          <w:bCs/>
          <w:kern w:val="2"/>
          <w:sz w:val="20"/>
        </w:rPr>
        <w:t>ata</w:t>
      </w:r>
      <w:r>
        <w:rPr>
          <w:bCs/>
          <w:kern w:val="2"/>
          <w:sz w:val="20"/>
        </w:rPr>
        <w:t xml:space="preserve"> (Release 16).</w:t>
      </w:r>
      <w:bookmarkEnd w:id="14"/>
    </w:p>
    <w:p w14:paraId="6D102B45" w14:textId="31D5E49C" w:rsidR="00F6426B" w:rsidRDefault="00F6426B" w:rsidP="0098759D">
      <w:pPr>
        <w:pStyle w:val="Reference"/>
        <w:numPr>
          <w:ilvl w:val="0"/>
          <w:numId w:val="6"/>
        </w:numPr>
        <w:overflowPunct/>
        <w:autoSpaceDE/>
        <w:autoSpaceDN/>
        <w:adjustRightInd/>
        <w:spacing w:before="120" w:after="0" w:line="280" w:lineRule="atLeast"/>
        <w:textAlignment w:val="auto"/>
        <w:rPr>
          <w:bCs/>
          <w:kern w:val="2"/>
          <w:sz w:val="20"/>
          <w:szCs w:val="18"/>
        </w:rPr>
      </w:pPr>
      <w:bookmarkStart w:id="15" w:name="_Ref32590964"/>
      <w:r>
        <w:rPr>
          <w:bCs/>
          <w:kern w:val="2"/>
          <w:sz w:val="20"/>
          <w:szCs w:val="18"/>
        </w:rPr>
        <w:lastRenderedPageBreak/>
        <w:t>Chairman’s Notes, RAN1 #99, November 2019, Reno, USA.</w:t>
      </w:r>
      <w:bookmarkEnd w:id="15"/>
    </w:p>
    <w:p w14:paraId="6367CE5A" w14:textId="774C7119" w:rsidR="00F62851" w:rsidRPr="00E74DD6" w:rsidRDefault="00D1579E" w:rsidP="00E74DD6">
      <w:pPr>
        <w:pStyle w:val="Reference"/>
        <w:numPr>
          <w:ilvl w:val="0"/>
          <w:numId w:val="6"/>
        </w:numPr>
        <w:overflowPunct/>
        <w:autoSpaceDE/>
        <w:autoSpaceDN/>
        <w:adjustRightInd/>
        <w:spacing w:before="120" w:after="0" w:line="280" w:lineRule="atLeast"/>
        <w:textAlignment w:val="auto"/>
        <w:rPr>
          <w:bCs/>
          <w:kern w:val="2"/>
          <w:sz w:val="20"/>
          <w:szCs w:val="18"/>
        </w:rPr>
      </w:pPr>
      <w:bookmarkStart w:id="16" w:name="_Ref37238208"/>
      <w:r>
        <w:rPr>
          <w:bCs/>
          <w:kern w:val="2"/>
          <w:sz w:val="20"/>
          <w:szCs w:val="18"/>
        </w:rPr>
        <w:t>Chairman’s Notes, RAN1 #100e, March 2020.</w:t>
      </w:r>
      <w:bookmarkEnd w:id="16"/>
    </w:p>
    <w:sectPr w:rsidR="00F62851" w:rsidRPr="00E74D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75C62D" w14:textId="77777777" w:rsidR="00767E9B" w:rsidRDefault="00767E9B" w:rsidP="005D6179">
      <w:pPr>
        <w:spacing w:after="0"/>
      </w:pPr>
      <w:r>
        <w:separator/>
      </w:r>
    </w:p>
  </w:endnote>
  <w:endnote w:type="continuationSeparator" w:id="0">
    <w:p w14:paraId="24750A25" w14:textId="77777777" w:rsidR="00767E9B" w:rsidRDefault="00767E9B" w:rsidP="005D6179">
      <w:pPr>
        <w:spacing w:after="0"/>
      </w:pPr>
      <w:r>
        <w:continuationSeparator/>
      </w:r>
    </w:p>
  </w:endnote>
  <w:endnote w:type="continuationNotice" w:id="1">
    <w:p w14:paraId="5A735EF7" w14:textId="77777777" w:rsidR="00767E9B" w:rsidRDefault="00767E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00000287" w:usb1="09060000" w:usb2="0000001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F7DED2" w14:textId="77777777" w:rsidR="00767E9B" w:rsidRDefault="00767E9B" w:rsidP="005D6179">
      <w:pPr>
        <w:spacing w:after="0"/>
      </w:pPr>
      <w:r>
        <w:separator/>
      </w:r>
    </w:p>
  </w:footnote>
  <w:footnote w:type="continuationSeparator" w:id="0">
    <w:p w14:paraId="1AA1074E" w14:textId="77777777" w:rsidR="00767E9B" w:rsidRDefault="00767E9B" w:rsidP="005D6179">
      <w:pPr>
        <w:spacing w:after="0"/>
      </w:pPr>
      <w:r>
        <w:continuationSeparator/>
      </w:r>
    </w:p>
  </w:footnote>
  <w:footnote w:type="continuationNotice" w:id="1">
    <w:p w14:paraId="69227920" w14:textId="77777777" w:rsidR="00767E9B" w:rsidRDefault="00767E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6179E"/>
    <w:multiLevelType w:val="hybridMultilevel"/>
    <w:tmpl w:val="63AC3D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04418F"/>
    <w:multiLevelType w:val="hybridMultilevel"/>
    <w:tmpl w:val="842E6084"/>
    <w:lvl w:ilvl="0" w:tplc="D2080B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5"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EB6024"/>
    <w:multiLevelType w:val="hybridMultilevel"/>
    <w:tmpl w:val="0BBA59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211878"/>
    <w:multiLevelType w:val="hybridMultilevel"/>
    <w:tmpl w:val="EE26D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DC135C"/>
    <w:multiLevelType w:val="hybridMultilevel"/>
    <w:tmpl w:val="8F985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682598"/>
    <w:multiLevelType w:val="hybridMultilevel"/>
    <w:tmpl w:val="9C9C7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7" w15:restartNumberingAfterBreak="0">
    <w:nsid w:val="449D76CC"/>
    <w:multiLevelType w:val="hybridMultilevel"/>
    <w:tmpl w:val="9B1CFB9C"/>
    <w:lvl w:ilvl="0" w:tplc="48D0CD7A">
      <w:start w:val="1"/>
      <w:numFmt w:val="bullet"/>
      <w:lvlText w:val="◦"/>
      <w:lvlJc w:val="left"/>
      <w:pPr>
        <w:tabs>
          <w:tab w:val="num" w:pos="720"/>
        </w:tabs>
        <w:ind w:left="720" w:hanging="360"/>
      </w:pPr>
      <w:rPr>
        <w:rFonts w:ascii="Microsoft Sans Serif" w:hAnsi="Microsoft Sans Serif" w:hint="default"/>
      </w:rPr>
    </w:lvl>
    <w:lvl w:ilvl="1" w:tplc="4B4E78C8">
      <w:start w:val="1"/>
      <w:numFmt w:val="bullet"/>
      <w:lvlText w:val="◦"/>
      <w:lvlJc w:val="left"/>
      <w:pPr>
        <w:tabs>
          <w:tab w:val="num" w:pos="1440"/>
        </w:tabs>
        <w:ind w:left="1440" w:hanging="360"/>
      </w:pPr>
      <w:rPr>
        <w:rFonts w:ascii="Microsoft Sans Serif" w:hAnsi="Microsoft Sans Serif" w:hint="default"/>
      </w:rPr>
    </w:lvl>
    <w:lvl w:ilvl="2" w:tplc="2E6A23FE" w:tentative="1">
      <w:start w:val="1"/>
      <w:numFmt w:val="bullet"/>
      <w:lvlText w:val="◦"/>
      <w:lvlJc w:val="left"/>
      <w:pPr>
        <w:tabs>
          <w:tab w:val="num" w:pos="2160"/>
        </w:tabs>
        <w:ind w:left="2160" w:hanging="360"/>
      </w:pPr>
      <w:rPr>
        <w:rFonts w:ascii="Microsoft Sans Serif" w:hAnsi="Microsoft Sans Serif" w:hint="default"/>
      </w:rPr>
    </w:lvl>
    <w:lvl w:ilvl="3" w:tplc="286E72F2" w:tentative="1">
      <w:start w:val="1"/>
      <w:numFmt w:val="bullet"/>
      <w:lvlText w:val="◦"/>
      <w:lvlJc w:val="left"/>
      <w:pPr>
        <w:tabs>
          <w:tab w:val="num" w:pos="2880"/>
        </w:tabs>
        <w:ind w:left="2880" w:hanging="360"/>
      </w:pPr>
      <w:rPr>
        <w:rFonts w:ascii="Microsoft Sans Serif" w:hAnsi="Microsoft Sans Serif" w:hint="default"/>
      </w:rPr>
    </w:lvl>
    <w:lvl w:ilvl="4" w:tplc="0A388B94" w:tentative="1">
      <w:start w:val="1"/>
      <w:numFmt w:val="bullet"/>
      <w:lvlText w:val="◦"/>
      <w:lvlJc w:val="left"/>
      <w:pPr>
        <w:tabs>
          <w:tab w:val="num" w:pos="3600"/>
        </w:tabs>
        <w:ind w:left="3600" w:hanging="360"/>
      </w:pPr>
      <w:rPr>
        <w:rFonts w:ascii="Microsoft Sans Serif" w:hAnsi="Microsoft Sans Serif" w:hint="default"/>
      </w:rPr>
    </w:lvl>
    <w:lvl w:ilvl="5" w:tplc="102CE9CE" w:tentative="1">
      <w:start w:val="1"/>
      <w:numFmt w:val="bullet"/>
      <w:lvlText w:val="◦"/>
      <w:lvlJc w:val="left"/>
      <w:pPr>
        <w:tabs>
          <w:tab w:val="num" w:pos="4320"/>
        </w:tabs>
        <w:ind w:left="4320" w:hanging="360"/>
      </w:pPr>
      <w:rPr>
        <w:rFonts w:ascii="Microsoft Sans Serif" w:hAnsi="Microsoft Sans Serif" w:hint="default"/>
      </w:rPr>
    </w:lvl>
    <w:lvl w:ilvl="6" w:tplc="2C10BA5A" w:tentative="1">
      <w:start w:val="1"/>
      <w:numFmt w:val="bullet"/>
      <w:lvlText w:val="◦"/>
      <w:lvlJc w:val="left"/>
      <w:pPr>
        <w:tabs>
          <w:tab w:val="num" w:pos="5040"/>
        </w:tabs>
        <w:ind w:left="5040" w:hanging="360"/>
      </w:pPr>
      <w:rPr>
        <w:rFonts w:ascii="Microsoft Sans Serif" w:hAnsi="Microsoft Sans Serif" w:hint="default"/>
      </w:rPr>
    </w:lvl>
    <w:lvl w:ilvl="7" w:tplc="87CE8CB8" w:tentative="1">
      <w:start w:val="1"/>
      <w:numFmt w:val="bullet"/>
      <w:lvlText w:val="◦"/>
      <w:lvlJc w:val="left"/>
      <w:pPr>
        <w:tabs>
          <w:tab w:val="num" w:pos="5760"/>
        </w:tabs>
        <w:ind w:left="5760" w:hanging="360"/>
      </w:pPr>
      <w:rPr>
        <w:rFonts w:ascii="Microsoft Sans Serif" w:hAnsi="Microsoft Sans Serif" w:hint="default"/>
      </w:rPr>
    </w:lvl>
    <w:lvl w:ilvl="8" w:tplc="1290855E"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46C54251"/>
    <w:multiLevelType w:val="hybridMultilevel"/>
    <w:tmpl w:val="D484847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9602A6D"/>
    <w:multiLevelType w:val="hybridMultilevel"/>
    <w:tmpl w:val="B4EC3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4EDE6714"/>
    <w:multiLevelType w:val="hybridMultilevel"/>
    <w:tmpl w:val="CFF0CD12"/>
    <w:lvl w:ilvl="0" w:tplc="FA1A7772">
      <w:start w:val="1"/>
      <w:numFmt w:val="decimal"/>
      <w:lvlText w:val="%1.1.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FF23E0"/>
    <w:multiLevelType w:val="hybridMultilevel"/>
    <w:tmpl w:val="E2EAE78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7" w15:restartNumberingAfterBreak="0">
    <w:nsid w:val="59862CFF"/>
    <w:multiLevelType w:val="hybridMultilevel"/>
    <w:tmpl w:val="D9949160"/>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28" w15:restartNumberingAfterBreak="0">
    <w:nsid w:val="5D8B5F4C"/>
    <w:multiLevelType w:val="hybridMultilevel"/>
    <w:tmpl w:val="047EA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0" w15:restartNumberingAfterBreak="0">
    <w:nsid w:val="64CB7F19"/>
    <w:multiLevelType w:val="hybridMultilevel"/>
    <w:tmpl w:val="CCAA34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6C60E67"/>
    <w:multiLevelType w:val="hybridMultilevel"/>
    <w:tmpl w:val="91C6CCAA"/>
    <w:lvl w:ilvl="0" w:tplc="6E9A909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D07755"/>
    <w:multiLevelType w:val="hybridMultilevel"/>
    <w:tmpl w:val="747C40E8"/>
    <w:lvl w:ilvl="0" w:tplc="04090001">
      <w:start w:val="1"/>
      <w:numFmt w:val="bullet"/>
      <w:lvlText w:val=""/>
      <w:lvlJc w:val="left"/>
      <w:pPr>
        <w:ind w:left="1333" w:hanging="360"/>
      </w:pPr>
      <w:rPr>
        <w:rFonts w:ascii="Symbol" w:hAnsi="Symbol" w:hint="default"/>
      </w:rPr>
    </w:lvl>
    <w:lvl w:ilvl="1" w:tplc="04090003" w:tentative="1">
      <w:start w:val="1"/>
      <w:numFmt w:val="bullet"/>
      <w:lvlText w:val="o"/>
      <w:lvlJc w:val="left"/>
      <w:pPr>
        <w:ind w:left="2053" w:hanging="360"/>
      </w:pPr>
      <w:rPr>
        <w:rFonts w:ascii="Courier New" w:hAnsi="Courier New" w:cs="Courier New" w:hint="default"/>
      </w:rPr>
    </w:lvl>
    <w:lvl w:ilvl="2" w:tplc="04090005" w:tentative="1">
      <w:start w:val="1"/>
      <w:numFmt w:val="bullet"/>
      <w:lvlText w:val=""/>
      <w:lvlJc w:val="left"/>
      <w:pPr>
        <w:ind w:left="2773" w:hanging="360"/>
      </w:pPr>
      <w:rPr>
        <w:rFonts w:ascii="Wingdings" w:hAnsi="Wingdings" w:hint="default"/>
      </w:rPr>
    </w:lvl>
    <w:lvl w:ilvl="3" w:tplc="04090001" w:tentative="1">
      <w:start w:val="1"/>
      <w:numFmt w:val="bullet"/>
      <w:lvlText w:val=""/>
      <w:lvlJc w:val="left"/>
      <w:pPr>
        <w:ind w:left="3493" w:hanging="360"/>
      </w:pPr>
      <w:rPr>
        <w:rFonts w:ascii="Symbol" w:hAnsi="Symbol" w:hint="default"/>
      </w:rPr>
    </w:lvl>
    <w:lvl w:ilvl="4" w:tplc="04090003" w:tentative="1">
      <w:start w:val="1"/>
      <w:numFmt w:val="bullet"/>
      <w:lvlText w:val="o"/>
      <w:lvlJc w:val="left"/>
      <w:pPr>
        <w:ind w:left="4213" w:hanging="360"/>
      </w:pPr>
      <w:rPr>
        <w:rFonts w:ascii="Courier New" w:hAnsi="Courier New" w:cs="Courier New" w:hint="default"/>
      </w:rPr>
    </w:lvl>
    <w:lvl w:ilvl="5" w:tplc="04090005" w:tentative="1">
      <w:start w:val="1"/>
      <w:numFmt w:val="bullet"/>
      <w:lvlText w:val=""/>
      <w:lvlJc w:val="left"/>
      <w:pPr>
        <w:ind w:left="4933" w:hanging="360"/>
      </w:pPr>
      <w:rPr>
        <w:rFonts w:ascii="Wingdings" w:hAnsi="Wingdings" w:hint="default"/>
      </w:rPr>
    </w:lvl>
    <w:lvl w:ilvl="6" w:tplc="04090001" w:tentative="1">
      <w:start w:val="1"/>
      <w:numFmt w:val="bullet"/>
      <w:lvlText w:val=""/>
      <w:lvlJc w:val="left"/>
      <w:pPr>
        <w:ind w:left="5653" w:hanging="360"/>
      </w:pPr>
      <w:rPr>
        <w:rFonts w:ascii="Symbol" w:hAnsi="Symbol" w:hint="default"/>
      </w:rPr>
    </w:lvl>
    <w:lvl w:ilvl="7" w:tplc="04090003" w:tentative="1">
      <w:start w:val="1"/>
      <w:numFmt w:val="bullet"/>
      <w:lvlText w:val="o"/>
      <w:lvlJc w:val="left"/>
      <w:pPr>
        <w:ind w:left="6373" w:hanging="360"/>
      </w:pPr>
      <w:rPr>
        <w:rFonts w:ascii="Courier New" w:hAnsi="Courier New" w:cs="Courier New" w:hint="default"/>
      </w:rPr>
    </w:lvl>
    <w:lvl w:ilvl="8" w:tplc="04090005" w:tentative="1">
      <w:start w:val="1"/>
      <w:numFmt w:val="bullet"/>
      <w:lvlText w:val=""/>
      <w:lvlJc w:val="left"/>
      <w:pPr>
        <w:ind w:left="7093" w:hanging="360"/>
      </w:pPr>
      <w:rPr>
        <w:rFonts w:ascii="Wingdings" w:hAnsi="Wingdings" w:hint="default"/>
      </w:rPr>
    </w:lvl>
  </w:abstractNum>
  <w:abstractNum w:abstractNumId="33"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71522303"/>
    <w:multiLevelType w:val="hybridMultilevel"/>
    <w:tmpl w:val="E2B83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A2116D"/>
    <w:multiLevelType w:val="hybridMultilevel"/>
    <w:tmpl w:val="4992C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3A180C"/>
    <w:multiLevelType w:val="hybridMultilevel"/>
    <w:tmpl w:val="6B865828"/>
    <w:lvl w:ilvl="0" w:tplc="86B8E66A">
      <w:start w:val="1"/>
      <w:numFmt w:val="bullet"/>
      <w:lvlText w:val="◦"/>
      <w:lvlJc w:val="left"/>
      <w:pPr>
        <w:tabs>
          <w:tab w:val="num" w:pos="720"/>
        </w:tabs>
        <w:ind w:left="720" w:hanging="360"/>
      </w:pPr>
      <w:rPr>
        <w:rFonts w:ascii="Microsoft Sans Serif" w:hAnsi="Microsoft Sans Serif" w:hint="default"/>
      </w:rPr>
    </w:lvl>
    <w:lvl w:ilvl="1" w:tplc="FF1437FE">
      <w:start w:val="1"/>
      <w:numFmt w:val="bullet"/>
      <w:lvlText w:val="◦"/>
      <w:lvlJc w:val="left"/>
      <w:pPr>
        <w:tabs>
          <w:tab w:val="num" w:pos="1440"/>
        </w:tabs>
        <w:ind w:left="1440" w:hanging="360"/>
      </w:pPr>
      <w:rPr>
        <w:rFonts w:ascii="Microsoft Sans Serif" w:hAnsi="Microsoft Sans Serif" w:hint="default"/>
      </w:rPr>
    </w:lvl>
    <w:lvl w:ilvl="2" w:tplc="6AE0A920" w:tentative="1">
      <w:start w:val="1"/>
      <w:numFmt w:val="bullet"/>
      <w:lvlText w:val="◦"/>
      <w:lvlJc w:val="left"/>
      <w:pPr>
        <w:tabs>
          <w:tab w:val="num" w:pos="2160"/>
        </w:tabs>
        <w:ind w:left="2160" w:hanging="360"/>
      </w:pPr>
      <w:rPr>
        <w:rFonts w:ascii="Microsoft Sans Serif" w:hAnsi="Microsoft Sans Serif" w:hint="default"/>
      </w:rPr>
    </w:lvl>
    <w:lvl w:ilvl="3" w:tplc="C4A0B214" w:tentative="1">
      <w:start w:val="1"/>
      <w:numFmt w:val="bullet"/>
      <w:lvlText w:val="◦"/>
      <w:lvlJc w:val="left"/>
      <w:pPr>
        <w:tabs>
          <w:tab w:val="num" w:pos="2880"/>
        </w:tabs>
        <w:ind w:left="2880" w:hanging="360"/>
      </w:pPr>
      <w:rPr>
        <w:rFonts w:ascii="Microsoft Sans Serif" w:hAnsi="Microsoft Sans Serif" w:hint="default"/>
      </w:rPr>
    </w:lvl>
    <w:lvl w:ilvl="4" w:tplc="3594DECA" w:tentative="1">
      <w:start w:val="1"/>
      <w:numFmt w:val="bullet"/>
      <w:lvlText w:val="◦"/>
      <w:lvlJc w:val="left"/>
      <w:pPr>
        <w:tabs>
          <w:tab w:val="num" w:pos="3600"/>
        </w:tabs>
        <w:ind w:left="3600" w:hanging="360"/>
      </w:pPr>
      <w:rPr>
        <w:rFonts w:ascii="Microsoft Sans Serif" w:hAnsi="Microsoft Sans Serif" w:hint="default"/>
      </w:rPr>
    </w:lvl>
    <w:lvl w:ilvl="5" w:tplc="A4028B9C" w:tentative="1">
      <w:start w:val="1"/>
      <w:numFmt w:val="bullet"/>
      <w:lvlText w:val="◦"/>
      <w:lvlJc w:val="left"/>
      <w:pPr>
        <w:tabs>
          <w:tab w:val="num" w:pos="4320"/>
        </w:tabs>
        <w:ind w:left="4320" w:hanging="360"/>
      </w:pPr>
      <w:rPr>
        <w:rFonts w:ascii="Microsoft Sans Serif" w:hAnsi="Microsoft Sans Serif" w:hint="default"/>
      </w:rPr>
    </w:lvl>
    <w:lvl w:ilvl="6" w:tplc="782490EC" w:tentative="1">
      <w:start w:val="1"/>
      <w:numFmt w:val="bullet"/>
      <w:lvlText w:val="◦"/>
      <w:lvlJc w:val="left"/>
      <w:pPr>
        <w:tabs>
          <w:tab w:val="num" w:pos="5040"/>
        </w:tabs>
        <w:ind w:left="5040" w:hanging="360"/>
      </w:pPr>
      <w:rPr>
        <w:rFonts w:ascii="Microsoft Sans Serif" w:hAnsi="Microsoft Sans Serif" w:hint="default"/>
      </w:rPr>
    </w:lvl>
    <w:lvl w:ilvl="7" w:tplc="39E80C1E" w:tentative="1">
      <w:start w:val="1"/>
      <w:numFmt w:val="bullet"/>
      <w:lvlText w:val="◦"/>
      <w:lvlJc w:val="left"/>
      <w:pPr>
        <w:tabs>
          <w:tab w:val="num" w:pos="5760"/>
        </w:tabs>
        <w:ind w:left="5760" w:hanging="360"/>
      </w:pPr>
      <w:rPr>
        <w:rFonts w:ascii="Microsoft Sans Serif" w:hAnsi="Microsoft Sans Serif" w:hint="default"/>
      </w:rPr>
    </w:lvl>
    <w:lvl w:ilvl="8" w:tplc="3FE6B682" w:tentative="1">
      <w:start w:val="1"/>
      <w:numFmt w:val="bullet"/>
      <w:lvlText w:val="◦"/>
      <w:lvlJc w:val="left"/>
      <w:pPr>
        <w:tabs>
          <w:tab w:val="num" w:pos="6480"/>
        </w:tabs>
        <w:ind w:left="6480" w:hanging="360"/>
      </w:pPr>
      <w:rPr>
        <w:rFonts w:ascii="Microsoft Sans Serif" w:hAnsi="Microsoft Sans Serif" w:hint="default"/>
      </w:rPr>
    </w:lvl>
  </w:abstractNum>
  <w:abstractNum w:abstractNumId="42" w15:restartNumberingAfterBreak="0">
    <w:nsid w:val="7F8323C9"/>
    <w:multiLevelType w:val="hybridMultilevel"/>
    <w:tmpl w:val="CE6ED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8E3DBC"/>
    <w:multiLevelType w:val="hybridMultilevel"/>
    <w:tmpl w:val="1F36CF1C"/>
    <w:lvl w:ilvl="0" w:tplc="968C22BC">
      <w:start w:val="1"/>
      <w:numFmt w:val="decimal"/>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7"/>
  </w:num>
  <w:num w:numId="3">
    <w:abstractNumId w:val="28"/>
  </w:num>
  <w:num w:numId="4">
    <w:abstractNumId w:val="0"/>
  </w:num>
  <w:num w:numId="5">
    <w:abstractNumId w:val="21"/>
  </w:num>
  <w:num w:numId="6">
    <w:abstractNumId w:val="39"/>
  </w:num>
  <w:num w:numId="7">
    <w:abstractNumId w:val="17"/>
  </w:num>
  <w:num w:numId="8">
    <w:abstractNumId w:val="35"/>
  </w:num>
  <w:num w:numId="9">
    <w:abstractNumId w:val="41"/>
  </w:num>
  <w:num w:numId="10">
    <w:abstractNumId w:val="9"/>
  </w:num>
  <w:num w:numId="11">
    <w:abstractNumId w:val="14"/>
  </w:num>
  <w:num w:numId="12">
    <w:abstractNumId w:val="7"/>
  </w:num>
  <w:num w:numId="13">
    <w:abstractNumId w:val="18"/>
  </w:num>
  <w:num w:numId="14">
    <w:abstractNumId w:val="5"/>
  </w:num>
  <w:num w:numId="15">
    <w:abstractNumId w:val="16"/>
  </w:num>
  <w:num w:numId="16">
    <w:abstractNumId w:val="6"/>
  </w:num>
  <w:num w:numId="17">
    <w:abstractNumId w:val="34"/>
  </w:num>
  <w:num w:numId="18">
    <w:abstractNumId w:val="38"/>
  </w:num>
  <w:num w:numId="19">
    <w:abstractNumId w:val="3"/>
  </w:num>
  <w:num w:numId="20">
    <w:abstractNumId w:val="13"/>
  </w:num>
  <w:num w:numId="21">
    <w:abstractNumId w:val="42"/>
  </w:num>
  <w:num w:numId="22">
    <w:abstractNumId w:val="4"/>
  </w:num>
  <w:num w:numId="23">
    <w:abstractNumId w:val="15"/>
  </w:num>
  <w:num w:numId="24">
    <w:abstractNumId w:val="33"/>
  </w:num>
  <w:num w:numId="25">
    <w:abstractNumId w:val="1"/>
  </w:num>
  <w:num w:numId="26">
    <w:abstractNumId w:val="43"/>
  </w:num>
  <w:num w:numId="27">
    <w:abstractNumId w:val="43"/>
    <w:lvlOverride w:ilvl="0">
      <w:startOverride w:val="1"/>
    </w:lvlOverride>
  </w:num>
  <w:num w:numId="28">
    <w:abstractNumId w:val="25"/>
  </w:num>
  <w:num w:numId="29">
    <w:abstractNumId w:val="32"/>
  </w:num>
  <w:num w:numId="30">
    <w:abstractNumId w:val="30"/>
  </w:num>
  <w:num w:numId="31">
    <w:abstractNumId w:val="11"/>
  </w:num>
  <w:num w:numId="32">
    <w:abstractNumId w:val="40"/>
  </w:num>
  <w:num w:numId="33">
    <w:abstractNumId w:val="2"/>
  </w:num>
  <w:num w:numId="34">
    <w:abstractNumId w:val="31"/>
  </w:num>
  <w:num w:numId="35">
    <w:abstractNumId w:val="24"/>
  </w:num>
  <w:num w:numId="36">
    <w:abstractNumId w:val="8"/>
  </w:num>
  <w:num w:numId="37">
    <w:abstractNumId w:val="19"/>
  </w:num>
  <w:num w:numId="38">
    <w:abstractNumId w:val="22"/>
  </w:num>
  <w:num w:numId="39">
    <w:abstractNumId w:val="23"/>
  </w:num>
  <w:num w:numId="40">
    <w:abstractNumId w:val="26"/>
  </w:num>
  <w:num w:numId="41">
    <w:abstractNumId w:val="27"/>
  </w:num>
  <w:num w:numId="42">
    <w:abstractNumId w:val="12"/>
  </w:num>
  <w:num w:numId="43">
    <w:abstractNumId w:val="10"/>
  </w:num>
  <w:num w:numId="44">
    <w:abstractNumId w:val="36"/>
  </w:num>
  <w:num w:numId="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defaultTabStop w:val="720"/>
  <w:characterSpacingControl w:val="doNotCompress"/>
  <w:hdrShapeDefaults>
    <o:shapedefaults v:ext="edit" spidmax="1044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A1"/>
    <w:rsid w:val="00032F62"/>
    <w:rsid w:val="000445C4"/>
    <w:rsid w:val="000459EC"/>
    <w:rsid w:val="00060691"/>
    <w:rsid w:val="00061E3D"/>
    <w:rsid w:val="00063E2C"/>
    <w:rsid w:val="00070301"/>
    <w:rsid w:val="00074067"/>
    <w:rsid w:val="000741B3"/>
    <w:rsid w:val="00075484"/>
    <w:rsid w:val="00076AE6"/>
    <w:rsid w:val="000811E3"/>
    <w:rsid w:val="00082FC0"/>
    <w:rsid w:val="0008301C"/>
    <w:rsid w:val="00087421"/>
    <w:rsid w:val="000910D9"/>
    <w:rsid w:val="00097310"/>
    <w:rsid w:val="00097693"/>
    <w:rsid w:val="000A00F2"/>
    <w:rsid w:val="000A5AF4"/>
    <w:rsid w:val="000C1A38"/>
    <w:rsid w:val="000C2896"/>
    <w:rsid w:val="000D0276"/>
    <w:rsid w:val="000E200B"/>
    <w:rsid w:val="000F3971"/>
    <w:rsid w:val="000F4597"/>
    <w:rsid w:val="000F544F"/>
    <w:rsid w:val="000F7931"/>
    <w:rsid w:val="000F7D75"/>
    <w:rsid w:val="00101C56"/>
    <w:rsid w:val="00101F23"/>
    <w:rsid w:val="00101F72"/>
    <w:rsid w:val="001065CB"/>
    <w:rsid w:val="0010764D"/>
    <w:rsid w:val="00114DD2"/>
    <w:rsid w:val="00120E5A"/>
    <w:rsid w:val="0012265E"/>
    <w:rsid w:val="001229F1"/>
    <w:rsid w:val="00123B25"/>
    <w:rsid w:val="00123B8B"/>
    <w:rsid w:val="00124225"/>
    <w:rsid w:val="001276B0"/>
    <w:rsid w:val="00131A68"/>
    <w:rsid w:val="00133D29"/>
    <w:rsid w:val="00142BC1"/>
    <w:rsid w:val="00146F71"/>
    <w:rsid w:val="00147B7A"/>
    <w:rsid w:val="001504D7"/>
    <w:rsid w:val="00152746"/>
    <w:rsid w:val="00157E82"/>
    <w:rsid w:val="001647C8"/>
    <w:rsid w:val="0016566C"/>
    <w:rsid w:val="001774E3"/>
    <w:rsid w:val="00182A83"/>
    <w:rsid w:val="0018572B"/>
    <w:rsid w:val="0019693E"/>
    <w:rsid w:val="00196D40"/>
    <w:rsid w:val="001A11A7"/>
    <w:rsid w:val="001A49B0"/>
    <w:rsid w:val="001A750B"/>
    <w:rsid w:val="001B225B"/>
    <w:rsid w:val="001B3D8E"/>
    <w:rsid w:val="001B5270"/>
    <w:rsid w:val="001B6821"/>
    <w:rsid w:val="001B735A"/>
    <w:rsid w:val="001C12ED"/>
    <w:rsid w:val="001C5006"/>
    <w:rsid w:val="001C6058"/>
    <w:rsid w:val="001D24B2"/>
    <w:rsid w:val="001D328F"/>
    <w:rsid w:val="001D5864"/>
    <w:rsid w:val="001D7DB2"/>
    <w:rsid w:val="001E0363"/>
    <w:rsid w:val="001E21CA"/>
    <w:rsid w:val="001E4F81"/>
    <w:rsid w:val="001E5F34"/>
    <w:rsid w:val="001F1875"/>
    <w:rsid w:val="001F4726"/>
    <w:rsid w:val="001F5357"/>
    <w:rsid w:val="002056E5"/>
    <w:rsid w:val="00212155"/>
    <w:rsid w:val="00216534"/>
    <w:rsid w:val="00216662"/>
    <w:rsid w:val="00223319"/>
    <w:rsid w:val="0023016A"/>
    <w:rsid w:val="002316E1"/>
    <w:rsid w:val="00231881"/>
    <w:rsid w:val="00231D2B"/>
    <w:rsid w:val="002346D1"/>
    <w:rsid w:val="0023659C"/>
    <w:rsid w:val="002366B5"/>
    <w:rsid w:val="0023702F"/>
    <w:rsid w:val="002429D9"/>
    <w:rsid w:val="00247450"/>
    <w:rsid w:val="002515F6"/>
    <w:rsid w:val="0025519C"/>
    <w:rsid w:val="00257366"/>
    <w:rsid w:val="00262708"/>
    <w:rsid w:val="002668FA"/>
    <w:rsid w:val="00274FEF"/>
    <w:rsid w:val="002817D4"/>
    <w:rsid w:val="00286170"/>
    <w:rsid w:val="00291075"/>
    <w:rsid w:val="00293067"/>
    <w:rsid w:val="00294FC1"/>
    <w:rsid w:val="002977F7"/>
    <w:rsid w:val="002A70E5"/>
    <w:rsid w:val="002B262E"/>
    <w:rsid w:val="002B34A3"/>
    <w:rsid w:val="002B5C25"/>
    <w:rsid w:val="002C19D8"/>
    <w:rsid w:val="002C2A98"/>
    <w:rsid w:val="002D23BA"/>
    <w:rsid w:val="002D7CAA"/>
    <w:rsid w:val="002E7A25"/>
    <w:rsid w:val="002F38E9"/>
    <w:rsid w:val="002F4FE5"/>
    <w:rsid w:val="00310594"/>
    <w:rsid w:val="003144D0"/>
    <w:rsid w:val="00314C9B"/>
    <w:rsid w:val="003161F5"/>
    <w:rsid w:val="00321616"/>
    <w:rsid w:val="00327B82"/>
    <w:rsid w:val="00330351"/>
    <w:rsid w:val="00332F80"/>
    <w:rsid w:val="00334580"/>
    <w:rsid w:val="003379DF"/>
    <w:rsid w:val="00343F77"/>
    <w:rsid w:val="00346832"/>
    <w:rsid w:val="003471CA"/>
    <w:rsid w:val="003541A4"/>
    <w:rsid w:val="00364658"/>
    <w:rsid w:val="00366F9D"/>
    <w:rsid w:val="003825E8"/>
    <w:rsid w:val="0038433C"/>
    <w:rsid w:val="003848AB"/>
    <w:rsid w:val="00386CB7"/>
    <w:rsid w:val="003935B6"/>
    <w:rsid w:val="00393948"/>
    <w:rsid w:val="00395DAA"/>
    <w:rsid w:val="003963BE"/>
    <w:rsid w:val="003A116A"/>
    <w:rsid w:val="003A2A38"/>
    <w:rsid w:val="003A329B"/>
    <w:rsid w:val="003A32D1"/>
    <w:rsid w:val="003A5AAE"/>
    <w:rsid w:val="003C207D"/>
    <w:rsid w:val="003C479D"/>
    <w:rsid w:val="003C5290"/>
    <w:rsid w:val="003E2653"/>
    <w:rsid w:val="003E455B"/>
    <w:rsid w:val="003E5300"/>
    <w:rsid w:val="003F00F6"/>
    <w:rsid w:val="003F2360"/>
    <w:rsid w:val="003F3607"/>
    <w:rsid w:val="003F5EFC"/>
    <w:rsid w:val="00400189"/>
    <w:rsid w:val="00404C92"/>
    <w:rsid w:val="00405546"/>
    <w:rsid w:val="00406B18"/>
    <w:rsid w:val="004077AE"/>
    <w:rsid w:val="00413FFE"/>
    <w:rsid w:val="00417C8F"/>
    <w:rsid w:val="00437BFB"/>
    <w:rsid w:val="0044163A"/>
    <w:rsid w:val="00451682"/>
    <w:rsid w:val="0045368E"/>
    <w:rsid w:val="00457587"/>
    <w:rsid w:val="00460B85"/>
    <w:rsid w:val="00463688"/>
    <w:rsid w:val="00472C51"/>
    <w:rsid w:val="0047783E"/>
    <w:rsid w:val="00482D82"/>
    <w:rsid w:val="00484F44"/>
    <w:rsid w:val="00485FE2"/>
    <w:rsid w:val="00491D0A"/>
    <w:rsid w:val="004928E4"/>
    <w:rsid w:val="00496227"/>
    <w:rsid w:val="004A37BD"/>
    <w:rsid w:val="004A47CC"/>
    <w:rsid w:val="004A5949"/>
    <w:rsid w:val="004A645B"/>
    <w:rsid w:val="004B0D0A"/>
    <w:rsid w:val="004B1F76"/>
    <w:rsid w:val="004B3900"/>
    <w:rsid w:val="004B679E"/>
    <w:rsid w:val="004C02D9"/>
    <w:rsid w:val="004C08E8"/>
    <w:rsid w:val="004C56AC"/>
    <w:rsid w:val="004C61F1"/>
    <w:rsid w:val="004C6372"/>
    <w:rsid w:val="004C6679"/>
    <w:rsid w:val="004D1F58"/>
    <w:rsid w:val="004D5575"/>
    <w:rsid w:val="004D7478"/>
    <w:rsid w:val="004E058D"/>
    <w:rsid w:val="004E1178"/>
    <w:rsid w:val="004E1F2B"/>
    <w:rsid w:val="004F00A0"/>
    <w:rsid w:val="004F0985"/>
    <w:rsid w:val="004F36A6"/>
    <w:rsid w:val="0050693D"/>
    <w:rsid w:val="0051093A"/>
    <w:rsid w:val="00520133"/>
    <w:rsid w:val="00522B14"/>
    <w:rsid w:val="00524D68"/>
    <w:rsid w:val="00535FAC"/>
    <w:rsid w:val="0053640D"/>
    <w:rsid w:val="0055285E"/>
    <w:rsid w:val="00554731"/>
    <w:rsid w:val="00561296"/>
    <w:rsid w:val="0056725F"/>
    <w:rsid w:val="00572752"/>
    <w:rsid w:val="005808F4"/>
    <w:rsid w:val="0058313C"/>
    <w:rsid w:val="00583A45"/>
    <w:rsid w:val="00583EA4"/>
    <w:rsid w:val="005851C6"/>
    <w:rsid w:val="005852A6"/>
    <w:rsid w:val="005859EF"/>
    <w:rsid w:val="00587217"/>
    <w:rsid w:val="005A3FE0"/>
    <w:rsid w:val="005A465D"/>
    <w:rsid w:val="005A5519"/>
    <w:rsid w:val="005A5EF0"/>
    <w:rsid w:val="005B29BC"/>
    <w:rsid w:val="005B5A53"/>
    <w:rsid w:val="005C0AE2"/>
    <w:rsid w:val="005C5006"/>
    <w:rsid w:val="005C6D35"/>
    <w:rsid w:val="005C71F4"/>
    <w:rsid w:val="005D1B80"/>
    <w:rsid w:val="005D32D6"/>
    <w:rsid w:val="005D4777"/>
    <w:rsid w:val="005D5800"/>
    <w:rsid w:val="005D6179"/>
    <w:rsid w:val="005D7ADD"/>
    <w:rsid w:val="005E086F"/>
    <w:rsid w:val="005E0E8C"/>
    <w:rsid w:val="005E460B"/>
    <w:rsid w:val="005E4A11"/>
    <w:rsid w:val="005E5DE3"/>
    <w:rsid w:val="005E68C3"/>
    <w:rsid w:val="005F3607"/>
    <w:rsid w:val="005F53D0"/>
    <w:rsid w:val="00601B17"/>
    <w:rsid w:val="00601E30"/>
    <w:rsid w:val="00603711"/>
    <w:rsid w:val="0060430F"/>
    <w:rsid w:val="00605C85"/>
    <w:rsid w:val="0060642A"/>
    <w:rsid w:val="006137E7"/>
    <w:rsid w:val="00613B99"/>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A019A"/>
    <w:rsid w:val="006A3FFB"/>
    <w:rsid w:val="006A45AF"/>
    <w:rsid w:val="006A52D6"/>
    <w:rsid w:val="006B0AD8"/>
    <w:rsid w:val="006C3E70"/>
    <w:rsid w:val="006C3F28"/>
    <w:rsid w:val="006C5FAB"/>
    <w:rsid w:val="006C6F56"/>
    <w:rsid w:val="006E097F"/>
    <w:rsid w:val="006E1856"/>
    <w:rsid w:val="006E1D5F"/>
    <w:rsid w:val="006E44D4"/>
    <w:rsid w:val="006F05E6"/>
    <w:rsid w:val="006F433C"/>
    <w:rsid w:val="006F6F46"/>
    <w:rsid w:val="006F7928"/>
    <w:rsid w:val="0071061D"/>
    <w:rsid w:val="00712BFC"/>
    <w:rsid w:val="00714E47"/>
    <w:rsid w:val="007231CE"/>
    <w:rsid w:val="00723AAB"/>
    <w:rsid w:val="007270D2"/>
    <w:rsid w:val="00732282"/>
    <w:rsid w:val="00732E9E"/>
    <w:rsid w:val="00734745"/>
    <w:rsid w:val="0073637E"/>
    <w:rsid w:val="00737618"/>
    <w:rsid w:val="00742FD9"/>
    <w:rsid w:val="00744434"/>
    <w:rsid w:val="00745B9C"/>
    <w:rsid w:val="00745E27"/>
    <w:rsid w:val="007473C0"/>
    <w:rsid w:val="00753035"/>
    <w:rsid w:val="00767E9B"/>
    <w:rsid w:val="007736C4"/>
    <w:rsid w:val="0077516F"/>
    <w:rsid w:val="00776347"/>
    <w:rsid w:val="007824EC"/>
    <w:rsid w:val="00785A29"/>
    <w:rsid w:val="007876BD"/>
    <w:rsid w:val="007904E2"/>
    <w:rsid w:val="007A5914"/>
    <w:rsid w:val="007A5983"/>
    <w:rsid w:val="007A5DCD"/>
    <w:rsid w:val="007A6A95"/>
    <w:rsid w:val="007B6185"/>
    <w:rsid w:val="007B70EC"/>
    <w:rsid w:val="007D2B43"/>
    <w:rsid w:val="007E0229"/>
    <w:rsid w:val="007E41B1"/>
    <w:rsid w:val="007E41FC"/>
    <w:rsid w:val="007E62A0"/>
    <w:rsid w:val="007E7AEE"/>
    <w:rsid w:val="007F1B98"/>
    <w:rsid w:val="007F5020"/>
    <w:rsid w:val="007F5FAB"/>
    <w:rsid w:val="007F6880"/>
    <w:rsid w:val="008006AD"/>
    <w:rsid w:val="00803094"/>
    <w:rsid w:val="0080419D"/>
    <w:rsid w:val="0080424D"/>
    <w:rsid w:val="00805264"/>
    <w:rsid w:val="008113EE"/>
    <w:rsid w:val="008139F0"/>
    <w:rsid w:val="00814FDF"/>
    <w:rsid w:val="00817968"/>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BCD"/>
    <w:rsid w:val="00864008"/>
    <w:rsid w:val="008640A4"/>
    <w:rsid w:val="00874024"/>
    <w:rsid w:val="008843F4"/>
    <w:rsid w:val="00885C46"/>
    <w:rsid w:val="00887A25"/>
    <w:rsid w:val="008918D8"/>
    <w:rsid w:val="00894963"/>
    <w:rsid w:val="00897933"/>
    <w:rsid w:val="00897A2A"/>
    <w:rsid w:val="008A76F9"/>
    <w:rsid w:val="008B5E75"/>
    <w:rsid w:val="008B7143"/>
    <w:rsid w:val="008C3FC6"/>
    <w:rsid w:val="008C416E"/>
    <w:rsid w:val="008C4CC6"/>
    <w:rsid w:val="008C7516"/>
    <w:rsid w:val="008D0A78"/>
    <w:rsid w:val="008E2962"/>
    <w:rsid w:val="008F3202"/>
    <w:rsid w:val="008F32DB"/>
    <w:rsid w:val="008F3359"/>
    <w:rsid w:val="008F7036"/>
    <w:rsid w:val="008F7FE7"/>
    <w:rsid w:val="00901CBD"/>
    <w:rsid w:val="0090354F"/>
    <w:rsid w:val="00905C8C"/>
    <w:rsid w:val="00915ACC"/>
    <w:rsid w:val="00920793"/>
    <w:rsid w:val="0092106E"/>
    <w:rsid w:val="00922847"/>
    <w:rsid w:val="009236C7"/>
    <w:rsid w:val="00924E89"/>
    <w:rsid w:val="009262AA"/>
    <w:rsid w:val="009275A9"/>
    <w:rsid w:val="0093074F"/>
    <w:rsid w:val="00935507"/>
    <w:rsid w:val="00940B57"/>
    <w:rsid w:val="00940BE4"/>
    <w:rsid w:val="00943B27"/>
    <w:rsid w:val="00951379"/>
    <w:rsid w:val="009516E4"/>
    <w:rsid w:val="009542C5"/>
    <w:rsid w:val="0095685F"/>
    <w:rsid w:val="009634EA"/>
    <w:rsid w:val="0096488C"/>
    <w:rsid w:val="00966AC4"/>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7085"/>
    <w:rsid w:val="009D12AB"/>
    <w:rsid w:val="009E6FAA"/>
    <w:rsid w:val="009F1B72"/>
    <w:rsid w:val="009F4261"/>
    <w:rsid w:val="00A04953"/>
    <w:rsid w:val="00A06AD1"/>
    <w:rsid w:val="00A12B16"/>
    <w:rsid w:val="00A164C7"/>
    <w:rsid w:val="00A24104"/>
    <w:rsid w:val="00A266CC"/>
    <w:rsid w:val="00A27DF6"/>
    <w:rsid w:val="00A43243"/>
    <w:rsid w:val="00A43321"/>
    <w:rsid w:val="00A551DB"/>
    <w:rsid w:val="00A555BD"/>
    <w:rsid w:val="00A57593"/>
    <w:rsid w:val="00A64660"/>
    <w:rsid w:val="00A64720"/>
    <w:rsid w:val="00A7006E"/>
    <w:rsid w:val="00A74FAC"/>
    <w:rsid w:val="00A92225"/>
    <w:rsid w:val="00A94950"/>
    <w:rsid w:val="00A961F2"/>
    <w:rsid w:val="00A963D2"/>
    <w:rsid w:val="00A97722"/>
    <w:rsid w:val="00AA0694"/>
    <w:rsid w:val="00AA2D2D"/>
    <w:rsid w:val="00AA6F54"/>
    <w:rsid w:val="00AA79C8"/>
    <w:rsid w:val="00AB297E"/>
    <w:rsid w:val="00AC014E"/>
    <w:rsid w:val="00AC3635"/>
    <w:rsid w:val="00AC721D"/>
    <w:rsid w:val="00AD52F9"/>
    <w:rsid w:val="00AE27BD"/>
    <w:rsid w:val="00AE46B2"/>
    <w:rsid w:val="00AE7F93"/>
    <w:rsid w:val="00AF028B"/>
    <w:rsid w:val="00AF192E"/>
    <w:rsid w:val="00AF78E1"/>
    <w:rsid w:val="00B065B6"/>
    <w:rsid w:val="00B14344"/>
    <w:rsid w:val="00B15ADF"/>
    <w:rsid w:val="00B222B7"/>
    <w:rsid w:val="00B22E14"/>
    <w:rsid w:val="00B234B4"/>
    <w:rsid w:val="00B272A3"/>
    <w:rsid w:val="00B42135"/>
    <w:rsid w:val="00B4671E"/>
    <w:rsid w:val="00B50CB7"/>
    <w:rsid w:val="00B64E8B"/>
    <w:rsid w:val="00B71388"/>
    <w:rsid w:val="00B7413F"/>
    <w:rsid w:val="00B77552"/>
    <w:rsid w:val="00B96765"/>
    <w:rsid w:val="00B96BD5"/>
    <w:rsid w:val="00B97469"/>
    <w:rsid w:val="00BA00FF"/>
    <w:rsid w:val="00BA459D"/>
    <w:rsid w:val="00BA66CB"/>
    <w:rsid w:val="00BA7B39"/>
    <w:rsid w:val="00BB0BF1"/>
    <w:rsid w:val="00BC0830"/>
    <w:rsid w:val="00BC2269"/>
    <w:rsid w:val="00BC4135"/>
    <w:rsid w:val="00BC5610"/>
    <w:rsid w:val="00BC5EEA"/>
    <w:rsid w:val="00BC7A0D"/>
    <w:rsid w:val="00BD28E3"/>
    <w:rsid w:val="00BE19F1"/>
    <w:rsid w:val="00BE1C8E"/>
    <w:rsid w:val="00BF1E66"/>
    <w:rsid w:val="00BF6174"/>
    <w:rsid w:val="00C00091"/>
    <w:rsid w:val="00C01C1D"/>
    <w:rsid w:val="00C04D50"/>
    <w:rsid w:val="00C11214"/>
    <w:rsid w:val="00C11D1D"/>
    <w:rsid w:val="00C12FC6"/>
    <w:rsid w:val="00C13368"/>
    <w:rsid w:val="00C171BC"/>
    <w:rsid w:val="00C221BC"/>
    <w:rsid w:val="00C2457F"/>
    <w:rsid w:val="00C2520D"/>
    <w:rsid w:val="00C30F3F"/>
    <w:rsid w:val="00C36896"/>
    <w:rsid w:val="00C36EB1"/>
    <w:rsid w:val="00C43C0B"/>
    <w:rsid w:val="00C51F72"/>
    <w:rsid w:val="00C570C5"/>
    <w:rsid w:val="00C63C96"/>
    <w:rsid w:val="00C70BC0"/>
    <w:rsid w:val="00C740A1"/>
    <w:rsid w:val="00C75AC6"/>
    <w:rsid w:val="00C828D3"/>
    <w:rsid w:val="00C920BE"/>
    <w:rsid w:val="00CB2193"/>
    <w:rsid w:val="00CB45C1"/>
    <w:rsid w:val="00CB5090"/>
    <w:rsid w:val="00CC3F29"/>
    <w:rsid w:val="00CC7714"/>
    <w:rsid w:val="00CC794F"/>
    <w:rsid w:val="00CD0E58"/>
    <w:rsid w:val="00CD1E15"/>
    <w:rsid w:val="00CE2E9A"/>
    <w:rsid w:val="00CE4576"/>
    <w:rsid w:val="00CE7493"/>
    <w:rsid w:val="00CF092D"/>
    <w:rsid w:val="00CF319D"/>
    <w:rsid w:val="00CF492E"/>
    <w:rsid w:val="00D00134"/>
    <w:rsid w:val="00D00177"/>
    <w:rsid w:val="00D0042D"/>
    <w:rsid w:val="00D00B78"/>
    <w:rsid w:val="00D0231E"/>
    <w:rsid w:val="00D024DE"/>
    <w:rsid w:val="00D041E0"/>
    <w:rsid w:val="00D14270"/>
    <w:rsid w:val="00D1579E"/>
    <w:rsid w:val="00D166D1"/>
    <w:rsid w:val="00D20B0D"/>
    <w:rsid w:val="00D21A8F"/>
    <w:rsid w:val="00D30523"/>
    <w:rsid w:val="00D32FAC"/>
    <w:rsid w:val="00D335C6"/>
    <w:rsid w:val="00D36CF2"/>
    <w:rsid w:val="00D40CDD"/>
    <w:rsid w:val="00D46F35"/>
    <w:rsid w:val="00D46F3E"/>
    <w:rsid w:val="00D516BD"/>
    <w:rsid w:val="00D51A46"/>
    <w:rsid w:val="00D627EC"/>
    <w:rsid w:val="00D666F9"/>
    <w:rsid w:val="00D7071C"/>
    <w:rsid w:val="00D75B4C"/>
    <w:rsid w:val="00D77F1E"/>
    <w:rsid w:val="00D834B3"/>
    <w:rsid w:val="00D84234"/>
    <w:rsid w:val="00D84D6B"/>
    <w:rsid w:val="00D90606"/>
    <w:rsid w:val="00D92BEB"/>
    <w:rsid w:val="00D951B7"/>
    <w:rsid w:val="00DA0893"/>
    <w:rsid w:val="00DB2C0E"/>
    <w:rsid w:val="00DB3551"/>
    <w:rsid w:val="00DC17C6"/>
    <w:rsid w:val="00DC3A62"/>
    <w:rsid w:val="00DC636E"/>
    <w:rsid w:val="00DC6893"/>
    <w:rsid w:val="00DC7197"/>
    <w:rsid w:val="00DC79AE"/>
    <w:rsid w:val="00DD1F95"/>
    <w:rsid w:val="00DD6A81"/>
    <w:rsid w:val="00DE069C"/>
    <w:rsid w:val="00DE74ED"/>
    <w:rsid w:val="00DF1236"/>
    <w:rsid w:val="00E041F5"/>
    <w:rsid w:val="00E130BD"/>
    <w:rsid w:val="00E1324E"/>
    <w:rsid w:val="00E14434"/>
    <w:rsid w:val="00E144AE"/>
    <w:rsid w:val="00E17830"/>
    <w:rsid w:val="00E20DB2"/>
    <w:rsid w:val="00E22AAC"/>
    <w:rsid w:val="00E232C2"/>
    <w:rsid w:val="00E23B3D"/>
    <w:rsid w:val="00E26288"/>
    <w:rsid w:val="00E30442"/>
    <w:rsid w:val="00E41EDB"/>
    <w:rsid w:val="00E42049"/>
    <w:rsid w:val="00E42975"/>
    <w:rsid w:val="00E5219D"/>
    <w:rsid w:val="00E578E6"/>
    <w:rsid w:val="00E604C6"/>
    <w:rsid w:val="00E60EBF"/>
    <w:rsid w:val="00E63275"/>
    <w:rsid w:val="00E677F3"/>
    <w:rsid w:val="00E70CB8"/>
    <w:rsid w:val="00E730E3"/>
    <w:rsid w:val="00E74DD6"/>
    <w:rsid w:val="00E7656B"/>
    <w:rsid w:val="00E81EA0"/>
    <w:rsid w:val="00E84BE8"/>
    <w:rsid w:val="00E851DF"/>
    <w:rsid w:val="00E9357A"/>
    <w:rsid w:val="00E95261"/>
    <w:rsid w:val="00EA1FB2"/>
    <w:rsid w:val="00EA60D8"/>
    <w:rsid w:val="00EB2BC3"/>
    <w:rsid w:val="00EB5511"/>
    <w:rsid w:val="00EB7207"/>
    <w:rsid w:val="00EC3496"/>
    <w:rsid w:val="00EC4186"/>
    <w:rsid w:val="00EC503E"/>
    <w:rsid w:val="00ED16E9"/>
    <w:rsid w:val="00ED3C6A"/>
    <w:rsid w:val="00ED669E"/>
    <w:rsid w:val="00EE02C6"/>
    <w:rsid w:val="00EE0D25"/>
    <w:rsid w:val="00EE24A1"/>
    <w:rsid w:val="00EE2644"/>
    <w:rsid w:val="00EE54BA"/>
    <w:rsid w:val="00EF0AC6"/>
    <w:rsid w:val="00EF49E2"/>
    <w:rsid w:val="00EF4D7B"/>
    <w:rsid w:val="00EF63C0"/>
    <w:rsid w:val="00F00059"/>
    <w:rsid w:val="00F04F13"/>
    <w:rsid w:val="00F05C53"/>
    <w:rsid w:val="00F123BA"/>
    <w:rsid w:val="00F1261E"/>
    <w:rsid w:val="00F15034"/>
    <w:rsid w:val="00F238ED"/>
    <w:rsid w:val="00F2433B"/>
    <w:rsid w:val="00F2458D"/>
    <w:rsid w:val="00F34FCB"/>
    <w:rsid w:val="00F4073F"/>
    <w:rsid w:val="00F47028"/>
    <w:rsid w:val="00F47CCE"/>
    <w:rsid w:val="00F47DC7"/>
    <w:rsid w:val="00F523F6"/>
    <w:rsid w:val="00F539C7"/>
    <w:rsid w:val="00F62851"/>
    <w:rsid w:val="00F6426B"/>
    <w:rsid w:val="00F73E13"/>
    <w:rsid w:val="00F74AA4"/>
    <w:rsid w:val="00F756EC"/>
    <w:rsid w:val="00F761AD"/>
    <w:rsid w:val="00F8713E"/>
    <w:rsid w:val="00F90435"/>
    <w:rsid w:val="00F91CE7"/>
    <w:rsid w:val="00F95AF7"/>
    <w:rsid w:val="00FA0C10"/>
    <w:rsid w:val="00FA7B0A"/>
    <w:rsid w:val="00FB0302"/>
    <w:rsid w:val="00FB36AF"/>
    <w:rsid w:val="00FB53E3"/>
    <w:rsid w:val="00FC0A96"/>
    <w:rsid w:val="00FC7E14"/>
    <w:rsid w:val="00FD4CDC"/>
    <w:rsid w:val="00FE0EE6"/>
    <w:rsid w:val="00FE29B8"/>
    <w:rsid w:val="00FE2A14"/>
    <w:rsid w:val="00FE46AF"/>
    <w:rsid w:val="00FE6258"/>
    <w:rsid w:val="00FF0619"/>
    <w:rsid w:val="00FF1501"/>
    <w:rsid w:val="00FF2503"/>
    <w:rsid w:val="00FF41B1"/>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44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36"/>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6"/>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5"/>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45"/>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SRVZ567275SS-924214940-1946</_dlc_DocId>
    <_dlc_DocIdUrl xmlns="932dab1a-f806-440a-b546-5f112cb4e652">
      <Url>https://projects.qualcomm.com/sites/libra/_layouts/15/DocIdRedir.aspx?ID=SRVZ567275SS-924214940-1946</Url>
      <Description>SRVZ567275SS-924214940-1946</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2.xml><?xml version="1.0" encoding="utf-8"?>
<ds:datastoreItem xmlns:ds="http://schemas.openxmlformats.org/officeDocument/2006/customXml" ds:itemID="{41E2C1AD-ED0B-4267-BBB9-6B98C34CD9FC}">
  <ds:schemaRefs>
    <ds:schemaRef ds:uri="http://schemas.microsoft.com/sharepoint/events"/>
  </ds:schemaRefs>
</ds:datastoreItem>
</file>

<file path=customXml/itemProps3.xml><?xml version="1.0" encoding="utf-8"?>
<ds:datastoreItem xmlns:ds="http://schemas.openxmlformats.org/officeDocument/2006/customXml" ds:itemID="{0EBF069C-7F77-4186-9498-8EEF67AE9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DA0F7D-AB77-4356-9210-1134A56C027F}">
  <ds:schemaRefs>
    <ds:schemaRef ds:uri="http://purl.org/dc/terms/"/>
    <ds:schemaRef ds:uri="932dab1a-f806-440a-b546-5f112cb4e652"/>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http://www.w3.org/XML/1998/namespace"/>
  </ds:schemaRefs>
</ds:datastoreItem>
</file>

<file path=customXml/itemProps5.xml><?xml version="1.0" encoding="utf-8"?>
<ds:datastoreItem xmlns:ds="http://schemas.openxmlformats.org/officeDocument/2006/customXml" ds:itemID="{329CEDD8-5663-423E-9FCC-41AE2D8CA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9811</TotalTime>
  <Pages>4</Pages>
  <Words>1040</Words>
  <Characters>5933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554</cp:revision>
  <dcterms:created xsi:type="dcterms:W3CDTF">2019-03-30T01:53:00Z</dcterms:created>
  <dcterms:modified xsi:type="dcterms:W3CDTF">2020-04-11T03:58:00Z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fcca06ba-ff21-4ce4-979c-b1e63d1c419a</vt:lpwstr>
  </property>
</Properties>
</file>