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5E52279E"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9B7AAF">
        <w:rPr>
          <w:rFonts w:ascii="Arial" w:hAnsi="Arial" w:cs="Arial"/>
          <w:b/>
          <w:kern w:val="2"/>
          <w:lang w:eastAsia="zh-CN"/>
        </w:rPr>
        <w:t>100</w:t>
      </w:r>
      <w:r w:rsidR="00167426">
        <w:rPr>
          <w:rFonts w:ascii="Arial" w:hAnsi="Arial" w:cs="Arial"/>
          <w:b/>
          <w:kern w:val="2"/>
          <w:lang w:eastAsia="zh-CN"/>
        </w:rPr>
        <w:t>-e</w:t>
      </w:r>
      <w:r w:rsidRPr="00D74B92">
        <w:rPr>
          <w:rFonts w:ascii="Arial" w:hAnsi="Arial" w:cs="Arial"/>
          <w:b/>
          <w:kern w:val="2"/>
          <w:lang w:eastAsia="zh-CN"/>
        </w:rPr>
        <w:tab/>
        <w:t>R1-</w:t>
      </w:r>
      <w:r w:rsidR="009B7AAF">
        <w:rPr>
          <w:rFonts w:ascii="Arial" w:hAnsi="Arial" w:cs="Arial"/>
          <w:b/>
          <w:kern w:val="2"/>
          <w:lang w:eastAsia="zh-CN"/>
        </w:rPr>
        <w:t>20</w:t>
      </w:r>
      <w:r w:rsidR="00A771BF">
        <w:rPr>
          <w:rFonts w:ascii="Arial" w:hAnsi="Arial" w:cs="Arial"/>
          <w:b/>
          <w:kern w:val="2"/>
          <w:lang w:eastAsia="zh-CN"/>
        </w:rPr>
        <w:t>00570</w:t>
      </w:r>
    </w:p>
    <w:p w14:paraId="77459A90" w14:textId="638AEF8C" w:rsidR="00A03A09" w:rsidRPr="007F5EC6" w:rsidRDefault="00167426" w:rsidP="00A03A09">
      <w:pPr>
        <w:jc w:val="left"/>
        <w:rPr>
          <w:rFonts w:ascii="Arial" w:hAnsi="Arial" w:cs="Arial"/>
          <w:b/>
          <w:kern w:val="2"/>
          <w:lang w:eastAsia="zh-CN"/>
        </w:rPr>
      </w:pPr>
      <w:r>
        <w:rPr>
          <w:rFonts w:ascii="Arial" w:hAnsi="Arial" w:cs="Arial"/>
          <w:b/>
          <w:kern w:val="2"/>
          <w:lang w:eastAsia="zh-CN"/>
        </w:rPr>
        <w:t>e-Meeting</w:t>
      </w:r>
      <w:r w:rsidR="00A03A09" w:rsidRPr="00D74B92">
        <w:rPr>
          <w:rFonts w:ascii="Arial" w:hAnsi="Arial" w:cs="Arial"/>
          <w:b/>
          <w:kern w:val="2"/>
          <w:lang w:eastAsia="zh-CN"/>
        </w:rPr>
        <w:t xml:space="preserve">, </w:t>
      </w:r>
      <w:r w:rsidR="009B7AAF">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44478E3C" w14:textId="19C81D4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4C434C">
        <w:rPr>
          <w:rFonts w:ascii="Arial" w:hAnsi="Arial" w:cs="Arial"/>
          <w:b/>
          <w:lang w:eastAsia="zh-CN"/>
        </w:rPr>
        <w:t>4.</w:t>
      </w:r>
      <w:r w:rsidR="007A1C02">
        <w:rPr>
          <w:rFonts w:ascii="Arial" w:hAnsi="Arial" w:cs="Arial"/>
          <w:b/>
          <w:lang w:eastAsia="zh-CN"/>
        </w:rPr>
        <w:t>6</w:t>
      </w:r>
    </w:p>
    <w:p w14:paraId="08285A75" w14:textId="1C31C9DA"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771BF" w:rsidRPr="00A771BF">
        <w:rPr>
          <w:rFonts w:ascii="Arial" w:hAnsi="Arial" w:cs="Arial"/>
          <w:b/>
          <w:bCs/>
          <w:caps/>
          <w:shd w:val="clear" w:color="auto" w:fill="FFFFFF"/>
        </w:rPr>
        <w:t>FUTUREWEI</w:t>
      </w:r>
    </w:p>
    <w:p w14:paraId="0F22F8FF" w14:textId="1D664EB9"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46BC" w:rsidRPr="00EB46BC">
        <w:rPr>
          <w:rFonts w:ascii="Arial" w:hAnsi="Arial" w:cs="Arial"/>
          <w:b/>
          <w:lang w:eastAsia="zh-CN"/>
        </w:rPr>
        <w:t xml:space="preserve">Remaining details on </w:t>
      </w:r>
      <w:r w:rsidR="007A1C02">
        <w:rPr>
          <w:rFonts w:ascii="Arial" w:hAnsi="Arial" w:cs="Arial"/>
          <w:b/>
          <w:lang w:eastAsia="zh-CN"/>
        </w:rPr>
        <w:t>QoS for sidelin</w:t>
      </w:r>
      <w:r w:rsidR="009C0E7D">
        <w:rPr>
          <w:rFonts w:ascii="Arial" w:hAnsi="Arial" w:cs="Arial"/>
          <w:b/>
          <w:lang w:eastAsia="zh-CN"/>
        </w:rPr>
        <w:t>k</w:t>
      </w:r>
      <w:bookmarkStart w:id="0" w:name="_GoBack"/>
      <w:bookmarkEnd w:id="0"/>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34B682E0"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p>
    <w:p w14:paraId="25BE3639" w14:textId="4981CF99" w:rsidR="00495A39" w:rsidRDefault="00BE45B7" w:rsidP="00495A39">
      <w:pPr>
        <w:rPr>
          <w:lang w:eastAsia="zh-CN"/>
        </w:rPr>
      </w:pPr>
      <w:r>
        <w:rPr>
          <w:lang w:eastAsia="zh-CN"/>
        </w:rPr>
        <w:t xml:space="preserve">In [1], </w:t>
      </w:r>
      <w:r w:rsidR="007A1C02">
        <w:rPr>
          <w:lang w:eastAsia="zh-CN"/>
        </w:rPr>
        <w:t>one</w:t>
      </w:r>
      <w:r>
        <w:rPr>
          <w:lang w:eastAsia="zh-CN"/>
        </w:rPr>
        <w:t xml:space="preserve"> issue </w:t>
      </w:r>
      <w:r w:rsidR="007A1C02">
        <w:rPr>
          <w:lang w:eastAsia="zh-CN"/>
        </w:rPr>
        <w:t>was</w:t>
      </w:r>
      <w:r>
        <w:rPr>
          <w:lang w:eastAsia="zh-CN"/>
        </w:rPr>
        <w:t xml:space="preserve"> identified</w:t>
      </w:r>
      <w:r w:rsidR="000D15B7">
        <w:rPr>
          <w:lang w:eastAsia="zh-CN"/>
        </w:rPr>
        <w:t xml:space="preserve"> for </w:t>
      </w:r>
      <w:r w:rsidR="007A1C02">
        <w:rPr>
          <w:lang w:eastAsia="zh-CN"/>
        </w:rPr>
        <w:t>QoS</w:t>
      </w:r>
      <w:r w:rsidR="00E05F14">
        <w:rPr>
          <w:lang w:eastAsia="zh-CN"/>
        </w:rPr>
        <w:t xml:space="preserve"> </w:t>
      </w:r>
      <w:r>
        <w:rPr>
          <w:lang w:eastAsia="zh-CN"/>
        </w:rPr>
        <w:t xml:space="preserve">, and </w:t>
      </w:r>
      <w:r w:rsidR="007A1C02">
        <w:rPr>
          <w:lang w:eastAsia="zh-CN"/>
        </w:rPr>
        <w:t>is</w:t>
      </w:r>
      <w:r>
        <w:rPr>
          <w:lang w:eastAsia="zh-CN"/>
        </w:rPr>
        <w:t xml:space="preserve"> shown in Table 1. In this contribution, we discuss th</w:t>
      </w:r>
      <w:r w:rsidR="007A1C02">
        <w:rPr>
          <w:lang w:eastAsia="zh-CN"/>
        </w:rPr>
        <w:t xml:space="preserve">is </w:t>
      </w:r>
      <w:r>
        <w:rPr>
          <w:lang w:eastAsia="zh-CN"/>
        </w:rPr>
        <w:t>issue.</w:t>
      </w:r>
    </w:p>
    <w:p w14:paraId="103E5106" w14:textId="3596B1DB" w:rsidR="00BE45B7" w:rsidRDefault="00BE45B7" w:rsidP="00BE45B7">
      <w:pPr>
        <w:pStyle w:val="Caption"/>
      </w:pPr>
      <w:r>
        <w:t xml:space="preserve">Table </w:t>
      </w:r>
      <w:r w:rsidR="00060A54">
        <w:fldChar w:fldCharType="begin"/>
      </w:r>
      <w:r w:rsidR="00060A54">
        <w:instrText xml:space="preserve"> SEQ Table \* ARABIC </w:instrText>
      </w:r>
      <w:r w:rsidR="00060A54">
        <w:fldChar w:fldCharType="separate"/>
      </w:r>
      <w:r w:rsidR="007F6CE9">
        <w:rPr>
          <w:noProof/>
        </w:rPr>
        <w:t>1</w:t>
      </w:r>
      <w:r w:rsidR="00060A54">
        <w:rPr>
          <w:noProof/>
        </w:rPr>
        <w:fldChar w:fldCharType="end"/>
      </w:r>
      <w:r>
        <w:t xml:space="preserve">. Open issues for </w:t>
      </w:r>
      <w:r w:rsidR="00E05F14">
        <w:t>physical procedures for sidelink</w:t>
      </w:r>
      <w:r w:rsidR="000D15B7">
        <w:t>.</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7A1C02" w:rsidRPr="004E1F9F" w14:paraId="333210F0" w14:textId="77777777" w:rsidTr="00937D91">
        <w:tc>
          <w:tcPr>
            <w:tcW w:w="1527" w:type="dxa"/>
            <w:shd w:val="clear" w:color="auto" w:fill="auto"/>
          </w:tcPr>
          <w:p w14:paraId="219A9107" w14:textId="77777777" w:rsidR="007A1C02" w:rsidRPr="004E1F9F" w:rsidRDefault="007A1C02" w:rsidP="00937D91">
            <w:pPr>
              <w:spacing w:after="0" w:line="320" w:lineRule="exact"/>
              <w:rPr>
                <w:rFonts w:cs="Batang"/>
                <w:sz w:val="20"/>
                <w:lang w:eastAsia="ko-KR"/>
              </w:rPr>
            </w:pPr>
            <w:r w:rsidRPr="004E1F9F">
              <w:rPr>
                <w:rFonts w:cs="Batang" w:hint="eastAsia"/>
                <w:sz w:val="20"/>
                <w:lang w:eastAsia="ko-KR"/>
              </w:rPr>
              <w:t>QoS</w:t>
            </w:r>
          </w:p>
        </w:tc>
        <w:tc>
          <w:tcPr>
            <w:tcW w:w="595" w:type="dxa"/>
          </w:tcPr>
          <w:p w14:paraId="41BA8931" w14:textId="77777777" w:rsidR="007A1C02" w:rsidRPr="004E1F9F" w:rsidRDefault="007A1C02" w:rsidP="00937D91">
            <w:pPr>
              <w:spacing w:after="0" w:line="320" w:lineRule="exact"/>
              <w:rPr>
                <w:rFonts w:cs="Batang"/>
                <w:sz w:val="20"/>
                <w:lang w:eastAsia="ko-KR"/>
              </w:rPr>
            </w:pPr>
            <w:r w:rsidRPr="004E1F9F">
              <w:rPr>
                <w:rFonts w:cs="Batang"/>
                <w:sz w:val="20"/>
                <w:lang w:eastAsia="ko-KR"/>
              </w:rPr>
              <w:t>F</w:t>
            </w:r>
            <w:r w:rsidRPr="004E1F9F">
              <w:rPr>
                <w:rFonts w:cs="Batang" w:hint="eastAsia"/>
                <w:sz w:val="20"/>
                <w:lang w:eastAsia="ko-KR"/>
              </w:rPr>
              <w:t>1</w:t>
            </w:r>
          </w:p>
        </w:tc>
        <w:tc>
          <w:tcPr>
            <w:tcW w:w="6406" w:type="dxa"/>
            <w:shd w:val="clear" w:color="auto" w:fill="auto"/>
          </w:tcPr>
          <w:p w14:paraId="2C2DF9DD" w14:textId="77777777" w:rsidR="007A1C02" w:rsidRPr="004E1F9F" w:rsidRDefault="007A1C02" w:rsidP="00937D91">
            <w:pPr>
              <w:spacing w:after="0" w:line="320" w:lineRule="exact"/>
              <w:rPr>
                <w:rFonts w:cs="Batang"/>
                <w:sz w:val="20"/>
                <w:lang w:eastAsia="ko-KR"/>
              </w:rPr>
            </w:pPr>
            <w:r w:rsidRPr="00A83C66">
              <w:rPr>
                <w:rFonts w:cs="Batang"/>
                <w:sz w:val="20"/>
                <w:lang w:eastAsia="ko-KR"/>
              </w:rPr>
              <w:t>Details on timing of CR evaluation, e.g., for each (re)transmission</w:t>
            </w:r>
            <w:r w:rsidRPr="00A83C66" w:rsidDel="00A83C66">
              <w:rPr>
                <w:rFonts w:cs="Batang"/>
                <w:sz w:val="20"/>
                <w:lang w:eastAsia="ko-KR"/>
              </w:rPr>
              <w:t xml:space="preserve"> </w:t>
            </w:r>
          </w:p>
        </w:tc>
        <w:tc>
          <w:tcPr>
            <w:tcW w:w="1640" w:type="dxa"/>
            <w:shd w:val="clear" w:color="auto" w:fill="auto"/>
          </w:tcPr>
          <w:p w14:paraId="7AD75DB0" w14:textId="77777777" w:rsidR="007A1C02" w:rsidRPr="004E1F9F" w:rsidRDefault="007A1C02" w:rsidP="00937D91">
            <w:pPr>
              <w:spacing w:after="0" w:line="320" w:lineRule="exact"/>
              <w:rPr>
                <w:rFonts w:cs="Batang"/>
                <w:sz w:val="20"/>
                <w:lang w:eastAsia="ko-KR"/>
              </w:rPr>
            </w:pPr>
            <w:r>
              <w:rPr>
                <w:rFonts w:cs="Batang"/>
                <w:sz w:val="20"/>
                <w:lang w:eastAsia="ko-KR"/>
              </w:rPr>
              <w:t>No</w:t>
            </w:r>
          </w:p>
        </w:tc>
      </w:tr>
    </w:tbl>
    <w:p w14:paraId="3DAB8C32" w14:textId="77777777" w:rsidR="008E2F31" w:rsidRPr="008E2F31" w:rsidRDefault="008E2F31" w:rsidP="008E2F31"/>
    <w:p w14:paraId="35954F20" w14:textId="75AEF7CF" w:rsidR="00816E9B" w:rsidRDefault="00EE4568" w:rsidP="00493C77">
      <w:pPr>
        <w:pStyle w:val="Heading1"/>
      </w:pPr>
      <w:r>
        <w:t>Discussion</w:t>
      </w:r>
    </w:p>
    <w:p w14:paraId="5465A4E7" w14:textId="1913F78D" w:rsidR="007A1C02" w:rsidRDefault="00A674F2" w:rsidP="007A1C02">
      <w:r>
        <w:t xml:space="preserve">During email discussion </w:t>
      </w:r>
      <w:r w:rsidR="008C052E">
        <w:t>[99-NR-12], the following was agreed:</w:t>
      </w:r>
    </w:p>
    <w:p w14:paraId="09E0B8C1" w14:textId="77777777" w:rsidR="008C052E" w:rsidRPr="008C052E" w:rsidRDefault="008C052E" w:rsidP="008C052E">
      <w:pPr>
        <w:numPr>
          <w:ilvl w:val="0"/>
          <w:numId w:val="45"/>
        </w:numPr>
        <w:autoSpaceDE/>
        <w:autoSpaceDN/>
        <w:adjustRightInd/>
        <w:snapToGrid/>
        <w:spacing w:after="0"/>
        <w:jc w:val="left"/>
        <w:rPr>
          <w:rFonts w:eastAsia="Times New Roman"/>
          <w:i/>
          <w:iCs/>
          <w:color w:val="000000"/>
        </w:rPr>
      </w:pPr>
      <w:r w:rsidRPr="008C052E">
        <w:rPr>
          <w:rFonts w:eastAsia="Times New Roman"/>
          <w:i/>
          <w:iCs/>
          <w:color w:val="000000"/>
          <w:sz w:val="20"/>
          <w:szCs w:val="20"/>
        </w:rPr>
        <w:t>The future segment of the CR evaluation window reuses the same behaviour as in the LTE V2X sidelink.</w:t>
      </w:r>
    </w:p>
    <w:p w14:paraId="0D1C8CB9" w14:textId="77777777" w:rsidR="008C052E" w:rsidRPr="008C052E" w:rsidRDefault="008C052E" w:rsidP="008C052E">
      <w:pPr>
        <w:numPr>
          <w:ilvl w:val="1"/>
          <w:numId w:val="46"/>
        </w:numPr>
        <w:autoSpaceDE/>
        <w:autoSpaceDN/>
        <w:adjustRightInd/>
        <w:snapToGrid/>
        <w:spacing w:after="0"/>
        <w:jc w:val="left"/>
        <w:rPr>
          <w:rFonts w:ascii="Calibri" w:eastAsia="Times New Roman" w:hAnsi="Calibri" w:cs="Calibri"/>
          <w:color w:val="000000"/>
        </w:rPr>
      </w:pPr>
      <w:r w:rsidRPr="008C052E">
        <w:rPr>
          <w:rFonts w:eastAsia="Times New Roman"/>
          <w:i/>
          <w:iCs/>
          <w:color w:val="000000"/>
          <w:sz w:val="20"/>
          <w:szCs w:val="20"/>
        </w:rPr>
        <w:t>FFS whether additional constraints on UE’s choice of values for a and b are needed</w:t>
      </w:r>
    </w:p>
    <w:p w14:paraId="705E2E8F" w14:textId="7E084CB8" w:rsidR="008C052E" w:rsidRDefault="008C052E" w:rsidP="007A1C02">
      <w:r>
        <w:t>In TS38.215, CR is defined as follows:</w:t>
      </w:r>
    </w:p>
    <w:p w14:paraId="4418D551" w14:textId="77777777" w:rsidR="008C052E" w:rsidRDefault="008C052E" w:rsidP="008C052E">
      <w:pPr>
        <w:pStyle w:val="Heading3"/>
        <w:numPr>
          <w:ilvl w:val="0"/>
          <w:numId w:val="0"/>
        </w:numPr>
        <w:ind w:left="720" w:hanging="720"/>
        <w:rPr>
          <w:lang w:eastAsia="ko-KR"/>
        </w:rPr>
      </w:pPr>
      <w:bookmarkStart w:id="3" w:name="_Toc524695286"/>
      <w:r>
        <w:t>5.1.ee</w:t>
      </w:r>
      <w:r>
        <w:tab/>
        <w:t>Sidelink c</w:t>
      </w:r>
      <w:r>
        <w:rPr>
          <w:lang w:eastAsia="ko-KR"/>
        </w:rPr>
        <w:t>hannel occupancy ratio (SL CR)</w:t>
      </w:r>
      <w:bookmarkEnd w:id="3"/>
    </w:p>
    <w:p w14:paraId="07BC67C9" w14:textId="77777777" w:rsidR="008C052E" w:rsidRDefault="008C052E" w:rsidP="008C052E">
      <w:pPr>
        <w:pStyle w:val="TH"/>
        <w:rPr>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C052E" w:rsidRPr="00D4560A" w14:paraId="2B67FCAE" w14:textId="77777777" w:rsidTr="00937D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E637F3" w14:textId="77777777" w:rsidR="008C052E" w:rsidRDefault="008C052E" w:rsidP="00937D9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7FD4C61" w14:textId="77777777" w:rsidR="008C052E" w:rsidRDefault="008C052E" w:rsidP="00937D91">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8C052E" w14:paraId="7B072C41" w14:textId="77777777" w:rsidTr="00937D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557813" w14:textId="77777777" w:rsidR="008C052E" w:rsidRDefault="008C052E" w:rsidP="00937D9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CEC5B14" w14:textId="77777777" w:rsidR="008C052E" w:rsidRDefault="008C052E" w:rsidP="00937D91">
            <w:pPr>
              <w:pStyle w:val="TAL"/>
              <w:rPr>
                <w:lang w:eastAsia="en-GB"/>
              </w:rPr>
            </w:pPr>
            <w:r>
              <w:rPr>
                <w:lang w:eastAsia="en-GB"/>
              </w:rPr>
              <w:t>RRC_IDLE intra-frequency,</w:t>
            </w:r>
          </w:p>
          <w:p w14:paraId="326ED081" w14:textId="77777777" w:rsidR="008C052E" w:rsidRDefault="008C052E" w:rsidP="00937D91">
            <w:pPr>
              <w:pStyle w:val="TAL"/>
              <w:rPr>
                <w:lang w:eastAsia="en-GB"/>
              </w:rPr>
            </w:pPr>
            <w:r>
              <w:rPr>
                <w:lang w:eastAsia="en-GB"/>
              </w:rPr>
              <w:t>RRC_IDLE inter-frequency,</w:t>
            </w:r>
          </w:p>
          <w:p w14:paraId="6041AE37" w14:textId="77777777" w:rsidR="008C052E" w:rsidRDefault="008C052E" w:rsidP="00937D91">
            <w:pPr>
              <w:pStyle w:val="TAL"/>
              <w:rPr>
                <w:lang w:eastAsia="en-GB"/>
              </w:rPr>
            </w:pPr>
            <w:r>
              <w:rPr>
                <w:lang w:eastAsia="en-GB"/>
              </w:rPr>
              <w:t>RRC_CONNECTED intra-frequency,</w:t>
            </w:r>
          </w:p>
          <w:p w14:paraId="52C56D83" w14:textId="77777777" w:rsidR="008C052E" w:rsidRDefault="008C052E" w:rsidP="00937D91">
            <w:pPr>
              <w:pStyle w:val="TAL"/>
              <w:rPr>
                <w:lang w:eastAsia="en-GB"/>
              </w:rPr>
            </w:pPr>
            <w:r>
              <w:rPr>
                <w:lang w:eastAsia="en-GB"/>
              </w:rPr>
              <w:t>RRC_CONNECTED inter-frequency</w:t>
            </w:r>
          </w:p>
        </w:tc>
      </w:tr>
    </w:tbl>
    <w:p w14:paraId="5D39A881" w14:textId="77777777" w:rsidR="008C052E" w:rsidRDefault="008C052E" w:rsidP="008C052E"/>
    <w:p w14:paraId="0802567A" w14:textId="77777777" w:rsidR="008C052E" w:rsidRDefault="008C052E" w:rsidP="008C052E">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a &gt;= TBD, and n+b should not exceed the last transmission opportunity of the grant for the current transmission.</w:t>
      </w:r>
    </w:p>
    <w:p w14:paraId="5CBC323A" w14:textId="77777777" w:rsidR="008C052E" w:rsidRDefault="008C052E" w:rsidP="008C052E">
      <w:pPr>
        <w:pStyle w:val="NO"/>
        <w:rPr>
          <w:rFonts w:ascii="Calibri" w:hAnsi="Calibri"/>
          <w:sz w:val="22"/>
          <w:szCs w:val="22"/>
          <w:lang w:val="en-US" w:eastAsia="ko-KR"/>
        </w:rPr>
      </w:pPr>
      <w:r>
        <w:rPr>
          <w:lang w:eastAsia="ko-KR"/>
        </w:rPr>
        <w:t>NOTE 2:</w:t>
      </w:r>
      <w:r>
        <w:rPr>
          <w:lang w:eastAsia="ko-KR"/>
        </w:rPr>
        <w:tab/>
        <w:t>SL CR is evaluated for [each (re)transmission].</w:t>
      </w:r>
    </w:p>
    <w:p w14:paraId="3ADFC5D8" w14:textId="77777777" w:rsidR="008C052E" w:rsidRDefault="008C052E" w:rsidP="008C052E">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35B5C317" w14:textId="77777777" w:rsidR="008C052E" w:rsidRDefault="008C052E" w:rsidP="008C052E">
      <w:pPr>
        <w:pStyle w:val="NO"/>
        <w:rPr>
          <w:lang w:eastAsia="ko-KR"/>
        </w:rPr>
      </w:pPr>
      <w:r>
        <w:rPr>
          <w:lang w:eastAsia="ko-KR"/>
        </w:rPr>
        <w:t>[NOTE 4:</w:t>
      </w:r>
      <w:r>
        <w:rPr>
          <w:lang w:eastAsia="ko-KR"/>
        </w:rPr>
        <w:tab/>
        <w:t>The slot index is based on physical slot index.]</w:t>
      </w:r>
    </w:p>
    <w:p w14:paraId="190A181C" w14:textId="77777777" w:rsidR="008C052E" w:rsidRDefault="008C052E" w:rsidP="008C052E">
      <w:pPr>
        <w:pStyle w:val="NO"/>
      </w:pPr>
      <w:r>
        <w:rPr>
          <w:lang w:eastAsia="ko-KR"/>
        </w:rPr>
        <w:t>NOTE 5:</w:t>
      </w:r>
      <w:r>
        <w:rPr>
          <w:lang w:eastAsia="ko-KR"/>
        </w:rPr>
        <w:tab/>
        <w:t>SL CR can be computed per priority level</w:t>
      </w:r>
    </w:p>
    <w:p w14:paraId="1F741A12" w14:textId="315D4395" w:rsidR="008C052E" w:rsidRDefault="008C052E" w:rsidP="007A1C02">
      <w:r>
        <w:t xml:space="preserve">The main concern that was raised during the email discussion was that </w:t>
      </w:r>
      <w:r w:rsidR="00880CC7">
        <w:t>for the “future” part of the CR computation [n</w:t>
      </w:r>
      <w:r w:rsidR="00A771BF">
        <w:t>+1</w:t>
      </w:r>
      <w:r w:rsidR="00880CC7">
        <w:t>, n+b]. For LTE, the number of retransmissions of a given packet was known, whereas for NR it can go up to 32. In addition, there were concerns that for aperiodic traffic, it is hard to predict future transmission. Thus, at least for aperiodic traffic, it would make sense to limit the CR computation to the past only.</w:t>
      </w:r>
    </w:p>
    <w:p w14:paraId="5C8CFAA2" w14:textId="1DAEF1BC" w:rsidR="00880CC7" w:rsidRDefault="00880CC7" w:rsidP="007A1C02">
      <w:r>
        <w:t xml:space="preserve">We however note that </w:t>
      </w:r>
      <w:r w:rsidR="00CD4197">
        <w:t xml:space="preserve">RAN1 has not conducted evaluations for the impact of </w:t>
      </w:r>
      <w:r w:rsidR="00CD4197">
        <w:rPr>
          <w:i/>
          <w:iCs/>
        </w:rPr>
        <w:t>a</w:t>
      </w:r>
      <w:r w:rsidR="00CD4197">
        <w:t xml:space="preserve"> and </w:t>
      </w:r>
      <w:r w:rsidR="00CD4197">
        <w:rPr>
          <w:i/>
          <w:iCs/>
        </w:rPr>
        <w:t>b</w:t>
      </w:r>
      <w:r w:rsidR="00CD4197">
        <w:t xml:space="preserve"> on CR computation. We also note that </w:t>
      </w:r>
      <w:r w:rsidR="00CD4197">
        <w:rPr>
          <w:i/>
          <w:iCs/>
        </w:rPr>
        <w:t>a</w:t>
      </w:r>
      <w:r w:rsidR="00CD4197">
        <w:t xml:space="preserve"> and </w:t>
      </w:r>
      <w:r w:rsidR="00CD4197">
        <w:rPr>
          <w:i/>
          <w:iCs/>
        </w:rPr>
        <w:t>b</w:t>
      </w:r>
      <w:r w:rsidR="00CD4197">
        <w:t xml:space="preserve"> are up to the implementation, and that the UE can choose a window mostly </w:t>
      </w:r>
      <w:r w:rsidR="00CD4197">
        <w:lastRenderedPageBreak/>
        <w:t xml:space="preserve">covering the past for aperiodic traffic. A ‘bad’ choice of </w:t>
      </w:r>
      <w:r w:rsidR="00CD4197">
        <w:rPr>
          <w:i/>
          <w:iCs/>
        </w:rPr>
        <w:t>a</w:t>
      </w:r>
      <w:r w:rsidR="00CD4197">
        <w:t xml:space="preserve"> and </w:t>
      </w:r>
      <w:r w:rsidR="00CD4197">
        <w:rPr>
          <w:i/>
          <w:iCs/>
        </w:rPr>
        <w:t>b</w:t>
      </w:r>
      <w:r w:rsidR="00CD4197">
        <w:t xml:space="preserve"> would mostly affect the transmitting UE, but would not have negative impact on the system performance. Thus, from our perspective, </w:t>
      </w:r>
      <w:r w:rsidR="00CD4197">
        <w:rPr>
          <w:i/>
          <w:iCs/>
        </w:rPr>
        <w:t xml:space="preserve">a </w:t>
      </w:r>
      <w:r w:rsidR="00CD4197">
        <w:t xml:space="preserve">and </w:t>
      </w:r>
      <w:r w:rsidR="00CD4197">
        <w:rPr>
          <w:i/>
          <w:iCs/>
        </w:rPr>
        <w:t>b</w:t>
      </w:r>
      <w:r w:rsidR="00CD4197">
        <w:t xml:space="preserve"> can be left up to the UE implementation.</w:t>
      </w:r>
    </w:p>
    <w:p w14:paraId="5B7C8785" w14:textId="7C6DE9FA" w:rsidR="00CD4197" w:rsidRDefault="00CD4197" w:rsidP="007A1C02">
      <w:pPr>
        <w:rPr>
          <w:b/>
          <w:bCs/>
          <w:i/>
          <w:iCs/>
        </w:rPr>
      </w:pPr>
      <w:r w:rsidRPr="00CD4197">
        <w:rPr>
          <w:b/>
          <w:bCs/>
          <w:i/>
          <w:iCs/>
        </w:rPr>
        <w:t>Proposal 1: No additional constrain for the values of a and b are needed</w:t>
      </w:r>
    </w:p>
    <w:p w14:paraId="1FB60D57" w14:textId="58FE760D" w:rsidR="003B2A63" w:rsidRDefault="003B2A63" w:rsidP="007A1C02">
      <w:r>
        <w:t>In addition, a grant can schedule up to 3 transmissions. With HARQ, there is the possibility of early termination, with some reserved resources not being used. For such a case, the unused reserved resources should not be included in the CR computation.</w:t>
      </w:r>
    </w:p>
    <w:p w14:paraId="3503B2A8" w14:textId="2CCA8BC1" w:rsidR="003B2A63" w:rsidRPr="00C96587" w:rsidRDefault="00C96587" w:rsidP="007A1C02">
      <w:pPr>
        <w:rPr>
          <w:b/>
          <w:bCs/>
          <w:i/>
          <w:iCs/>
        </w:rPr>
      </w:pPr>
      <w:r w:rsidRPr="00C96587">
        <w:rPr>
          <w:b/>
          <w:bCs/>
          <w:i/>
          <w:iCs/>
        </w:rPr>
        <w:t>Proposal 2: Resources which have been reserved for retransmission but released due to HARQ feedback are not counted in CR evaluation.</w:t>
      </w:r>
    </w:p>
    <w:p w14:paraId="3518B99D" w14:textId="1D08E09C" w:rsidR="00744A23" w:rsidRDefault="00882E8B" w:rsidP="00882E8B">
      <w:pPr>
        <w:pStyle w:val="Heading1"/>
      </w:pPr>
      <w:r>
        <w:t>Conclusion</w:t>
      </w:r>
    </w:p>
    <w:p w14:paraId="789D80E2" w14:textId="2A1E3DD4" w:rsidR="004C4902" w:rsidRDefault="004C4902" w:rsidP="004C4902">
      <w:r>
        <w:t xml:space="preserve">The remaining detail of </w:t>
      </w:r>
      <w:r w:rsidR="00A674F2">
        <w:t>QoS was</w:t>
      </w:r>
      <w:r>
        <w:t xml:space="preserve"> discussed. We propose the following</w:t>
      </w:r>
      <w:r w:rsidR="003B2A63">
        <w:t xml:space="preserve"> for the sidelink occupancy ratio</w:t>
      </w:r>
      <w:r>
        <w:t>:</w:t>
      </w:r>
    </w:p>
    <w:p w14:paraId="6536A53C" w14:textId="77777777" w:rsidR="003B2A63" w:rsidRPr="00CD4197" w:rsidRDefault="003B2A63" w:rsidP="003B2A63">
      <w:pPr>
        <w:rPr>
          <w:b/>
          <w:bCs/>
          <w:i/>
          <w:iCs/>
        </w:rPr>
      </w:pPr>
      <w:r w:rsidRPr="00CD4197">
        <w:rPr>
          <w:b/>
          <w:bCs/>
          <w:i/>
          <w:iCs/>
        </w:rPr>
        <w:t>Proposal 1: No additional constrain for the values of a and b are needed</w:t>
      </w:r>
    </w:p>
    <w:p w14:paraId="14BECFF8" w14:textId="3FCAD7FB" w:rsidR="004C4902" w:rsidRPr="00FF34CD" w:rsidRDefault="00FF34CD" w:rsidP="004C4902">
      <w:pPr>
        <w:rPr>
          <w:b/>
          <w:bCs/>
          <w:i/>
          <w:iCs/>
        </w:rPr>
      </w:pPr>
      <w:r w:rsidRPr="00C96587">
        <w:rPr>
          <w:b/>
          <w:bCs/>
          <w:i/>
          <w:iCs/>
        </w:rPr>
        <w:t>Proposal 2: Resources which have been reserved for retransmission but released due to HARQ feedback are not counted in CR evaluation.</w:t>
      </w:r>
    </w:p>
    <w:p w14:paraId="20D32928" w14:textId="36420F98" w:rsidR="00E7756E" w:rsidRDefault="00E7756E" w:rsidP="00E7756E">
      <w:pPr>
        <w:pStyle w:val="Heading1"/>
        <w:numPr>
          <w:ilvl w:val="0"/>
          <w:numId w:val="0"/>
        </w:numPr>
        <w:ind w:left="432" w:hanging="432"/>
      </w:pPr>
      <w:r>
        <w:t>References</w:t>
      </w:r>
    </w:p>
    <w:p w14:paraId="2174F2C0" w14:textId="49F048E9" w:rsidR="009E5EA4" w:rsidRPr="00E7756E"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r w:rsidR="00BE45B7">
        <w:t>Sitges</w:t>
      </w:r>
      <w:r>
        <w:t xml:space="preserve">, </w:t>
      </w:r>
      <w:r w:rsidR="00BE45B7">
        <w:t>Spain</w:t>
      </w:r>
      <w:r>
        <w:t xml:space="preserve">, </w:t>
      </w:r>
      <w:r w:rsidR="00BE45B7">
        <w:t>Dec</w:t>
      </w:r>
      <w:r>
        <w:t xml:space="preserve"> </w:t>
      </w:r>
      <w:r w:rsidR="00BE45B7">
        <w:t>9</w:t>
      </w:r>
      <w:r>
        <w:t>-</w:t>
      </w:r>
      <w:r w:rsidR="00BE45B7">
        <w:t>1</w:t>
      </w:r>
      <w:r>
        <w:t>2, 2019</w:t>
      </w:r>
    </w:p>
    <w:sectPr w:rsidR="009E5EA4"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3231B" w14:textId="77777777" w:rsidR="00060A54" w:rsidRDefault="00060A54">
      <w:r>
        <w:separator/>
      </w:r>
    </w:p>
  </w:endnote>
  <w:endnote w:type="continuationSeparator" w:id="0">
    <w:p w14:paraId="075ED427" w14:textId="77777777" w:rsidR="00060A54" w:rsidRDefault="0006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71B7F" w14:textId="77777777" w:rsidR="00060A54" w:rsidRDefault="00060A54">
      <w:r>
        <w:separator/>
      </w:r>
    </w:p>
  </w:footnote>
  <w:footnote w:type="continuationSeparator" w:id="0">
    <w:p w14:paraId="758E9C3E" w14:textId="77777777" w:rsidR="00060A54" w:rsidRDefault="00060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D0657BF"/>
    <w:multiLevelType w:val="hybridMultilevel"/>
    <w:tmpl w:val="2AFA0A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E993E74"/>
    <w:multiLevelType w:val="multilevel"/>
    <w:tmpl w:val="4560D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379EF"/>
    <w:multiLevelType w:val="hybridMultilevel"/>
    <w:tmpl w:val="25FE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934BE"/>
    <w:multiLevelType w:val="multilevel"/>
    <w:tmpl w:val="33408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3079AE"/>
    <w:multiLevelType w:val="hybridMultilevel"/>
    <w:tmpl w:val="9E10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D769BA"/>
    <w:multiLevelType w:val="hybridMultilevel"/>
    <w:tmpl w:val="29262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27C7F"/>
    <w:multiLevelType w:val="hybridMultilevel"/>
    <w:tmpl w:val="E348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3EC968A3"/>
    <w:multiLevelType w:val="hybridMultilevel"/>
    <w:tmpl w:val="E4589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068D5"/>
    <w:multiLevelType w:val="hybridMultilevel"/>
    <w:tmpl w:val="E4B8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649625BE"/>
    <w:multiLevelType w:val="hybridMultilevel"/>
    <w:tmpl w:val="7FD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E31EA7"/>
    <w:multiLevelType w:val="hybridMultilevel"/>
    <w:tmpl w:val="4E569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327FB4"/>
    <w:multiLevelType w:val="hybridMultilevel"/>
    <w:tmpl w:val="D89A2F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F573E47"/>
    <w:multiLevelType w:val="hybridMultilevel"/>
    <w:tmpl w:val="60DC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E7182"/>
    <w:multiLevelType w:val="hybridMultilevel"/>
    <w:tmpl w:val="8B5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32"/>
  </w:num>
  <w:num w:numId="4">
    <w:abstractNumId w:val="26"/>
  </w:num>
  <w:num w:numId="5">
    <w:abstractNumId w:val="14"/>
  </w:num>
  <w:num w:numId="6">
    <w:abstractNumId w:val="9"/>
  </w:num>
  <w:num w:numId="7">
    <w:abstractNumId w:val="23"/>
  </w:num>
  <w:num w:numId="8">
    <w:abstractNumId w:val="32"/>
  </w:num>
  <w:num w:numId="9">
    <w:abstractNumId w:val="11"/>
  </w:num>
  <w:num w:numId="10">
    <w:abstractNumId w:val="8"/>
  </w:num>
  <w:num w:numId="11">
    <w:abstractNumId w:val="19"/>
  </w:num>
  <w:num w:numId="12">
    <w:abstractNumId w:val="29"/>
  </w:num>
  <w:num w:numId="13">
    <w:abstractNumId w:val="1"/>
  </w:num>
  <w:num w:numId="14">
    <w:abstractNumId w:val="15"/>
  </w:num>
  <w:num w:numId="15">
    <w:abstractNumId w:val="40"/>
  </w:num>
  <w:num w:numId="16">
    <w:abstractNumId w:val="31"/>
  </w:num>
  <w:num w:numId="17">
    <w:abstractNumId w:val="31"/>
  </w:num>
  <w:num w:numId="18">
    <w:abstractNumId w:val="37"/>
  </w:num>
  <w:num w:numId="19">
    <w:abstractNumId w:val="28"/>
  </w:num>
  <w:num w:numId="20">
    <w:abstractNumId w:val="13"/>
  </w:num>
  <w:num w:numId="21">
    <w:abstractNumId w:val="5"/>
  </w:num>
  <w:num w:numId="22">
    <w:abstractNumId w:val="36"/>
  </w:num>
  <w:num w:numId="23">
    <w:abstractNumId w:val="20"/>
  </w:num>
  <w:num w:numId="24">
    <w:abstractNumId w:val="33"/>
  </w:num>
  <w:num w:numId="25">
    <w:abstractNumId w:val="39"/>
  </w:num>
  <w:num w:numId="26">
    <w:abstractNumId w:val="21"/>
  </w:num>
  <w:num w:numId="27">
    <w:abstractNumId w:val="41"/>
  </w:num>
  <w:num w:numId="28">
    <w:abstractNumId w:val="2"/>
  </w:num>
  <w:num w:numId="29">
    <w:abstractNumId w:val="25"/>
  </w:num>
  <w:num w:numId="30">
    <w:abstractNumId w:val="34"/>
  </w:num>
  <w:num w:numId="31">
    <w:abstractNumId w:val="18"/>
  </w:num>
  <w:num w:numId="32">
    <w:abstractNumId w:val="34"/>
  </w:num>
  <w:num w:numId="33">
    <w:abstractNumId w:val="27"/>
  </w:num>
  <w:num w:numId="34">
    <w:abstractNumId w:val="17"/>
  </w:num>
  <w:num w:numId="35">
    <w:abstractNumId w:val="38"/>
  </w:num>
  <w:num w:numId="36">
    <w:abstractNumId w:val="12"/>
  </w:num>
  <w:num w:numId="37">
    <w:abstractNumId w:val="6"/>
  </w:num>
  <w:num w:numId="38">
    <w:abstractNumId w:val="10"/>
  </w:num>
  <w:num w:numId="39">
    <w:abstractNumId w:val="30"/>
  </w:num>
  <w:num w:numId="40">
    <w:abstractNumId w:val="3"/>
  </w:num>
  <w:num w:numId="41">
    <w:abstractNumId w:val="35"/>
  </w:num>
  <w:num w:numId="42">
    <w:abstractNumId w:val="31"/>
  </w:num>
  <w:num w:numId="43">
    <w:abstractNumId w:val="24"/>
  </w:num>
  <w:num w:numId="44">
    <w:abstractNumId w:val="42"/>
  </w:num>
  <w:num w:numId="45">
    <w:abstractNumId w:val="4"/>
  </w:num>
  <w:num w:numId="46">
    <w:abstractNumId w:val="7"/>
  </w:num>
  <w:num w:numId="4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54"/>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1D6"/>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F8"/>
    <w:rsid w:val="003B0E79"/>
    <w:rsid w:val="003B19A2"/>
    <w:rsid w:val="003B2A63"/>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30"/>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DD1"/>
    <w:rsid w:val="005C00A0"/>
    <w:rsid w:val="005C00E7"/>
    <w:rsid w:val="005C0A1E"/>
    <w:rsid w:val="005C1AE6"/>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8B4"/>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C0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588F"/>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CC7"/>
    <w:rsid w:val="00880D53"/>
    <w:rsid w:val="00880F30"/>
    <w:rsid w:val="00882238"/>
    <w:rsid w:val="00882E8B"/>
    <w:rsid w:val="008833E8"/>
    <w:rsid w:val="0088351E"/>
    <w:rsid w:val="00883EEF"/>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E7D"/>
    <w:rsid w:val="009C17DA"/>
    <w:rsid w:val="009C2685"/>
    <w:rsid w:val="009C2CE0"/>
    <w:rsid w:val="009C32BF"/>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771BF"/>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6825"/>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47"/>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A70FF-6CC5-4DCA-9EAF-95EAC54C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        5.1.ee	Sidelink channel occupancy ratio (SL CR)</vt:lpstr>
      <vt:lpstr>Conclusion</vt:lpstr>
      <vt:lpstr>References</vt:lpstr>
    </vt:vector>
  </TitlesOfParts>
  <Company>Futurewei</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2020-02-13T21:16:00Z</dcterms:created>
  <dcterms:modified xsi:type="dcterms:W3CDTF">2020-02-14T22:28:00Z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(3)GgJ3Y16MBwdZgAmtyRveQVlgYBaZ8VRxoqaETrtfG+YwGqAI7kAksW40AVMlEeK+lYlb1uK/
KLP1lpDl3+d8R+lxknPxCQiF7lUY528ud6WFiJ9kH02g8ey6sXfZi7Rq8WbTBJ6+0pLf7vU+
eD8SV7NOVg8j9K/Pl1qjB6kOWgQtONnkYvB3lt4w3WXJT4pRFfJxTlQQSqn6wJMtUGyL4pn0
LiAwcNP3+2etIV9y3s</vt:lpwstr>
  </property>
  <property fmtid="{D5CDD505-2E9C-101B-9397-08002B2CF9AE}" pid="13" name="_2015_ms_pID_725343_00">
    <vt:lpwstr>_2015_ms_pID_725343</vt:lpwstr>
  </property>
  <property fmtid="{D5CDD505-2E9C-101B-9397-08002B2CF9AE}" pid="14" name="_2015_ms_pID_7253431">
    <vt:lpwstr>edGdHmSzCXu1aWMQRpIg4XLxUb2kJQO5p74nlrU8RkBka1gd7D3/C2
k7+r/koPwf6jc0gNO1HmT7V/r1J7ZcGZ7gPZdGtQyKum8ifytz/cr+eAOAlchyLCM1e4ON57
W9gDM74owzz14pFR9cifSg6NflckAmPAWa6VmvEtwMn6fs+qEE9wvJBIXPz4rB2YzsJQDAgS
gJu+cMSeVUDbtJCGiB4LPFKG2nx3Cy99qeAq</vt:lpwstr>
  </property>
  <property fmtid="{D5CDD505-2E9C-101B-9397-08002B2CF9AE}" pid="15" name="_2015_ms_pID_7253431_00">
    <vt:lpwstr>_2015_ms_pID_7253431</vt:lpwstr>
  </property>
  <property fmtid="{D5CDD505-2E9C-101B-9397-08002B2CF9AE}" pid="16" name="_2015_ms_pID_7253432">
    <vt:lpwstr>7n7PjoKdBObWjVkMp/QQONHJ/RUPw1+JixKu
dxSMM1s8IeZWk3AhCWlP+ON9XDEnnBqukUr25tSugFcJj2Csc3c=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