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7"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[90E][40][BWCS_reporting]</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A7661">
        <w:rPr>
          <w:rFonts w:ascii="Arial" w:hAnsi="Arial" w:cs="Arial"/>
          <w:b/>
          <w:bCs/>
          <w:sz w:val="24"/>
        </w:rPr>
        <w:t>NR_NewRAT-Core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2F3B3A" w:rsidP="00627206">
            <w:hyperlink r:id="rId8"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descr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ZTE wonders if there is other cases than 3A 3A.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vivo wonder if UE doesn't support 3A 3A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oal of this disucssion is g</w:t>
      </w:r>
      <w:r w:rsidR="00975749">
        <w:rPr>
          <w:lang w:val="en-US"/>
        </w:rPr>
        <w:t xml:space="preserve">enerate an agreeable way forward. To that end, section 2 first summarizes the technical background of </w:t>
      </w:r>
      <w:hyperlink r:id="rId9"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0"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CA" w:eastAsia="en-CA"/>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CA" w:eastAsia="en-CA"/>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SCell, UL part of an SCell or SCG. </w:t>
      </w:r>
      <w:r w:rsidR="00433C8F">
        <w:t xml:space="preserve">Since RAN2 agreed CRs </w:t>
      </w:r>
      <w:hyperlink r:id="rId13"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4" w:history="1">
        <w:r w:rsidR="00433C8F" w:rsidRPr="00961D5E">
          <w:rPr>
            <w:rStyle w:val="Hyperlink"/>
            <w:sz w:val="21"/>
            <w:szCs w:val="21"/>
            <w:lang w:eastAsia="zh-CN"/>
          </w:rPr>
          <w:t>R2-2002127</w:t>
        </w:r>
      </w:hyperlink>
      <w:r w:rsidR="00433C8F">
        <w:t xml:space="preserve"> </w:t>
      </w:r>
      <w:r>
        <w:t xml:space="preserve">mandate the reporting of the capability </w:t>
      </w:r>
      <w:r w:rsidRPr="0044550C">
        <w:t>supportedBandwidthCombinationSetIntraENDC</w:t>
      </w:r>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5"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Observation 1: The reporting of the supportedBandwidthCombinationSetIntraENDC is mandatory for an intra-band EN-DC combination with an additinal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r w:rsidRPr="00943E78">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r w:rsidRPr="00943E78">
              <w:rPr>
                <w:i/>
                <w:iCs/>
              </w:rPr>
              <w:t>supportedBandwidthCombinationSetIntraENDC</w:t>
            </w:r>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r w:rsidRPr="00943E78">
              <w:rPr>
                <w:i/>
                <w:iCs/>
              </w:rPr>
              <w:t>supportedBandwidthCombinationSetIntraENDC</w:t>
            </w:r>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r w:rsidRPr="00943E78">
              <w:rPr>
                <w:i/>
                <w:iCs/>
              </w:rPr>
              <w:t>supportedBandwidthCombinationSetIntraENDC</w:t>
            </w:r>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BD039F"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BD039F" w:rsidRDefault="00BD039F" w:rsidP="00BD039F">
            <w:pPr>
              <w:pStyle w:val="TAC"/>
              <w:spacing w:before="20" w:after="20"/>
              <w:ind w:left="57" w:right="57"/>
              <w:jc w:val="left"/>
              <w:rPr>
                <w:lang w:eastAsia="zh-CN"/>
              </w:rPr>
            </w:pPr>
          </w:p>
        </w:tc>
      </w:tr>
      <w:tr w:rsidR="00BD039F"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BD039F" w:rsidRDefault="00BD039F" w:rsidP="00BD039F">
            <w:pPr>
              <w:pStyle w:val="TAC"/>
              <w:spacing w:before="20" w:after="20"/>
              <w:ind w:left="57" w:right="57"/>
              <w:jc w:val="left"/>
              <w:rPr>
                <w:lang w:eastAsia="zh-CN"/>
              </w:rPr>
            </w:pPr>
          </w:p>
        </w:tc>
      </w:tr>
      <w:tr w:rsidR="00BD039F"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BD039F" w:rsidRDefault="00BD039F" w:rsidP="00BD039F">
            <w:pPr>
              <w:pStyle w:val="TAC"/>
              <w:spacing w:before="20" w:after="20"/>
              <w:ind w:left="57" w:right="57"/>
              <w:jc w:val="left"/>
              <w:rPr>
                <w:lang w:eastAsia="zh-CN"/>
              </w:rPr>
            </w:pPr>
          </w:p>
        </w:tc>
      </w:tr>
      <w:tr w:rsidR="00BD039F"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BD039F" w:rsidRDefault="00BD039F" w:rsidP="00BD039F">
            <w:pPr>
              <w:pStyle w:val="TAC"/>
              <w:spacing w:before="20" w:after="20"/>
              <w:ind w:left="57" w:right="57"/>
              <w:jc w:val="left"/>
              <w:rPr>
                <w:lang w:eastAsia="zh-CN"/>
              </w:rPr>
            </w:pPr>
          </w:p>
        </w:tc>
      </w:tr>
      <w:tr w:rsidR="00BD039F"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BD039F" w:rsidRDefault="00BD039F" w:rsidP="00BD039F">
            <w:pPr>
              <w:pStyle w:val="TAC"/>
              <w:spacing w:before="20" w:after="20"/>
              <w:ind w:left="57" w:right="57"/>
              <w:jc w:val="left"/>
              <w:rPr>
                <w:lang w:eastAsia="zh-CN"/>
              </w:rPr>
            </w:pPr>
          </w:p>
        </w:tc>
      </w:tr>
      <w:tr w:rsidR="00BD039F"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BD039F" w:rsidRDefault="00BD039F" w:rsidP="00BD039F">
            <w:pPr>
              <w:pStyle w:val="TAC"/>
              <w:spacing w:before="20" w:after="20"/>
              <w:ind w:left="57" w:right="57"/>
              <w:jc w:val="left"/>
              <w:rPr>
                <w:lang w:eastAsia="zh-CN"/>
              </w:rPr>
            </w:pPr>
          </w:p>
        </w:tc>
      </w:tr>
      <w:tr w:rsidR="00BD039F"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BD039F" w:rsidRDefault="00BD039F" w:rsidP="00BD039F">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lastRenderedPageBreak/>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sidRPr="00943E78">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r w:rsidRPr="00943E78">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r w:rsidRPr="00943E78">
              <w:rPr>
                <w:i/>
                <w:iCs/>
              </w:rPr>
              <w:t>supportedBandwidthCombinationSetIntraENDC</w:t>
            </w:r>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DC4A9" w14:textId="56C177C1" w:rsidR="00BD039F" w:rsidRPr="001B2E9B" w:rsidRDefault="003142EC" w:rsidP="001B2E9B">
            <w:pPr>
              <w:pStyle w:val="TAC"/>
              <w:spacing w:before="20" w:after="20"/>
              <w:ind w:left="57" w:right="57"/>
              <w:jc w:val="left"/>
              <w:rPr>
                <w:lang w:eastAsia="zh-CN"/>
              </w:rPr>
            </w:pPr>
            <w:r>
              <w:rPr>
                <w:lang w:eastAsia="zh-CN"/>
              </w:rPr>
              <w:t xml:space="preserve">Agree with Apple. If </w:t>
            </w:r>
            <w:r w:rsidRPr="00943E78">
              <w:rPr>
                <w:i/>
                <w:iCs/>
              </w:rPr>
              <w:t>supportedBandwidthCombinationSetIntraENDC</w:t>
            </w:r>
            <w:r>
              <w:rPr>
                <w:lang w:eastAsia="zh-CN"/>
              </w:rPr>
              <w:t xml:space="preserve">  is reported </w:t>
            </w:r>
            <w:r w:rsidR="001B2E9B">
              <w:rPr>
                <w:lang w:eastAsia="zh-CN"/>
              </w:rPr>
              <w:t>the combination is considered</w:t>
            </w:r>
            <w:r>
              <w:rPr>
                <w:lang w:eastAsia="zh-CN"/>
              </w:rPr>
              <w:t xml:space="preserve"> </w:t>
            </w:r>
            <w:r w:rsidR="001B2E9B">
              <w:t>intra-band EN-DC with additional inter-band NR/LTE CA component</w:t>
            </w:r>
            <w:r w:rsidR="001B2E9B">
              <w:t xml:space="preserve">. If </w:t>
            </w:r>
            <w:r w:rsidR="001B2E9B" w:rsidRPr="00943E78">
              <w:rPr>
                <w:i/>
                <w:iCs/>
              </w:rPr>
              <w:t>upportedBandwidthCombinationSetIntraENDC</w:t>
            </w:r>
            <w:r w:rsidR="001B2E9B">
              <w:rPr>
                <w:iCs/>
              </w:rPr>
              <w:t xml:space="preserve"> is not reported the combination is inter-band EN-DC.</w:t>
            </w:r>
          </w:p>
        </w:tc>
      </w:tr>
      <w:tr w:rsidR="00BD039F"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BD039F" w:rsidRDefault="00BD039F" w:rsidP="00BD039F">
            <w:pPr>
              <w:pStyle w:val="TAC"/>
              <w:spacing w:before="20" w:after="20"/>
              <w:ind w:left="57" w:right="57"/>
              <w:jc w:val="left"/>
              <w:rPr>
                <w:lang w:eastAsia="zh-CN"/>
              </w:rPr>
            </w:pPr>
          </w:p>
        </w:tc>
      </w:tr>
      <w:tr w:rsidR="00BD039F"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BD039F" w:rsidRDefault="00BD039F" w:rsidP="00BD039F">
            <w:pPr>
              <w:pStyle w:val="TAC"/>
              <w:spacing w:before="20" w:after="20"/>
              <w:ind w:left="57" w:right="57"/>
              <w:jc w:val="left"/>
              <w:rPr>
                <w:lang w:eastAsia="zh-CN"/>
              </w:rPr>
            </w:pPr>
          </w:p>
        </w:tc>
      </w:tr>
      <w:tr w:rsidR="00BD039F"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BD039F" w:rsidRDefault="00BD039F" w:rsidP="00BD039F">
            <w:pPr>
              <w:pStyle w:val="TAC"/>
              <w:spacing w:before="20" w:after="20"/>
              <w:ind w:left="57" w:right="57"/>
              <w:jc w:val="left"/>
              <w:rPr>
                <w:lang w:eastAsia="zh-CN"/>
              </w:rPr>
            </w:pPr>
          </w:p>
        </w:tc>
      </w:tr>
      <w:tr w:rsidR="00BD039F"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BD039F" w:rsidRDefault="00BD039F" w:rsidP="00BD039F">
            <w:pPr>
              <w:pStyle w:val="TAC"/>
              <w:spacing w:before="20" w:after="20"/>
              <w:ind w:left="57" w:right="57"/>
              <w:jc w:val="left"/>
              <w:rPr>
                <w:lang w:eastAsia="zh-CN"/>
              </w:rPr>
            </w:pPr>
          </w:p>
        </w:tc>
      </w:tr>
      <w:tr w:rsidR="00BD039F"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BD039F" w:rsidRDefault="00BD039F" w:rsidP="00BD039F">
            <w:pPr>
              <w:pStyle w:val="TAC"/>
              <w:spacing w:before="20" w:after="20"/>
              <w:ind w:left="57" w:right="57"/>
              <w:jc w:val="left"/>
              <w:rPr>
                <w:lang w:eastAsia="zh-CN"/>
              </w:rPr>
            </w:pPr>
          </w:p>
        </w:tc>
      </w:tr>
      <w:tr w:rsidR="00BD039F"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BD039F" w:rsidRDefault="00BD039F" w:rsidP="00BD039F">
            <w:pPr>
              <w:pStyle w:val="TAC"/>
              <w:spacing w:before="20" w:after="20"/>
              <w:ind w:left="57" w:right="57"/>
              <w:jc w:val="left"/>
              <w:rPr>
                <w:lang w:eastAsia="zh-CN"/>
              </w:rPr>
            </w:pPr>
          </w:p>
        </w:tc>
      </w:tr>
      <w:tr w:rsidR="00BD039F"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BD039F" w:rsidRDefault="00BD039F" w:rsidP="00BD039F">
            <w:pPr>
              <w:pStyle w:val="TAC"/>
              <w:spacing w:before="20" w:after="20"/>
              <w:ind w:left="57" w:right="57"/>
              <w:jc w:val="left"/>
              <w:rPr>
                <w:lang w:eastAsia="zh-CN"/>
              </w:rPr>
            </w:pPr>
          </w:p>
        </w:tc>
      </w:tr>
      <w:tr w:rsidR="00BD039F"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BD039F" w:rsidRDefault="00BD039F" w:rsidP="00BD039F">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lastRenderedPageBreak/>
        <w:t xml:space="preserve">Question </w:t>
      </w:r>
      <w:r w:rsidR="006A7661">
        <w:rPr>
          <w:b/>
          <w:bCs/>
        </w:rPr>
        <w:t>3 (field issue)</w:t>
      </w:r>
      <w:r w:rsidRPr="009E0C71">
        <w:t>:</w:t>
      </w:r>
      <w:r>
        <w:t xml:space="preserve"> If UE doesn't indicate </w:t>
      </w:r>
      <w:r w:rsidRPr="00943E78">
        <w:rPr>
          <w:i/>
          <w:iCs/>
        </w:rPr>
        <w:t>supportedBandwidthCombinationSetIntraENDC</w:t>
      </w:r>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sidRPr="00943E78">
              <w:rPr>
                <w:i/>
                <w:iCs/>
              </w:rPr>
              <w:t>supportedBandwidthCombinationSetIntraENDC</w:t>
            </w:r>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sidRPr="00943E78">
              <w:rPr>
                <w:i/>
                <w:iCs/>
              </w:rPr>
              <w:t>supportedBandwidthCombinationSetIntraENDC</w:t>
            </w:r>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uawei, HiSilicon</w:t>
            </w:r>
          </w:p>
        </w:tc>
        <w:tc>
          <w:tcPr>
            <w:tcW w:w="7225" w:type="dxa"/>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1B2E9B"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77777777" w:rsidR="001B2E9B" w:rsidRDefault="001B2E9B" w:rsidP="001B2E9B">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2183AAA" w14:textId="77777777" w:rsidR="001B2E9B" w:rsidRDefault="001B2E9B" w:rsidP="001B2E9B">
            <w:pPr>
              <w:pStyle w:val="TAC"/>
              <w:spacing w:before="20" w:after="20"/>
              <w:ind w:left="57" w:right="57"/>
              <w:jc w:val="left"/>
              <w:rPr>
                <w:lang w:eastAsia="zh-CN"/>
              </w:rPr>
            </w:pPr>
          </w:p>
        </w:tc>
      </w:tr>
      <w:tr w:rsidR="001B2E9B"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77777777" w:rsidR="001B2E9B" w:rsidRDefault="001B2E9B" w:rsidP="001B2E9B">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331C626" w14:textId="77777777" w:rsidR="001B2E9B" w:rsidRDefault="001B2E9B" w:rsidP="001B2E9B">
            <w:pPr>
              <w:pStyle w:val="TAC"/>
              <w:spacing w:before="20" w:after="20"/>
              <w:ind w:left="57" w:right="57"/>
              <w:jc w:val="left"/>
              <w:rPr>
                <w:lang w:eastAsia="zh-CN"/>
              </w:rPr>
            </w:pPr>
          </w:p>
        </w:tc>
      </w:tr>
      <w:tr w:rsidR="001B2E9B"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7777777" w:rsidR="001B2E9B" w:rsidRDefault="001B2E9B" w:rsidP="001B2E9B">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9233516" w14:textId="77777777" w:rsidR="001B2E9B" w:rsidRDefault="001B2E9B" w:rsidP="001B2E9B">
            <w:pPr>
              <w:pStyle w:val="TAC"/>
              <w:spacing w:before="20" w:after="20"/>
              <w:ind w:left="57" w:right="57"/>
              <w:jc w:val="left"/>
              <w:rPr>
                <w:lang w:eastAsia="zh-CN"/>
              </w:rPr>
            </w:pPr>
          </w:p>
        </w:tc>
      </w:tr>
      <w:tr w:rsidR="001B2E9B"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77777777" w:rsidR="001B2E9B" w:rsidRDefault="001B2E9B" w:rsidP="001B2E9B">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30D982F" w14:textId="77777777" w:rsidR="001B2E9B" w:rsidRDefault="001B2E9B" w:rsidP="001B2E9B">
            <w:pPr>
              <w:pStyle w:val="TAC"/>
              <w:spacing w:before="20" w:after="20"/>
              <w:ind w:left="57" w:right="57"/>
              <w:jc w:val="left"/>
              <w:rPr>
                <w:lang w:eastAsia="zh-CN"/>
              </w:rPr>
            </w:pPr>
          </w:p>
        </w:tc>
      </w:tr>
      <w:tr w:rsidR="001B2E9B"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777777" w:rsidR="001B2E9B" w:rsidRDefault="001B2E9B" w:rsidP="001B2E9B">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459A6EC" w14:textId="77777777" w:rsidR="001B2E9B" w:rsidRDefault="001B2E9B" w:rsidP="001B2E9B">
            <w:pPr>
              <w:pStyle w:val="TAC"/>
              <w:spacing w:before="20" w:after="20"/>
              <w:ind w:left="57" w:right="57"/>
              <w:jc w:val="left"/>
              <w:rPr>
                <w:lang w:eastAsia="zh-CN"/>
              </w:rPr>
            </w:pPr>
          </w:p>
        </w:tc>
      </w:tr>
      <w:tr w:rsidR="001B2E9B"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7777777" w:rsidR="001B2E9B" w:rsidRDefault="001B2E9B" w:rsidP="001B2E9B">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11125A0" w14:textId="77777777" w:rsidR="001B2E9B" w:rsidRDefault="001B2E9B" w:rsidP="001B2E9B">
            <w:pPr>
              <w:pStyle w:val="TAC"/>
              <w:spacing w:before="20" w:after="20"/>
              <w:ind w:left="57" w:right="57"/>
              <w:jc w:val="left"/>
              <w:rPr>
                <w:lang w:eastAsia="zh-CN"/>
              </w:rPr>
            </w:pPr>
          </w:p>
        </w:tc>
      </w:tr>
      <w:tr w:rsidR="001B2E9B"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1B2E9B" w:rsidRDefault="001B2E9B" w:rsidP="001B2E9B">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1B2E9B" w:rsidRDefault="001B2E9B" w:rsidP="001B2E9B">
            <w:pPr>
              <w:pStyle w:val="TAC"/>
              <w:spacing w:before="20" w:after="20"/>
              <w:ind w:left="57" w:right="57"/>
              <w:jc w:val="left"/>
              <w:rPr>
                <w:lang w:eastAsia="zh-CN"/>
              </w:rPr>
            </w:pPr>
          </w:p>
        </w:tc>
      </w:tr>
      <w:tr w:rsidR="001B2E9B"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1B2E9B" w:rsidRDefault="001B2E9B" w:rsidP="001B2E9B">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1B2E9B" w:rsidRDefault="001B2E9B" w:rsidP="001B2E9B">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bookmarkStart w:id="0" w:name="_GoBack"/>
      <w:bookmarkEnd w:id="0"/>
    </w:p>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F0F6E" w14:textId="77777777" w:rsidR="002F3B3A" w:rsidRDefault="002F3B3A">
      <w:r>
        <w:separator/>
      </w:r>
    </w:p>
  </w:endnote>
  <w:endnote w:type="continuationSeparator" w:id="0">
    <w:p w14:paraId="278FC75B" w14:textId="77777777" w:rsidR="002F3B3A" w:rsidRDefault="002F3B3A">
      <w:r>
        <w:continuationSeparator/>
      </w:r>
    </w:p>
  </w:endnote>
  <w:endnote w:type="continuationNotice" w:id="1">
    <w:p w14:paraId="0EBFEE5B" w14:textId="77777777" w:rsidR="002F3B3A" w:rsidRDefault="002F3B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31711" w14:textId="77777777" w:rsidR="002F3B3A" w:rsidRDefault="002F3B3A">
      <w:r>
        <w:separator/>
      </w:r>
    </w:p>
  </w:footnote>
  <w:footnote w:type="continuationSeparator" w:id="0">
    <w:p w14:paraId="6705B19F" w14:textId="77777777" w:rsidR="002F3B3A" w:rsidRDefault="002F3B3A">
      <w:r>
        <w:continuationSeparator/>
      </w:r>
    </w:p>
  </w:footnote>
  <w:footnote w:type="continuationNotice" w:id="1">
    <w:p w14:paraId="10FEA3F6" w14:textId="77777777" w:rsidR="002F3B3A" w:rsidRDefault="002F3B3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340D4"/>
    <w:rsid w:val="00037049"/>
    <w:rsid w:val="00040095"/>
    <w:rsid w:val="00073C9C"/>
    <w:rsid w:val="00080512"/>
    <w:rsid w:val="00090468"/>
    <w:rsid w:val="00094568"/>
    <w:rsid w:val="000B7BCF"/>
    <w:rsid w:val="000C522B"/>
    <w:rsid w:val="000D58AB"/>
    <w:rsid w:val="00112F1A"/>
    <w:rsid w:val="00145075"/>
    <w:rsid w:val="001741A0"/>
    <w:rsid w:val="00175FA0"/>
    <w:rsid w:val="00194CD0"/>
    <w:rsid w:val="001A7C99"/>
    <w:rsid w:val="001B2E9B"/>
    <w:rsid w:val="001B49C9"/>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2F3B3A"/>
    <w:rsid w:val="00311B17"/>
    <w:rsid w:val="003142EC"/>
    <w:rsid w:val="003172DC"/>
    <w:rsid w:val="00325AE3"/>
    <w:rsid w:val="00326069"/>
    <w:rsid w:val="0035462D"/>
    <w:rsid w:val="0036459E"/>
    <w:rsid w:val="00364B41"/>
    <w:rsid w:val="003775A5"/>
    <w:rsid w:val="00380CF2"/>
    <w:rsid w:val="00383096"/>
    <w:rsid w:val="0039346C"/>
    <w:rsid w:val="003A41EF"/>
    <w:rsid w:val="003B40AD"/>
    <w:rsid w:val="003C4E37"/>
    <w:rsid w:val="003C7362"/>
    <w:rsid w:val="003D6EEE"/>
    <w:rsid w:val="003E16BE"/>
    <w:rsid w:val="003E7137"/>
    <w:rsid w:val="003F4E28"/>
    <w:rsid w:val="004006E8"/>
    <w:rsid w:val="00401855"/>
    <w:rsid w:val="00421EAA"/>
    <w:rsid w:val="00433C8F"/>
    <w:rsid w:val="0044550C"/>
    <w:rsid w:val="00463C6F"/>
    <w:rsid w:val="00465587"/>
    <w:rsid w:val="00477455"/>
    <w:rsid w:val="00482156"/>
    <w:rsid w:val="00496F49"/>
    <w:rsid w:val="004A1F7B"/>
    <w:rsid w:val="004C44D2"/>
    <w:rsid w:val="004D3578"/>
    <w:rsid w:val="004D380D"/>
    <w:rsid w:val="004E213A"/>
    <w:rsid w:val="004E6DBA"/>
    <w:rsid w:val="004F5216"/>
    <w:rsid w:val="00503171"/>
    <w:rsid w:val="00506B45"/>
    <w:rsid w:val="00506C28"/>
    <w:rsid w:val="00534DA0"/>
    <w:rsid w:val="00543E6C"/>
    <w:rsid w:val="00565087"/>
    <w:rsid w:val="0056573F"/>
    <w:rsid w:val="00571279"/>
    <w:rsid w:val="005A49C6"/>
    <w:rsid w:val="005A75FF"/>
    <w:rsid w:val="00611566"/>
    <w:rsid w:val="00627206"/>
    <w:rsid w:val="00637CA5"/>
    <w:rsid w:val="00646D99"/>
    <w:rsid w:val="00651901"/>
    <w:rsid w:val="00656436"/>
    <w:rsid w:val="00656910"/>
    <w:rsid w:val="006574C0"/>
    <w:rsid w:val="00675A4D"/>
    <w:rsid w:val="00692E0F"/>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A1940"/>
    <w:rsid w:val="007B18D8"/>
    <w:rsid w:val="007C095F"/>
    <w:rsid w:val="007C2DD0"/>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2EC2"/>
    <w:rsid w:val="00943E78"/>
    <w:rsid w:val="00961B32"/>
    <w:rsid w:val="00962509"/>
    <w:rsid w:val="00970DB3"/>
    <w:rsid w:val="00974BB0"/>
    <w:rsid w:val="00975749"/>
    <w:rsid w:val="00975BCD"/>
    <w:rsid w:val="009928A9"/>
    <w:rsid w:val="009A0AF3"/>
    <w:rsid w:val="009B07CD"/>
    <w:rsid w:val="009B6248"/>
    <w:rsid w:val="009C19E9"/>
    <w:rsid w:val="009D5884"/>
    <w:rsid w:val="009D74A6"/>
    <w:rsid w:val="009E0E87"/>
    <w:rsid w:val="00A05AA3"/>
    <w:rsid w:val="00A10F02"/>
    <w:rsid w:val="00A204CA"/>
    <w:rsid w:val="00A209D6"/>
    <w:rsid w:val="00A22738"/>
    <w:rsid w:val="00A51984"/>
    <w:rsid w:val="00A53724"/>
    <w:rsid w:val="00A54B2B"/>
    <w:rsid w:val="00A82346"/>
    <w:rsid w:val="00A9671C"/>
    <w:rsid w:val="00AA1553"/>
    <w:rsid w:val="00AB33EE"/>
    <w:rsid w:val="00B05380"/>
    <w:rsid w:val="00B05962"/>
    <w:rsid w:val="00B15449"/>
    <w:rsid w:val="00B16C2F"/>
    <w:rsid w:val="00B27303"/>
    <w:rsid w:val="00B47FD1"/>
    <w:rsid w:val="00B516BB"/>
    <w:rsid w:val="00B84DB2"/>
    <w:rsid w:val="00B97540"/>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DE6761"/>
    <w:rsid w:val="00E05D20"/>
    <w:rsid w:val="00E31A4B"/>
    <w:rsid w:val="00E416C1"/>
    <w:rsid w:val="00E46C08"/>
    <w:rsid w:val="00E471CF"/>
    <w:rsid w:val="00E62835"/>
    <w:rsid w:val="00E77645"/>
    <w:rsid w:val="00E83697"/>
    <w:rsid w:val="00E86664"/>
    <w:rsid w:val="00EA66C9"/>
    <w:rsid w:val="00EC4A25"/>
    <w:rsid w:val="00EC4B71"/>
    <w:rsid w:val="00EC6346"/>
    <w:rsid w:val="00EE32C4"/>
    <w:rsid w:val="00EE3DF9"/>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72B6"/>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90e/Docs/RP-202514.zip" TargetMode="External"/><Relationship Id="rId13" Type="http://schemas.openxmlformats.org/officeDocument/2006/relationships/hyperlink" Target="http://www.3gpp.org/ftp/TSG_RAN/WG2_RL2/TSGR2_109_e/Docs/R2-2002390.zip" TargetMode="External"/><Relationship Id="rId3" Type="http://schemas.openxmlformats.org/officeDocument/2006/relationships/settings" Target="settings.xml"/><Relationship Id="rId7" Type="http://schemas.openxmlformats.org/officeDocument/2006/relationships/hyperlink" Target="http://www.3gpp.org/ftp/tsg_ran/TSG_RAN/TSGR_90e/Docs/RP-20xxxx.zip"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3gpp.org/ftp/tsg_ran/TSG_RAN/TSGR_90e/Docs/RP-202514.zip" TargetMode="External"/><Relationship Id="rId10" Type="http://schemas.openxmlformats.org/officeDocument/2006/relationships/hyperlink" Target="http://www.3gpp.org/ftp/tsg_ran/TSG_RAN/TSGR_90e/Docs/RP-202514.zip" TargetMode="External"/><Relationship Id="rId4" Type="http://schemas.openxmlformats.org/officeDocument/2006/relationships/webSettings" Target="webSettings.xml"/><Relationship Id="rId9" Type="http://schemas.openxmlformats.org/officeDocument/2006/relationships/hyperlink" Target="http://www.3gpp.org/ftp/tsg_ran/TSG_RAN/TSGR_90e/Docs/RP-202514.zip" TargetMode="External"/><Relationship Id="rId14" Type="http://schemas.openxmlformats.org/officeDocument/2006/relationships/hyperlink" Target="http://www.3gpp.org/ftp/TSG_RAN/WG2_RL2/TSGR2_109_e/Docs/R2-20021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13001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2020-12-08T03:01:00Z</dcterms:created>
  <dcterms:modified xsi:type="dcterms:W3CDTF">2020-12-08T03:01:00Z</dcterms:modified>
  <cp:category/>
</cp:coreProperties>
</file>