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 xml:space="preserve">90E][26][IIOT_scope]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This document captures the feedback provided on the email discussion on different rounds. (if one round becames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jc w:val="both"/>
        <w:rPr>
          <w:b/>
          <w:bCs/>
          <w:iCs/>
        </w:rPr>
      </w:pPr>
      <w:r>
        <w:rPr>
          <w:b/>
          <w:bCs/>
          <w:iCs/>
        </w:rPr>
        <w:t>Enhanced PUCCH repetition is handled in a single WI among one of Release 17 eURLLC/IIoT or CovEnh</w:t>
      </w:r>
    </w:p>
    <w:p w14:paraId="5CF9BB7B" w14:textId="77777777" w:rsidR="00E033C5" w:rsidRDefault="00617468">
      <w:pPr>
        <w:spacing w:before="60" w:line="256" w:lineRule="auto"/>
        <w:ind w:left="720"/>
        <w:jc w:val="both"/>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d"/>
        <w:numPr>
          <w:ilvl w:val="0"/>
          <w:numId w:val="11"/>
        </w:numPr>
        <w:jc w:val="both"/>
        <w:rPr>
          <w:rFonts w:asciiTheme="minorHAnsi" w:eastAsiaTheme="minorHAnsi" w:hAnsiTheme="minorHAnsi"/>
          <w:i/>
          <w:iCs/>
        </w:rPr>
      </w:pPr>
      <w:r>
        <w:rPr>
          <w:rFonts w:eastAsia="SimSun"/>
          <w:i/>
          <w:iCs/>
          <w:szCs w:val="21"/>
        </w:rPr>
        <w:t xml:space="preserve">For PUCCH repetition enhancement, </w:t>
      </w:r>
      <w:r>
        <w:rPr>
          <w:i/>
          <w:iCs/>
        </w:rPr>
        <w:t>IIoT/URLLC WI and CE WI should focus on enhancement for single TRP operation and feMIMO WI should focus on multi-TRP operation only.</w:t>
      </w:r>
    </w:p>
    <w:p w14:paraId="563DC63F" w14:textId="77777777" w:rsidR="00E033C5" w:rsidRDefault="00617468">
      <w:pPr>
        <w:pStyle w:val="afd"/>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contextualSpacing/>
        <w:jc w:val="both"/>
        <w:rPr>
          <w:b/>
          <w:bCs/>
        </w:rPr>
      </w:pPr>
      <w:r>
        <w:rPr>
          <w:b/>
          <w:bCs/>
        </w:rPr>
        <w:lastRenderedPageBreak/>
        <w:t>The studies and potential specification of PUCCH repetition enhancements under Rel-17 IIoT/URLLC should focus on single-TRP only.</w:t>
      </w:r>
    </w:p>
    <w:p w14:paraId="4E14298F" w14:textId="77777777" w:rsidR="00E033C5" w:rsidRDefault="00617468">
      <w:pPr>
        <w:pStyle w:val="afd"/>
        <w:numPr>
          <w:ilvl w:val="2"/>
          <w:numId w:val="11"/>
        </w:numPr>
        <w:spacing w:after="180"/>
        <w:contextualSpacing/>
        <w:jc w:val="both"/>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The studies and potential specification of M-TRP PUCCH repetition/transmission schemes under Rel-17 feMIMO should focus on multi-TRP only</w:t>
      </w:r>
    </w:p>
    <w:p w14:paraId="54283438" w14:textId="77777777" w:rsidR="00E033C5" w:rsidRDefault="00617468">
      <w:pPr>
        <w:pStyle w:val="afd"/>
        <w:widowControl w:val="0"/>
        <w:numPr>
          <w:ilvl w:val="0"/>
          <w:numId w:val="12"/>
        </w:numPr>
        <w:spacing w:after="180"/>
        <w:contextualSpacing/>
        <w:jc w:val="both"/>
        <w:rPr>
          <w:rFonts w:eastAsia="SimSun" w:cs="Times New Roman"/>
          <w:b/>
          <w:sz w:val="21"/>
        </w:rPr>
      </w:pPr>
      <w:r>
        <w:rPr>
          <w:b/>
        </w:rPr>
        <w:t xml:space="preserve">Alt.1: Rel-17 feMIMO WI focuses on multiple TRP and Rel-17 URLLC/IIOT WI focuses on single TRP </w:t>
      </w:r>
    </w:p>
    <w:p w14:paraId="25682089" w14:textId="77777777" w:rsidR="00E033C5" w:rsidRDefault="00617468">
      <w:pPr>
        <w:pStyle w:val="afd"/>
        <w:widowControl w:val="0"/>
        <w:numPr>
          <w:ilvl w:val="0"/>
          <w:numId w:val="12"/>
        </w:numPr>
        <w:spacing w:after="180"/>
        <w:contextualSpacing/>
        <w:jc w:val="both"/>
        <w:rPr>
          <w:b/>
        </w:rPr>
      </w:pPr>
      <w:r>
        <w:rPr>
          <w:b/>
        </w:rPr>
        <w:t xml:space="preserve">Alt.2: </w:t>
      </w:r>
    </w:p>
    <w:p w14:paraId="26B4F998" w14:textId="77777777" w:rsidR="00E033C5" w:rsidRDefault="00617468">
      <w:pPr>
        <w:pStyle w:val="afd"/>
        <w:widowControl w:val="0"/>
        <w:numPr>
          <w:ilvl w:val="0"/>
          <w:numId w:val="13"/>
        </w:numPr>
        <w:spacing w:after="180"/>
        <w:contextualSpacing/>
        <w:jc w:val="both"/>
        <w:rPr>
          <w:b/>
        </w:rPr>
      </w:pPr>
      <w:r>
        <w:rPr>
          <w:b/>
        </w:rPr>
        <w:t>Rel-17 feMIMO WI focusing on TDMed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Rel-17 Coverage enh. WI should handle the PUSCH repetition type-B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Prefer to address PUCCH repetition enhancements in the CovEnh WI. MIMO can focus on multi-TRP aspects. IIoT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Pr>
                <w:lang w:val="zh-CN"/>
              </w:rPr>
              <w:t>Samsung’</w:t>
            </w:r>
            <w:r>
              <w:rPr>
                <w:rFonts w:hint="eastAsia"/>
                <w:lang w:val="zh-CN"/>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In addition, given that eIIoT/URLLC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eIIoT/URLLC WI </w:t>
            </w:r>
            <w:r w:rsidR="00331883">
              <w:t>al</w:t>
            </w:r>
            <w:r w:rsidRPr="009E65BA">
              <w:t>together.</w:t>
            </w:r>
          </w:p>
        </w:tc>
      </w:tr>
      <w:tr w:rsidR="002C1F98" w14:paraId="1D3BC129" w14:textId="77777777">
        <w:tc>
          <w:tcPr>
            <w:tcW w:w="1615" w:type="dxa"/>
          </w:tcPr>
          <w:p w14:paraId="7FACF717" w14:textId="0C49CB29" w:rsidR="002C1F98" w:rsidRPr="002C1F98" w:rsidRDefault="002C1F98" w:rsidP="009738A5">
            <w:pPr>
              <w:rPr>
                <w:rFonts w:eastAsia="游明朝" w:hint="eastAsia"/>
              </w:rPr>
            </w:pPr>
            <w:r>
              <w:rPr>
                <w:rFonts w:eastAsia="游明朝" w:hint="eastAsia"/>
              </w:rPr>
              <w:t>P</w:t>
            </w:r>
            <w:r>
              <w:rPr>
                <w:rFonts w:eastAsia="游明朝"/>
              </w:rPr>
              <w:t>anasonic</w:t>
            </w:r>
          </w:p>
        </w:tc>
        <w:tc>
          <w:tcPr>
            <w:tcW w:w="7878" w:type="dxa"/>
          </w:tcPr>
          <w:p w14:paraId="29903B32" w14:textId="68976590" w:rsidR="002C1F98" w:rsidRPr="009E65BA" w:rsidRDefault="002C1F98" w:rsidP="00331883">
            <w:r>
              <w:rPr>
                <w:rFonts w:eastAsia="游明朝" w:hint="eastAsia"/>
              </w:rPr>
              <w:t>W</w:t>
            </w:r>
            <w:r>
              <w:rPr>
                <w:rFonts w:eastAsia="游明朝"/>
              </w:rPr>
              <w:t>e support the view from Samsung.</w:t>
            </w:r>
            <w:bookmarkStart w:id="1" w:name="_GoBack"/>
            <w:bookmarkEnd w:id="1"/>
          </w:p>
        </w:tc>
      </w:tr>
    </w:tbl>
    <w:p w14:paraId="46086314" w14:textId="1D5A27AC" w:rsidR="00E033C5"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77777777" w:rsidR="00E033C5" w:rsidRDefault="00617468">
      <w:pPr>
        <w:pStyle w:val="afd"/>
        <w:numPr>
          <w:ilvl w:val="0"/>
          <w:numId w:val="15"/>
        </w:numPr>
      </w:pPr>
      <w:r>
        <w:t>CSI feedback enhancements to allow for more accurate MCS selection [RAN1] Support for multiple active BWPs</w:t>
      </w:r>
    </w:p>
    <w:p w14:paraId="4B3D37A3" w14:textId="77777777" w:rsidR="00E033C5" w:rsidRDefault="00617468">
      <w:pPr>
        <w:pStyle w:val="afd"/>
        <w:numPr>
          <w:ilvl w:val="0"/>
          <w:numId w:val="14"/>
        </w:numPr>
        <w:spacing w:beforeLines="100" w:before="312" w:after="120"/>
        <w:jc w:val="both"/>
        <w:rPr>
          <w:rFonts w:asciiTheme="minorHAnsi" w:eastAsiaTheme="minorHAnsi" w:hAnsiTheme="minorHAnsi"/>
          <w:i/>
          <w:iCs/>
        </w:rPr>
      </w:pPr>
      <w:r>
        <w:rPr>
          <w:rFonts w:eastAsia="SimSun"/>
          <w:szCs w:val="21"/>
        </w:rPr>
        <w:t>Proposal :</w:t>
      </w:r>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afd"/>
        <w:numPr>
          <w:ilvl w:val="0"/>
          <w:numId w:val="14"/>
        </w:numPr>
        <w:spacing w:beforeLines="100" w:before="312" w:after="120"/>
        <w:jc w:val="both"/>
        <w:rPr>
          <w:i/>
          <w:iCs/>
        </w:rPr>
      </w:pPr>
      <w:r>
        <w:rPr>
          <w:rFonts w:eastAsia="SimSun"/>
          <w:szCs w:val="21"/>
        </w:rPr>
        <w:t>Proposal :</w:t>
      </w:r>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pPr>
              <w:rPr>
                <w:kern w:val="2"/>
              </w:rPr>
            </w:pPr>
            <w:r>
              <w:rPr>
                <w:rFonts w:hint="eastAsia"/>
              </w:rPr>
              <w:t>Z</w:t>
            </w:r>
            <w:r>
              <w:t>TE</w:t>
            </w:r>
          </w:p>
        </w:tc>
        <w:tc>
          <w:tcPr>
            <w:tcW w:w="7878" w:type="dxa"/>
          </w:tcPr>
          <w:p w14:paraId="6C0579C7" w14:textId="77777777" w:rsidR="00E033C5" w:rsidRDefault="00617468">
            <w:pPr>
              <w:rPr>
                <w:kern w:val="2"/>
              </w:rPr>
            </w:pPr>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bookmarkEnd w:id="0"/>
    </w:tbl>
    <w:p w14:paraId="75FF8A5E" w14:textId="77777777" w:rsidR="00E033C5" w:rsidRDefault="00E033C5"/>
    <w:sectPr w:rsidR="00E033C5">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0D74" w14:textId="77777777" w:rsidR="00CC4276" w:rsidRDefault="00CC4276">
      <w:r>
        <w:separator/>
      </w:r>
    </w:p>
  </w:endnote>
  <w:endnote w:type="continuationSeparator" w:id="0">
    <w:p w14:paraId="3F23D190" w14:textId="77777777" w:rsidR="00CC4276" w:rsidRDefault="00CC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FZShuTi">
    <w:altName w:val="SimSun"/>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7777777" w:rsidR="00E033C5" w:rsidRDefault="00617468">
    <w:pPr>
      <w:pStyle w:val="ad"/>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Pr>
        <w:rStyle w:val="af7"/>
      </w:rPr>
      <w:t>33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575D" w14:textId="77777777" w:rsidR="00CC4276" w:rsidRDefault="00CC4276">
      <w:r>
        <w:separator/>
      </w:r>
    </w:p>
  </w:footnote>
  <w:footnote w:type="continuationSeparator" w:id="0">
    <w:p w14:paraId="367E6329" w14:textId="77777777" w:rsidR="00CC4276" w:rsidRDefault="00CC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ＭＳ 明朝"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C1F98"/>
    <w:pPr>
      <w:spacing w:after="200" w:line="276" w:lineRule="auto"/>
    </w:pPr>
    <w:rPr>
      <w:rFonts w:asciiTheme="minorHAnsi" w:eastAsiaTheme="minorEastAsia" w:hAnsiTheme="minorHAnsi" w:cstheme="minorBidi"/>
      <w:sz w:val="22"/>
      <w:szCs w:val="22"/>
      <w:lang w:val="en-GB"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2C1F9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C1F98"/>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見出し 1 (文字)"/>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本文 (文字)"/>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ＭＳ 明朝"/>
    </w:rPr>
  </w:style>
  <w:style w:type="character" w:customStyle="1" w:styleId="3GPPNormalTextChar">
    <w:name w:val="3GPP Normal Text Char"/>
    <w:link w:val="3GPPNormalText"/>
    <w:qFormat/>
    <w:rPr>
      <w:rFonts w:ascii="Times New Roman" w:eastAsia="ＭＳ 明朝" w:hAnsi="Times New Roman"/>
      <w:sz w:val="22"/>
      <w:szCs w:val="24"/>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rPr>
      <w:rFonts w:ascii="Arial" w:eastAsia="ＭＳ 明朝"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見出し 2 (文字)"/>
    <w:link w:val="2"/>
    <w:qFormat/>
    <w:rPr>
      <w:rFonts w:ascii="Arial" w:eastAsiaTheme="minorHAnsi" w:hAnsi="Arial"/>
      <w:sz w:val="32"/>
      <w:szCs w:val="32"/>
      <w:lang w:val="en-GB" w:eastAsia="zh-CN"/>
    </w:rPr>
  </w:style>
  <w:style w:type="character" w:customStyle="1" w:styleId="af3">
    <w:name w:val="表題 (文字)"/>
    <w:basedOn w:val="a1"/>
    <w:link w:val="af2"/>
    <w:uiPriority w:val="10"/>
    <w:qFormat/>
    <w:rPr>
      <w:rFonts w:ascii="Calibri Light" w:eastAsia="Times New Roman" w:hAnsi="Calibri Light"/>
      <w:spacing w:val="-10"/>
      <w:kern w:val="28"/>
      <w:sz w:val="56"/>
      <w:szCs w:val="56"/>
    </w:rPr>
  </w:style>
  <w:style w:type="character" w:customStyle="1" w:styleId="41">
    <w:name w:val="見出し 4 (文字)"/>
    <w:basedOn w:val="a1"/>
    <w:link w:val="4"/>
    <w:qFormat/>
    <w:rPr>
      <w:rFonts w:ascii="Arial" w:eastAsiaTheme="minorHAnsi" w:hAnsi="Arial" w:cstheme="minorBidi"/>
      <w:sz w:val="24"/>
      <w:szCs w:val="24"/>
      <w:lang w:val="fi-FI"/>
    </w:rPr>
  </w:style>
  <w:style w:type="character" w:customStyle="1" w:styleId="51">
    <w:name w:val="見出し 5 (文字)"/>
    <w:basedOn w:val="a1"/>
    <w:link w:val="5"/>
    <w:rPr>
      <w:rFonts w:ascii="Arial" w:eastAsiaTheme="minorHAnsi" w:hAnsi="Arial" w:cstheme="minorBidi"/>
      <w:sz w:val="22"/>
      <w:szCs w:val="22"/>
      <w:lang w:val="fi-FI"/>
    </w:rPr>
  </w:style>
  <w:style w:type="character" w:customStyle="1" w:styleId="60">
    <w:name w:val="見出し 6 (文字)"/>
    <w:basedOn w:val="a1"/>
    <w:link w:val="6"/>
    <w:qFormat/>
    <w:rPr>
      <w:rFonts w:ascii="Arial" w:eastAsiaTheme="minorHAnsi" w:hAnsi="Arial" w:cs="Arial"/>
      <w:sz w:val="22"/>
      <w:szCs w:val="22"/>
      <w:lang w:val="fi-FI"/>
    </w:rPr>
  </w:style>
  <w:style w:type="character" w:customStyle="1" w:styleId="70">
    <w:name w:val="見出し 7 (文字)"/>
    <w:basedOn w:val="a1"/>
    <w:link w:val="7"/>
    <w:qFormat/>
    <w:rPr>
      <w:rFonts w:ascii="Arial" w:eastAsiaTheme="minorHAnsi" w:hAnsi="Arial" w:cs="Arial"/>
      <w:sz w:val="22"/>
      <w:szCs w:val="22"/>
      <w:lang w:val="fi-FI"/>
    </w:rPr>
  </w:style>
  <w:style w:type="character" w:customStyle="1" w:styleId="80">
    <w:name w:val="見出し 8 (文字)"/>
    <w:basedOn w:val="a1"/>
    <w:link w:val="8"/>
    <w:qFormat/>
    <w:rPr>
      <w:rFonts w:ascii="Arial" w:eastAsiaTheme="minorHAnsi" w:hAnsi="Arial" w:cs="Arial"/>
      <w:sz w:val="22"/>
      <w:szCs w:val="22"/>
      <w:lang w:val="fi-FI"/>
    </w:rPr>
  </w:style>
  <w:style w:type="character" w:customStyle="1" w:styleId="90">
    <w:name w:val="見出し 9 (文字)"/>
    <w:basedOn w:val="a1"/>
    <w:link w:val="9"/>
    <w:qFormat/>
    <w:rPr>
      <w:rFonts w:ascii="Arial" w:eastAsiaTheme="minorHAnsi" w:hAnsi="Arial" w:cs="Arial"/>
      <w:sz w:val="22"/>
      <w:szCs w:val="22"/>
      <w:lang w:val="fi-FI"/>
    </w:rPr>
  </w:style>
  <w:style w:type="character" w:customStyle="1" w:styleId="a9">
    <w:name w:val="図表番号 (文字)"/>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リスト段落 (文字)"/>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SimSun" w:cs="Arial"/>
    </w:rPr>
  </w:style>
  <w:style w:type="character" w:customStyle="1" w:styleId="af">
    <w:name w:val="フッター (文字)"/>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5.xml><?xml version="1.0" encoding="utf-8"?>
<ds:datastoreItem xmlns:ds="http://schemas.openxmlformats.org/officeDocument/2006/customXml" ds:itemID="{11C14893-4422-4A35-954F-E79BBAD3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Hidetoshi Suzuki 01</cp:lastModifiedBy>
  <cp:revision>8</cp:revision>
  <cp:lastPrinted>2018-06-04T08:06:00Z</cp:lastPrinted>
  <dcterms:created xsi:type="dcterms:W3CDTF">2020-12-08T05:10:00Z</dcterms:created>
  <dcterms:modified xsi:type="dcterms:W3CDTF">2020-12-08T05:22:00Z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