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tabs>
          <w:tab w:val="left" w:pos="1985"/>
        </w:tabs>
        <w:jc w:val="both"/>
        <w:rPr>
          <w:rFonts w:ascii="Arial" w:hAnsi="Arial" w:cs="Arial" w:eastAsiaTheme="minorEastAsia"/>
          <w:b/>
          <w:bCs/>
          <w:lang w:eastAsia="zh-CN"/>
        </w:rPr>
      </w:pPr>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eastAsia="Arial Unicode MS" w:cs="Arial"/>
          <w:b/>
          <w:bCs/>
          <w:lang w:eastAsia="zh-CN"/>
        </w:rPr>
        <w:t xml:space="preserve">                     </w:t>
      </w:r>
      <w:r>
        <w:rPr>
          <w:rFonts w:ascii="Arial" w:hAnsi="Arial" w:cs="Arial"/>
          <w:b/>
          <w:bCs/>
        </w:rPr>
        <w:t>RP-20</w:t>
      </w:r>
      <w:r>
        <w:rPr>
          <w:rFonts w:hint="eastAsia" w:ascii="Arial" w:hAnsi="Arial" w:cs="Arial" w:eastAsiaTheme="minorEastAsia"/>
          <w:b/>
          <w:bCs/>
          <w:lang w:eastAsia="zh-CN"/>
        </w:rPr>
        <w:t>xxxx</w:t>
      </w:r>
    </w:p>
    <w:p>
      <w:pPr>
        <w:pStyle w:val="91"/>
        <w:tabs>
          <w:tab w:val="left" w:pos="1985"/>
        </w:tabs>
        <w:jc w:val="both"/>
        <w:rPr>
          <w:rFonts w:ascii="Arial" w:hAnsi="Arial" w:eastAsia="Arial Unicode MS"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pPr>
        <w:pStyle w:val="91"/>
        <w:tabs>
          <w:tab w:val="left" w:pos="1985"/>
        </w:tabs>
        <w:jc w:val="both"/>
        <w:rPr>
          <w:rFonts w:ascii="Arial" w:hAnsi="Arial" w:eastAsia="Arial Unicode MS" w:cs="Arial"/>
          <w:b/>
          <w:bCs/>
          <w:lang w:val="en-US" w:eastAsia="zh-CN"/>
        </w:rPr>
      </w:pPr>
      <w:r>
        <w:rPr>
          <w:rFonts w:ascii="Arial" w:hAnsi="Arial" w:cs="Arial"/>
          <w:b/>
          <w:bCs/>
          <w:lang w:val="en-US"/>
        </w:rPr>
        <w:t>Agenda item:</w:t>
      </w:r>
      <w:r>
        <w:rPr>
          <w:rFonts w:ascii="Arial" w:hAnsi="Arial" w:cs="Arial"/>
          <w:b/>
          <w:bCs/>
          <w:lang w:val="en-US"/>
        </w:rPr>
        <w:tab/>
      </w:r>
      <w:r>
        <w:rPr>
          <w:rFonts w:ascii="Arial" w:hAnsi="Arial" w:eastAsia="Arial Unicode MS" w:cs="Arial"/>
          <w:b/>
          <w:bCs/>
          <w:lang w:val="en-US" w:eastAsia="zh-CN"/>
        </w:rPr>
        <w:t>9.</w:t>
      </w:r>
      <w:r>
        <w:rPr>
          <w:rFonts w:hint="eastAsia" w:ascii="Arial" w:hAnsi="Arial" w:eastAsia="Arial Unicode MS" w:cs="Arial"/>
          <w:b/>
          <w:bCs/>
          <w:lang w:val="en-US" w:eastAsia="zh-CN"/>
        </w:rPr>
        <w:t>10.14</w:t>
      </w:r>
    </w:p>
    <w:p>
      <w:pPr>
        <w:pStyle w:val="91"/>
        <w:tabs>
          <w:tab w:val="left" w:pos="1985"/>
        </w:tabs>
        <w:jc w:val="both"/>
        <w:rPr>
          <w:rFonts w:ascii="Arial" w:hAnsi="Arial" w:eastAsia="Arial Unicode MS" w:cs="Arial"/>
          <w:b/>
          <w:bCs/>
          <w:lang w:val="en-US" w:eastAsia="zh-CN"/>
        </w:rPr>
      </w:pPr>
      <w:r>
        <w:rPr>
          <w:rFonts w:ascii="Arial" w:hAnsi="Arial" w:cs="Arial"/>
          <w:b/>
          <w:bCs/>
          <w:lang w:val="en-US"/>
        </w:rPr>
        <w:t>Source:</w:t>
      </w:r>
      <w:r>
        <w:rPr>
          <w:rFonts w:ascii="Arial" w:hAnsi="Arial" w:cs="Arial"/>
          <w:b/>
          <w:bCs/>
          <w:lang w:val="en-US"/>
        </w:rPr>
        <w:tab/>
      </w:r>
      <w:r>
        <w:rPr>
          <w:rFonts w:ascii="Arial" w:hAnsi="Arial" w:cs="Arial"/>
          <w:b/>
          <w:bCs/>
          <w:lang w:val="en-US"/>
        </w:rPr>
        <w:t>CMCC</w:t>
      </w:r>
      <w:r>
        <w:rPr>
          <w:rFonts w:ascii="Arial" w:hAnsi="Arial" w:eastAsia="Arial Unicode MS" w:cs="Arial"/>
          <w:b/>
          <w:bCs/>
          <w:lang w:val="en-US" w:eastAsia="zh-CN"/>
        </w:rPr>
        <w:t xml:space="preserve"> </w:t>
      </w:r>
      <w:r>
        <w:rPr>
          <w:rFonts w:ascii="Arial" w:hAnsi="Arial" w:cs="Arial"/>
          <w:b/>
          <w:bCs/>
          <w:lang w:val="en-US"/>
        </w:rPr>
        <w:t>(Moderator)</w:t>
      </w:r>
    </w:p>
    <w:p>
      <w:pPr>
        <w:pStyle w:val="91"/>
        <w:tabs>
          <w:tab w:val="left" w:pos="1985"/>
        </w:tabs>
        <w:jc w:val="both"/>
        <w:rPr>
          <w:rFonts w:ascii="Arial" w:hAnsi="Arial" w:cs="Arial" w:eastAsiaTheme="minorEastAsia"/>
          <w:b/>
          <w:bCs/>
          <w:lang w:eastAsia="zh-CN"/>
        </w:rPr>
      </w:pPr>
      <w:r>
        <w:rPr>
          <w:rFonts w:ascii="Arial" w:hAnsi="Arial" w:cs="Arial"/>
          <w:b/>
          <w:bCs/>
        </w:rPr>
        <w:t>Title:</w:t>
      </w:r>
      <w:r>
        <w:rPr>
          <w:rFonts w:ascii="Arial" w:hAnsi="Arial" w:cs="Arial"/>
          <w:b/>
          <w:bCs/>
        </w:rPr>
        <w:tab/>
      </w:r>
      <w:bookmarkStart w:id="0" w:name="OLE_LINK3"/>
      <w:bookmarkStart w:id="1" w:name="OLE_LINK4"/>
      <w:r>
        <w:rPr>
          <w:rFonts w:ascii="Arial" w:hAnsi="Arial" w:cs="Arial"/>
          <w:b/>
          <w:bCs/>
        </w:rPr>
        <w:tab/>
      </w:r>
      <w:r>
        <w:rPr>
          <w:rFonts w:ascii="Arial" w:hAnsi="Arial" w:cs="Arial"/>
          <w:b/>
          <w:bCs/>
        </w:rPr>
        <w:t xml:space="preserve">Email discussion on </w:t>
      </w:r>
      <w:r>
        <w:rPr>
          <w:rFonts w:hint="eastAsia" w:ascii="Arial" w:hAnsi="Arial" w:cs="Arial" w:eastAsiaTheme="minorEastAsia"/>
          <w:b/>
          <w:bCs/>
          <w:lang w:eastAsia="zh-CN"/>
        </w:rPr>
        <w:t>Rel-17 SON/MDT</w:t>
      </w:r>
    </w:p>
    <w:bookmarkEnd w:id="0"/>
    <w:bookmarkEnd w:id="1"/>
    <w:p>
      <w:pPr>
        <w:pStyle w:val="91"/>
        <w:tabs>
          <w:tab w:val="left" w:pos="1985"/>
        </w:tabs>
        <w:jc w:val="both"/>
        <w:rPr>
          <w:rFonts w:ascii="Arial" w:hAnsi="Arial" w:eastAsia="Arial Unicode MS" w:cs="Arial"/>
          <w:b/>
          <w:bCs/>
          <w:lang w:eastAsia="zh-CN"/>
        </w:rPr>
      </w:pPr>
      <w:r>
        <w:rPr>
          <w:rFonts w:ascii="Arial" w:hAnsi="Arial" w:cs="Arial"/>
          <w:b/>
          <w:bCs/>
        </w:rPr>
        <w:t>Document for:</w:t>
      </w:r>
      <w:r>
        <w:rPr>
          <w:rFonts w:ascii="Arial" w:hAnsi="Arial" w:cs="Arial"/>
          <w:b/>
          <w:bCs/>
        </w:rPr>
        <w:tab/>
      </w:r>
      <w:r>
        <w:rPr>
          <w:rFonts w:ascii="Arial" w:hAnsi="Arial" w:cs="Arial"/>
          <w:b/>
          <w:bCs/>
        </w:rPr>
        <w:t>Discussion</w:t>
      </w:r>
    </w:p>
    <w:p>
      <w:pPr>
        <w:pStyle w:val="2"/>
        <w:numPr>
          <w:ilvl w:val="0"/>
          <w:numId w:val="1"/>
        </w:numPr>
        <w:rPr>
          <w:rFonts w:ascii="Arial" w:hAnsi="Arial" w:cs="Arial"/>
        </w:rPr>
      </w:pPr>
      <w:r>
        <w:rPr>
          <w:rFonts w:ascii="Arial" w:hAnsi="Arial" w:cs="Arial"/>
        </w:rPr>
        <w:t>Introduction</w:t>
      </w:r>
    </w:p>
    <w:p>
      <w:pPr>
        <w:rPr>
          <w:rFonts w:ascii="Times New Roman" w:hAnsi="Times New Roman" w:eastAsia="Arial Unicode MS" w:cs="Times New Roman"/>
          <w:lang w:eastAsia="zh-CN"/>
        </w:rPr>
      </w:pPr>
      <w:r>
        <w:rPr>
          <w:rFonts w:ascii="Times New Roman" w:hAnsi="Times New Roman" w:eastAsia="Arial Unicode MS" w:cs="Times New Roman"/>
          <w:lang w:eastAsia="zh-CN"/>
        </w:rPr>
        <w:t>This document is a summary of the following email discussion,</w:t>
      </w:r>
    </w:p>
    <w:p>
      <w:pPr>
        <w:shd w:val="clear" w:color="auto" w:fill="FFFFFF"/>
        <w:spacing w:after="0"/>
        <w:ind w:left="400" w:leftChars="200"/>
        <w:jc w:val="left"/>
        <w:rPr>
          <w:rFonts w:ascii="Times New Roman" w:hAnsi="Times New Roman" w:eastAsia="Arial Unicode MS" w:cs="Times New Roman"/>
          <w:i/>
          <w:lang w:eastAsia="zh-CN"/>
        </w:rPr>
      </w:pPr>
      <w:r>
        <w:rPr>
          <w:rFonts w:ascii="Times New Roman" w:hAnsi="Times New Roman" w:eastAsia="Arial Unicode MS" w:cs="Times New Roman"/>
          <w:i/>
          <w:lang w:eastAsia="zh-CN"/>
        </w:rPr>
        <w:t>Goal: Finalize scope of the Rel17 SON/MDT item, provide WID sheet for approval accordingly.</w:t>
      </w:r>
    </w:p>
    <w:p>
      <w:pPr>
        <w:shd w:val="clear" w:color="auto" w:fill="FFFFFF"/>
        <w:spacing w:after="0"/>
        <w:ind w:left="400" w:leftChars="200"/>
        <w:jc w:val="left"/>
        <w:rPr>
          <w:rFonts w:ascii="Times New Roman" w:hAnsi="Times New Roman" w:eastAsia="Arial Unicode MS" w:cs="Times New Roman"/>
          <w:i/>
          <w:lang w:eastAsia="zh-CN"/>
        </w:rPr>
      </w:pPr>
      <w:r>
        <w:rPr>
          <w:rFonts w:ascii="Times New Roman" w:hAnsi="Times New Roman" w:eastAsia="Arial Unicode MS" w:cs="Times New Roman"/>
          <w:i/>
          <w:lang w:eastAsia="zh-CN"/>
        </w:rPr>
        <w:t>Input contributions covered: 823, 1222</w:t>
      </w:r>
    </w:p>
    <w:p>
      <w:pPr>
        <w:shd w:val="clear" w:color="auto" w:fill="FFFFFF"/>
        <w:spacing w:after="0"/>
        <w:ind w:left="400" w:leftChars="200"/>
        <w:jc w:val="left"/>
        <w:rPr>
          <w:rFonts w:ascii="Times New Roman" w:hAnsi="Times New Roman" w:eastAsia="Arial Unicode MS" w:cs="Times New Roman"/>
          <w:i/>
          <w:lang w:eastAsia="zh-CN"/>
        </w:rPr>
      </w:pPr>
      <w:r>
        <w:rPr>
          <w:rFonts w:ascii="Times New Roman" w:hAnsi="Times New Roman" w:eastAsia="Arial Unicode MS" w:cs="Times New Roman"/>
          <w:i/>
          <w:lang w:eastAsia="zh-CN"/>
        </w:rPr>
        <w:t>Moderator: Hu Nan (CMCC)</w:t>
      </w:r>
    </w:p>
    <w:p>
      <w:pPr>
        <w:shd w:val="clear" w:color="auto" w:fill="FFFFFF"/>
        <w:spacing w:after="0"/>
        <w:ind w:left="400" w:leftChars="200"/>
        <w:jc w:val="left"/>
        <w:rPr>
          <w:rFonts w:ascii="Times New Roman" w:hAnsi="Times New Roman" w:eastAsia="Arial Unicode MS" w:cs="Times New Roman"/>
          <w:i/>
          <w:lang w:eastAsia="zh-CN"/>
        </w:rPr>
      </w:pPr>
    </w:p>
    <w:p>
      <w:pPr>
        <w:shd w:val="clear" w:color="auto" w:fill="FFFFFF"/>
        <w:spacing w:after="0" w:line="252" w:lineRule="atLeast"/>
        <w:jc w:val="left"/>
        <w:rPr>
          <w:rFonts w:ascii="Times New Roman" w:hAnsi="Times New Roman" w:eastAsia="Arial Unicode MS" w:cs="Times New Roman"/>
          <w:lang w:eastAsia="zh-CN"/>
        </w:rPr>
      </w:pPr>
      <w:r>
        <w:rPr>
          <w:rFonts w:ascii="Times New Roman" w:hAnsi="Times New Roman" w:eastAsia="Arial Unicode MS" w:cs="Times New Roman"/>
          <w:lang w:eastAsia="zh-CN"/>
        </w:rPr>
        <w:t>Based on RP-201222 (revision of RP-200768), RP-200823 and the reasons described in the flagged emails</w:t>
      </w:r>
      <w:r>
        <w:rPr>
          <w:rFonts w:hint="eastAsia" w:ascii="Times New Roman" w:hAnsi="Times New Roman" w:eastAsia="Arial Unicode MS" w:cs="Times New Roman"/>
          <w:lang w:eastAsia="zh-CN"/>
        </w:rPr>
        <w:t>,</w:t>
      </w:r>
      <w:r>
        <w:rPr>
          <w:rFonts w:ascii="Times New Roman" w:hAnsi="Times New Roman" w:eastAsia="Arial Unicode MS" w:cs="Times New Roman"/>
          <w:lang w:eastAsia="zh-CN"/>
        </w:rPr>
        <w:t xml:space="preserve"> </w:t>
      </w:r>
      <w:r>
        <w:rPr>
          <w:rFonts w:hint="eastAsia" w:ascii="Times New Roman" w:hAnsi="Times New Roman" w:eastAsia="Arial Unicode MS" w:cs="Times New Roman"/>
          <w:lang w:eastAsia="zh-CN"/>
        </w:rPr>
        <w:t>t</w:t>
      </w:r>
      <w:r>
        <w:rPr>
          <w:rFonts w:ascii="Times New Roman" w:hAnsi="Times New Roman" w:eastAsia="Arial Unicode MS" w:cs="Times New Roman"/>
          <w:lang w:eastAsia="zh-CN"/>
        </w:rPr>
        <w:t>he moderator would like to collect views on the proposed new objectives or refinements against the latest approved WID.</w:t>
      </w:r>
    </w:p>
    <w:p>
      <w:pPr>
        <w:shd w:val="clear" w:color="auto" w:fill="FFFFFF"/>
        <w:spacing w:after="0" w:line="252" w:lineRule="atLeast"/>
        <w:jc w:val="left"/>
        <w:rPr>
          <w:rFonts w:ascii="Times New Roman" w:hAnsi="Times New Roman" w:eastAsia="Arial Unicode MS" w:cs="Times New Roman"/>
          <w:lang w:eastAsia="zh-CN"/>
        </w:rPr>
      </w:pPr>
    </w:p>
    <w:p>
      <w:pPr>
        <w:shd w:val="clear" w:color="auto" w:fill="FFFFFF"/>
        <w:spacing w:after="0" w:line="252" w:lineRule="atLeast"/>
        <w:jc w:val="left"/>
        <w:rPr>
          <w:rFonts w:ascii="Times New Roman" w:hAnsi="Times New Roman" w:eastAsia="Arial Unicode MS" w:cs="Times New Roman"/>
          <w:lang w:eastAsia="zh-CN"/>
        </w:rPr>
      </w:pPr>
      <w:r>
        <w:rPr>
          <w:rFonts w:ascii="Times New Roman" w:hAnsi="Times New Roman" w:eastAsia="Arial Unicode MS" w:cs="Times New Roman"/>
          <w:b/>
          <w:lang w:eastAsia="zh-CN"/>
        </w:rPr>
        <w:t>Dea</w:t>
      </w:r>
      <w:r>
        <w:rPr>
          <w:rFonts w:hint="eastAsia" w:ascii="Times New Roman" w:hAnsi="Times New Roman" w:eastAsia="Arial Unicode MS" w:cs="Times New Roman"/>
          <w:b/>
          <w:lang w:eastAsia="zh-CN"/>
        </w:rPr>
        <w:t>d</w:t>
      </w:r>
      <w:r>
        <w:rPr>
          <w:rFonts w:ascii="Times New Roman" w:hAnsi="Times New Roman" w:eastAsia="Arial Unicode MS" w:cs="Times New Roman"/>
          <w:b/>
          <w:lang w:eastAsia="zh-CN"/>
        </w:rPr>
        <w:t>line</w:t>
      </w:r>
      <w:r>
        <w:rPr>
          <w:rFonts w:ascii="Times New Roman" w:hAnsi="Times New Roman" w:eastAsia="Arial Unicode MS" w:cs="Times New Roman"/>
          <w:lang w:eastAsia="zh-CN"/>
        </w:rPr>
        <w:t>: </w:t>
      </w:r>
      <w:r>
        <w:rPr>
          <w:rFonts w:ascii="Times New Roman" w:hAnsi="Times New Roman" w:eastAsia="Arial Unicode MS" w:cs="Times New Roman"/>
          <w:highlight w:val="yellow"/>
          <w:lang w:eastAsia="zh-CN"/>
        </w:rPr>
        <w:t>11:59h UTC 30th June</w:t>
      </w:r>
    </w:p>
    <w:p>
      <w:pPr>
        <w:shd w:val="clear" w:color="auto" w:fill="FFFFFF"/>
        <w:spacing w:after="0" w:line="252" w:lineRule="atLeast"/>
        <w:jc w:val="left"/>
        <w:rPr>
          <w:rFonts w:ascii="Times New Roman" w:hAnsi="Times New Roman" w:eastAsia="Arial Unicode MS" w:cs="Times New Roman"/>
          <w:lang w:eastAsia="zh-CN"/>
        </w:rPr>
      </w:pPr>
      <w:r>
        <w:rPr>
          <w:rFonts w:ascii="Times New Roman" w:hAnsi="Times New Roman" w:eastAsia="Arial Unicode MS" w:cs="Times New Roman"/>
          <w:b/>
          <w:lang w:eastAsia="zh-CN"/>
        </w:rPr>
        <w:t>Note</w:t>
      </w:r>
      <w:r>
        <w:rPr>
          <w:rFonts w:ascii="Times New Roman" w:hAnsi="Times New Roman" w:eastAsia="Arial Unicode MS" w:cs="Times New Roman"/>
          <w:lang w:eastAsia="zh-CN"/>
        </w:rPr>
        <w:t>: if an objective does not receive any comments till the deadline, this objective is assumed agreeable to include in the WID.</w:t>
      </w:r>
    </w:p>
    <w:p>
      <w:pPr>
        <w:pStyle w:val="2"/>
        <w:numPr>
          <w:ilvl w:val="0"/>
          <w:numId w:val="1"/>
        </w:numPr>
        <w:rPr>
          <w:rFonts w:ascii="Arial" w:hAnsi="Arial" w:cs="Arial"/>
          <w:lang w:eastAsia="zh-CN"/>
        </w:rPr>
      </w:pPr>
      <w:r>
        <w:rPr>
          <w:rFonts w:ascii="Arial" w:hAnsi="Arial" w:cs="Arial"/>
          <w:lang w:eastAsia="zh-CN"/>
        </w:rPr>
        <w:t xml:space="preserve">Discussion </w:t>
      </w:r>
    </w:p>
    <w:p>
      <w:pPr>
        <w:shd w:val="clear" w:color="auto" w:fill="FFFFFF"/>
        <w:spacing w:after="0" w:line="180" w:lineRule="atLeast"/>
        <w:rPr>
          <w:rFonts w:ascii="Calibri" w:hAnsi="Calibri" w:eastAsia="宋体"/>
          <w:color w:val="000000"/>
          <w:sz w:val="21"/>
          <w:szCs w:val="21"/>
          <w:lang w:val="en-US" w:eastAsia="zh-CN"/>
        </w:rPr>
      </w:pPr>
      <w:bookmarkStart w:id="2" w:name="OLE_LINK1"/>
      <w:bookmarkStart w:id="3" w:name="OLE_LINK2"/>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RACH optimisation enhancement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PRACH conflict detection in CU-DU split case, X2AP signalling of PRACH configurations of neighbour cells and some other detailed parameters are agreed to postpone to Rel-17</w:t>
      </w:r>
    </w:p>
    <w:p>
      <w:pPr>
        <w:shd w:val="clear" w:color="auto" w:fill="FFFFFF"/>
        <w:spacing w:after="0" w:line="180" w:lineRule="atLeast"/>
        <w:rPr>
          <w:rFonts w:ascii="Calibri" w:hAnsi="Calibri" w:eastAsia="宋体"/>
          <w:color w:val="000000"/>
          <w:sz w:val="21"/>
          <w:szCs w:val="21"/>
          <w:lang w:val="en-US" w:eastAsia="zh-CN"/>
        </w:rPr>
      </w:pP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Yes, current general description is fine.</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Although it was agreed in RAN3#108-e that these RACH aspects were postponed to Rel-17, the current description is more general to capture all left issues, e.g., the RACH optimization enhancement also includes whether to introduce Root Sequence Index BFR, UE associated RACH indication procedure from DU to CU. </w:t>
            </w:r>
          </w:p>
        </w:tc>
      </w:tr>
      <w:tr>
        <w:tblPrEx>
          <w:tblLayout w:type="fixed"/>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color w:val="000000"/>
          <w:sz w:val="21"/>
          <w:szCs w:val="21"/>
          <w:lang w:val="en-US" w:eastAsia="zh-CN"/>
        </w:rPr>
        <w:t>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MDT enhancement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There are probably some enhancements on the MDT configuration over NG and Xn interface that are not finalized in Rel-16, e.g., beam related configuration, propagating Management Based MDT PLMN List always to the target NG-RAN during Xn handovers</w:t>
      </w:r>
      <w:r>
        <w:rPr>
          <w:rFonts w:hint="eastAsia" w:ascii="Calibri" w:hAnsi="Calibri" w:eastAsia="宋体"/>
          <w:color w:val="000000"/>
          <w:sz w:val="21"/>
          <w:szCs w:val="21"/>
          <w:lang w:val="en-US" w:eastAsia="zh-CN"/>
        </w:rPr>
        <w:t xml:space="preserve"> </w:t>
      </w:r>
      <w:r>
        <w:rPr>
          <w:rFonts w:ascii="Calibri" w:hAnsi="Calibri" w:eastAsia="宋体"/>
          <w:color w:val="000000"/>
          <w:sz w:val="21"/>
          <w:szCs w:val="21"/>
          <w:lang w:val="en-US" w:eastAsia="zh-CN"/>
        </w:rPr>
        <w:t>which</w:t>
      </w:r>
      <w:r>
        <w:rPr>
          <w:rFonts w:hint="eastAsia" w:ascii="Calibri" w:hAnsi="Calibri" w:eastAsia="宋体"/>
          <w:color w:val="000000"/>
          <w:sz w:val="21"/>
          <w:szCs w:val="21"/>
          <w:lang w:val="en-US" w:eastAsia="zh-CN"/>
        </w:rPr>
        <w:t xml:space="preserve"> is</w:t>
      </w:r>
      <w:r>
        <w:rPr>
          <w:rFonts w:ascii="Calibri" w:hAnsi="Calibri" w:eastAsia="宋体"/>
          <w:color w:val="000000"/>
          <w:sz w:val="21"/>
          <w:szCs w:val="21"/>
          <w:lang w:val="en-US" w:eastAsia="zh-CN"/>
        </w:rPr>
        <w:t xml:space="preserve"> pending on SA3.</w:t>
      </w:r>
    </w:p>
    <w:p>
      <w:pPr>
        <w:shd w:val="clear" w:color="auto" w:fill="FFFFFF"/>
        <w:spacing w:after="0" w:line="180" w:lineRule="atLeast"/>
        <w:rPr>
          <w:rFonts w:ascii="Calibri" w:hAnsi="Calibri" w:eastAsia="宋体"/>
          <w:color w:val="000000"/>
          <w:sz w:val="21"/>
          <w:szCs w:val="21"/>
          <w:lang w:val="en-US" w:eastAsia="zh-CN"/>
        </w:rPr>
      </w:pP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000000"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000000"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000000"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In general yes, the details are analyzed in Reason column.</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rPr>
                <w:rFonts w:hint="default" w:ascii="Calibri" w:hAnsi="Calibri" w:eastAsia="宋体"/>
                <w:sz w:val="21"/>
                <w:szCs w:val="21"/>
                <w:lang w:val="en-US" w:eastAsia="zh-CN"/>
              </w:rPr>
            </w:pPr>
            <w:r>
              <w:rPr>
                <w:rFonts w:hint="eastAsia" w:ascii="Calibri" w:hAnsi="Calibri" w:eastAsia="宋体"/>
                <w:sz w:val="21"/>
                <w:szCs w:val="21"/>
                <w:lang w:val="en-US" w:eastAsia="zh-CN"/>
              </w:rPr>
              <w:t xml:space="preserve">Current description (except </w:t>
            </w:r>
            <w:r>
              <w:rPr>
                <w:rFonts w:hint="default" w:ascii="Calibri" w:hAnsi="Calibri" w:eastAsia="宋体"/>
                <w:sz w:val="21"/>
                <w:szCs w:val="21"/>
                <w:lang w:val="en-US" w:eastAsia="zh-CN"/>
              </w:rPr>
              <w:t>NR-Unlicensed</w:t>
            </w:r>
            <w:r>
              <w:rPr>
                <w:rFonts w:hint="eastAsia" w:ascii="Calibri" w:hAnsi="Calibri" w:eastAsia="宋体"/>
                <w:sz w:val="21"/>
                <w:szCs w:val="21"/>
                <w:lang w:val="en-US" w:eastAsia="zh-CN"/>
              </w:rPr>
              <w:t>) in RP-201222 captures agreement achieved in R16 WI. While for the two topics listed above:</w:t>
            </w:r>
          </w:p>
          <w:p>
            <w:pPr>
              <w:widowControl w:val="0"/>
              <w:spacing w:after="0"/>
              <w:ind w:left="144" w:hanging="144"/>
              <w:rPr>
                <w:rFonts w:hint="eastAsia" w:ascii="Calibri" w:hAnsi="Calibri" w:eastAsia="宋体"/>
                <w:b/>
                <w:bCs/>
                <w:sz w:val="18"/>
                <w:szCs w:val="18"/>
                <w:lang w:val="en-US" w:eastAsia="zh-CN"/>
              </w:rPr>
            </w:pPr>
            <w:r>
              <w:rPr>
                <w:rFonts w:hint="eastAsia" w:ascii="Calibri" w:hAnsi="Calibri" w:eastAsia="宋体"/>
                <w:b/>
                <w:bCs/>
                <w:color w:val="000000"/>
                <w:sz w:val="18"/>
                <w:szCs w:val="18"/>
                <w:lang w:val="en-US" w:eastAsia="zh-CN"/>
              </w:rPr>
              <w:t>For b</w:t>
            </w:r>
            <w:r>
              <w:rPr>
                <w:rFonts w:ascii="Calibri" w:hAnsi="Calibri" w:eastAsia="宋体"/>
                <w:b/>
                <w:bCs/>
                <w:color w:val="000000"/>
                <w:sz w:val="18"/>
                <w:szCs w:val="18"/>
                <w:lang w:val="en-US" w:eastAsia="zh-CN"/>
              </w:rPr>
              <w:t>eam</w:t>
            </w:r>
            <w:r>
              <w:rPr>
                <w:rFonts w:hint="eastAsia" w:ascii="Calibri" w:hAnsi="Calibri" w:eastAsia="宋体"/>
                <w:b/>
                <w:bCs/>
                <w:color w:val="000000"/>
                <w:sz w:val="18"/>
                <w:szCs w:val="18"/>
                <w:lang w:val="en-US" w:eastAsia="zh-CN"/>
              </w:rPr>
              <w:t>_</w:t>
            </w:r>
            <w:r>
              <w:rPr>
                <w:rFonts w:ascii="Calibri" w:hAnsi="Calibri" w:eastAsia="宋体"/>
                <w:b/>
                <w:bCs/>
                <w:color w:val="000000"/>
                <w:sz w:val="18"/>
                <w:szCs w:val="18"/>
                <w:lang w:val="en-US" w:eastAsia="zh-CN"/>
              </w:rPr>
              <w:t>related</w:t>
            </w:r>
            <w:r>
              <w:rPr>
                <w:rFonts w:hint="eastAsia" w:ascii="Calibri" w:hAnsi="Calibri" w:eastAsia="宋体"/>
                <w:b/>
                <w:bCs/>
                <w:color w:val="000000"/>
                <w:sz w:val="18"/>
                <w:szCs w:val="18"/>
                <w:lang w:val="en-US" w:eastAsia="zh-CN"/>
              </w:rPr>
              <w:t>_</w:t>
            </w:r>
            <w:r>
              <w:rPr>
                <w:rFonts w:ascii="Calibri" w:hAnsi="Calibri" w:eastAsia="宋体"/>
                <w:b/>
                <w:bCs/>
                <w:color w:val="000000"/>
                <w:sz w:val="18"/>
                <w:szCs w:val="18"/>
                <w:lang w:val="en-US" w:eastAsia="zh-CN"/>
              </w:rPr>
              <w:t>configuration</w:t>
            </w:r>
            <w:r>
              <w:rPr>
                <w:rFonts w:ascii="Calibri" w:hAnsi="Calibri" w:eastAsia="宋体"/>
                <w:b/>
                <w:bCs/>
                <w:sz w:val="18"/>
                <w:szCs w:val="18"/>
                <w:lang w:val="en-US" w:eastAsia="zh-CN"/>
              </w:rPr>
              <w:t> </w:t>
            </w:r>
            <w:r>
              <w:rPr>
                <w:rFonts w:hint="eastAsia" w:ascii="Calibri" w:hAnsi="Calibri" w:eastAsia="宋体"/>
                <w:b/>
                <w:bCs/>
                <w:sz w:val="18"/>
                <w:szCs w:val="18"/>
                <w:lang w:val="en-US" w:eastAsia="zh-CN"/>
              </w:rPr>
              <w:t>:</w:t>
            </w:r>
          </w:p>
          <w:p>
            <w:pPr>
              <w:spacing w:after="0"/>
              <w:rPr>
                <w:rFonts w:hint="default" w:ascii="Calibri" w:hAnsi="Calibri" w:eastAsia="宋体"/>
                <w:sz w:val="21"/>
                <w:szCs w:val="21"/>
                <w:lang w:val="en-US" w:eastAsia="zh-CN"/>
              </w:rPr>
            </w:pPr>
            <w:r>
              <w:rPr>
                <w:rFonts w:hint="eastAsia" w:ascii="Calibri" w:hAnsi="Calibri" w:eastAsia="宋体"/>
                <w:sz w:val="21"/>
                <w:szCs w:val="21"/>
                <w:lang w:val="en-US" w:eastAsia="zh-CN"/>
              </w:rPr>
              <w:t xml:space="preserve">The agreement in RAN3#108-e was </w:t>
            </w:r>
            <w:r>
              <w:rPr>
                <w:rFonts w:hint="default" w:ascii="Calibri" w:hAnsi="Calibri" w:eastAsia="宋体"/>
                <w:sz w:val="21"/>
                <w:szCs w:val="21"/>
                <w:lang w:val="en-US" w:eastAsia="zh-CN"/>
              </w:rPr>
              <w:t>“</w:t>
            </w:r>
            <w:r>
              <w:rPr>
                <w:rFonts w:hint="eastAsia" w:ascii="Calibri" w:hAnsi="Calibri" w:eastAsia="宋体"/>
                <w:sz w:val="21"/>
                <w:szCs w:val="21"/>
                <w:lang w:val="en-US" w:eastAsia="zh-CN"/>
              </w:rPr>
              <w:t>Do not support beam related configurations in M1 measurement for immediate MDT in Rel-16</w:t>
            </w:r>
            <w:r>
              <w:rPr>
                <w:rFonts w:hint="default" w:ascii="Calibri" w:hAnsi="Calibri" w:eastAsia="宋体"/>
                <w:sz w:val="21"/>
                <w:szCs w:val="21"/>
                <w:lang w:val="en-US" w:eastAsia="zh-CN"/>
              </w:rPr>
              <w:t>”</w:t>
            </w:r>
            <w:r>
              <w:rPr>
                <w:rFonts w:hint="eastAsia" w:ascii="Calibri" w:hAnsi="Calibri" w:eastAsia="宋体"/>
                <w:sz w:val="21"/>
                <w:szCs w:val="21"/>
                <w:lang w:val="en-US" w:eastAsia="zh-CN"/>
              </w:rPr>
              <w:t>. Therefore there was no consensus to captured this into Rel-17 working scope.</w:t>
            </w:r>
          </w:p>
          <w:p>
            <w:pPr>
              <w:widowControl w:val="0"/>
              <w:spacing w:after="0"/>
              <w:ind w:left="144" w:hanging="144"/>
              <w:rPr>
                <w:rFonts w:hint="eastAsia" w:ascii="Calibri" w:hAnsi="Calibri" w:eastAsia="宋体"/>
                <w:sz w:val="21"/>
                <w:szCs w:val="21"/>
                <w:lang w:val="en-US" w:eastAsia="zh-CN"/>
              </w:rPr>
            </w:pPr>
            <w:r>
              <w:rPr>
                <w:rFonts w:hint="eastAsia" w:ascii="Calibri" w:hAnsi="Calibri" w:eastAsia="宋体"/>
                <w:b/>
                <w:bCs/>
                <w:sz w:val="21"/>
                <w:szCs w:val="21"/>
                <w:lang w:val="en-US" w:eastAsia="zh-CN"/>
              </w:rPr>
              <w:t>For user consent propagating</w:t>
            </w:r>
            <w:r>
              <w:rPr>
                <w:rFonts w:hint="eastAsia" w:ascii="Calibri" w:hAnsi="Calibri" w:eastAsia="宋体"/>
                <w:sz w:val="21"/>
                <w:szCs w:val="21"/>
                <w:lang w:val="en-US" w:eastAsia="zh-CN"/>
              </w:rPr>
              <w:t>:</w:t>
            </w:r>
          </w:p>
          <w:p>
            <w:pPr>
              <w:widowControl w:val="0"/>
              <w:spacing w:after="0"/>
              <w:ind w:left="144" w:hanging="144"/>
              <w:rPr>
                <w:rFonts w:hint="default" w:ascii="Calibri" w:hAnsi="Calibri" w:eastAsia="宋体"/>
                <w:sz w:val="21"/>
                <w:szCs w:val="21"/>
                <w:lang w:val="en-US" w:eastAsia="zh-CN"/>
              </w:rPr>
            </w:pPr>
            <w:r>
              <w:rPr>
                <w:rFonts w:hint="eastAsia" w:ascii="Calibri" w:hAnsi="Calibri" w:eastAsia="宋体"/>
                <w:sz w:val="21"/>
                <w:szCs w:val="21"/>
                <w:lang w:val="en-US" w:eastAsia="zh-CN"/>
              </w:rPr>
              <w:t>Further discussion is needed based on LS reply from SA3.</w:t>
            </w:r>
          </w:p>
          <w:p>
            <w:pPr>
              <w:widowControl w:val="0"/>
              <w:spacing w:after="0"/>
              <w:ind w:left="144" w:leftChars="0" w:hanging="144" w:firstLineChars="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Load balancing enhancement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including per-slicing load reporting, reporting of TNL load for fronthaul vs. backhaul, etc</w:t>
      </w:r>
    </w:p>
    <w:p>
      <w:pPr>
        <w:shd w:val="clear" w:color="auto" w:fill="FFFFFF"/>
        <w:spacing w:after="0" w:line="180" w:lineRule="atLeast"/>
        <w:rPr>
          <w:rFonts w:ascii="Calibri" w:hAnsi="Calibri" w:eastAsia="宋体"/>
          <w:color w:val="000000"/>
          <w:sz w:val="21"/>
          <w:szCs w:val="21"/>
          <w:lang w:val="en-US" w:eastAsia="zh-CN"/>
        </w:rPr>
      </w:pP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 Per-slicing load reporting was discussed early. We need to see more motivation to include it in the objective. </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load reporting per slice, reporting of TNL load for fronthaul vs. backhaul</w:t>
            </w:r>
            <w:r>
              <w:rPr>
                <w:rFonts w:hint="eastAsia" w:ascii="Calibri" w:hAnsi="Calibri" w:eastAsia="MS Mincho"/>
                <w:sz w:val="21"/>
                <w:szCs w:val="21"/>
                <w:lang w:val="en-US" w:eastAsia="ja-JP"/>
              </w:rPr>
              <w:t xml:space="preserve"> </w:t>
            </w:r>
            <w:r>
              <w:rPr>
                <w:rFonts w:ascii="Calibri" w:hAnsi="Calibri" w:eastAsia="MS Mincho"/>
                <w:sz w:val="21"/>
                <w:szCs w:val="21"/>
                <w:lang w:val="en-US" w:eastAsia="ja-JP"/>
              </w:rPr>
              <w:t>was discussed in Rel16 and marked as Rel16 leftovers.</w:t>
            </w:r>
          </w:p>
          <w:p>
            <w:pPr>
              <w:spacing w:after="0"/>
              <w:rPr>
                <w:rFonts w:ascii="Calibri" w:hAnsi="Calibri" w:eastAsia="宋体"/>
                <w:sz w:val="21"/>
                <w:szCs w:val="21"/>
                <w:lang w:val="en-US" w:eastAsia="zh-CN"/>
              </w:rPr>
            </w:pPr>
            <w:r>
              <w:rPr>
                <w:rFonts w:ascii="Calibri" w:hAnsi="Calibri" w:eastAsia="宋体"/>
                <w:sz w:val="21"/>
                <w:szCs w:val="21"/>
                <w:lang w:val="en-US" w:eastAsia="zh-CN"/>
              </w:rPr>
              <w:t>We are fine to make it a bit more general as proposed by rapporteur, but should be “load balancing enhancement (including load reporting per slice, etc.)”.</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b/>
                <w:bCs/>
                <w:sz w:val="21"/>
                <w:szCs w:val="21"/>
                <w:lang w:val="en-US" w:eastAsia="zh-CN"/>
              </w:rPr>
            </w:pPr>
            <w:r>
              <w:rPr>
                <w:rFonts w:hint="eastAsia" w:ascii="Calibri" w:hAnsi="Calibri" w:eastAsia="宋体"/>
                <w:b/>
                <w:bCs/>
                <w:sz w:val="21"/>
                <w:szCs w:val="21"/>
                <w:lang w:val="en-US" w:eastAsia="zh-CN"/>
              </w:rPr>
              <w:t>For slicing load reporting:</w:t>
            </w:r>
          </w:p>
          <w:p>
            <w:pPr>
              <w:spacing w:after="0"/>
              <w:rPr>
                <w:rFonts w:hint="eastAsia" w:ascii="Calibri" w:hAnsi="Calibri" w:eastAsia="宋体"/>
                <w:sz w:val="21"/>
                <w:szCs w:val="21"/>
                <w:lang w:val="en-US" w:eastAsia="zh-CN"/>
              </w:rPr>
            </w:pPr>
            <w:r>
              <w:rPr>
                <w:rFonts w:hint="eastAsia" w:ascii="Calibri" w:hAnsi="Calibri" w:eastAsia="宋体"/>
                <w:sz w:val="21"/>
                <w:szCs w:val="21"/>
                <w:lang w:val="en-US" w:eastAsia="zh-CN"/>
              </w:rPr>
              <w:t>We support to add this into working scope based on operator requirements. UL&amp;DL Slice CAC in Rel-16 NR_SON could not support shared slice scenario.</w:t>
            </w:r>
          </w:p>
          <w:p>
            <w:pPr>
              <w:spacing w:after="0"/>
              <w:ind w:left="210" w:hanging="211" w:hangingChars="100"/>
              <w:rPr>
                <w:rFonts w:hint="default" w:ascii="Calibri" w:hAnsi="Calibri" w:eastAsia="宋体"/>
                <w:sz w:val="21"/>
                <w:szCs w:val="21"/>
                <w:lang w:val="en-US" w:eastAsia="zh-CN"/>
              </w:rPr>
            </w:pPr>
            <w:r>
              <w:rPr>
                <w:rFonts w:hint="eastAsia" w:ascii="Calibri" w:hAnsi="Calibri" w:eastAsia="宋体"/>
                <w:b/>
                <w:bCs/>
                <w:sz w:val="21"/>
                <w:szCs w:val="21"/>
                <w:lang w:val="en-US" w:eastAsia="zh-CN"/>
              </w:rPr>
              <w:t>For TNL load:</w:t>
            </w:r>
          </w:p>
          <w:p>
            <w:pPr>
              <w:spacing w:after="0"/>
              <w:ind w:left="210" w:leftChars="0" w:hanging="210" w:hangingChars="100"/>
              <w:rPr>
                <w:rFonts w:ascii="Calibri" w:hAnsi="Calibri" w:eastAsia="宋体"/>
                <w:sz w:val="21"/>
                <w:szCs w:val="21"/>
                <w:lang w:val="en-US" w:eastAsia="zh-CN"/>
              </w:rPr>
            </w:pPr>
            <w:r>
              <w:rPr>
                <w:rFonts w:hint="eastAsia" w:ascii="Calibri" w:hAnsi="Calibri" w:eastAsia="宋体"/>
                <w:sz w:val="21"/>
                <w:szCs w:val="21"/>
                <w:lang w:val="en-US" w:eastAsia="zh-CN"/>
              </w:rPr>
              <w:t>We support it with contribution driven.</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b/>
          <w:bCs/>
          <w:color w:val="000000"/>
          <w:sz w:val="21"/>
          <w:szCs w:val="21"/>
          <w:lang w:val="en-US" w:eastAsia="zh-CN"/>
        </w:rPr>
      </w:pPr>
    </w:p>
    <w:p>
      <w:pPr>
        <w:shd w:val="clear" w:color="auto" w:fill="FFFFFF"/>
        <w:spacing w:after="0" w:line="180" w:lineRule="atLeast"/>
        <w:rPr>
          <w:rFonts w:ascii="Calibri" w:hAnsi="Calibri" w:eastAsia="宋体"/>
          <w:b/>
          <w:bCs/>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xml:space="preserve">Objective </w:t>
      </w:r>
      <w:r>
        <w:rPr>
          <w:rFonts w:ascii="Calibri" w:hAnsi="Calibri" w:eastAsia="宋体"/>
          <w:b/>
          <w:bCs/>
          <w:color w:val="000000"/>
          <w:sz w:val="21"/>
          <w:szCs w:val="21"/>
          <w:highlight w:val="yellow"/>
          <w:lang w:val="en-US" w:eastAsia="zh-CN"/>
        </w:rPr>
        <w:t>(not flagged, companies seem fine with it)</w:t>
      </w:r>
      <w:r>
        <w:rPr>
          <w:rFonts w:ascii="Calibri" w:hAnsi="Calibri" w:eastAsia="宋体"/>
          <w:color w:val="000000"/>
          <w:sz w:val="21"/>
          <w:szCs w:val="21"/>
          <w:lang w:val="en-US" w:eastAsia="zh-CN"/>
        </w:rPr>
        <w:t>: MRO for SN change failure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MRO for SN change failure is agreed to postpone to Rel-17</w:t>
      </w:r>
    </w:p>
    <w:p>
      <w:pPr>
        <w:shd w:val="clear" w:color="auto" w:fill="FFFFFF"/>
        <w:spacing w:after="0" w:line="180" w:lineRule="atLeast"/>
        <w:rPr>
          <w:rFonts w:ascii="Calibri" w:hAnsi="Calibri" w:eastAsia="宋体"/>
          <w:color w:val="000000"/>
          <w:sz w:val="21"/>
          <w:szCs w:val="21"/>
          <w:lang w:val="en-US" w:eastAsia="zh-CN"/>
        </w:rPr>
      </w:pP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It was agreed in RAN3#107-e and it is postponed to Rel-17 due to time limitation in R16.</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xml:space="preserve">Objective </w:t>
      </w:r>
      <w:r>
        <w:rPr>
          <w:rFonts w:ascii="Calibri" w:hAnsi="Calibri" w:eastAsia="宋体"/>
          <w:b/>
          <w:bCs/>
          <w:color w:val="000000"/>
          <w:sz w:val="21"/>
          <w:szCs w:val="21"/>
          <w:highlight w:val="yellow"/>
          <w:lang w:val="en-US" w:eastAsia="zh-CN"/>
        </w:rPr>
        <w:t>(not flagged, companies seem fine with it)</w:t>
      </w:r>
      <w:r>
        <w:rPr>
          <w:rFonts w:ascii="Calibri" w:hAnsi="Calibri" w:eastAsia="宋体"/>
          <w:color w:val="000000"/>
          <w:sz w:val="21"/>
          <w:szCs w:val="21"/>
          <w:lang w:val="en-US" w:eastAsia="zh-CN"/>
        </w:rPr>
        <w:t>: Inter-system load balancing</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Load balancing features for intra-system have been specified in Rel-16. Operators have strong requirements to support inter-system (4G and 5G) load balancing in Rel-17.</w:t>
      </w:r>
    </w:p>
    <w:p>
      <w:pPr>
        <w:shd w:val="clear" w:color="auto" w:fill="FFFFFF"/>
        <w:spacing w:after="0" w:line="180" w:lineRule="atLeast"/>
        <w:rPr>
          <w:rFonts w:ascii="Calibri" w:hAnsi="Calibri" w:eastAsia="宋体"/>
          <w:color w:val="000000"/>
          <w:sz w:val="21"/>
          <w:szCs w:val="21"/>
          <w:lang w:val="en-US" w:eastAsia="zh-CN"/>
        </w:rPr>
      </w:pP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 Qualcomm </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 Nokia </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It was already approved.</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pStyle w:val="89"/>
        <w:shd w:val="clear" w:color="auto" w:fill="FFFFFF"/>
        <w:spacing w:after="0" w:line="180" w:lineRule="atLeast"/>
        <w:ind w:left="420"/>
        <w:rPr>
          <w:rFonts w:ascii="Calibri" w:hAnsi="Calibri" w:eastAsia="宋体"/>
          <w:color w:val="000000"/>
          <w:sz w:val="21"/>
          <w:szCs w:val="21"/>
          <w:lang w:val="en-US" w:eastAsia="zh-CN"/>
        </w:rPr>
      </w:pPr>
      <w:r>
        <w:rPr>
          <w:rFonts w:ascii="Calibri" w:hAnsi="Calibri" w:eastAsia="宋体"/>
          <w:color w:val="000000"/>
          <w:sz w:val="21"/>
          <w:szCs w:val="21"/>
          <w:lang w:val="en-US" w:eastAsia="zh-CN"/>
        </w:rPr>
        <w:t>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NR-U enhancement</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It is mentioned in RP-200823 that SON/MDT may also apply to NR-U with some enhancements, e.g., MLB to take into account resource conditions in NR-U cells, to provide measurements and reports, e.g. RLF/RA reports,</w:t>
      </w:r>
      <w:r>
        <w:rPr>
          <w:rFonts w:hint="eastAsia" w:ascii="Calibri" w:hAnsi="Calibri" w:eastAsia="宋体"/>
          <w:color w:val="000000"/>
          <w:sz w:val="21"/>
          <w:szCs w:val="21"/>
          <w:lang w:val="en-US" w:eastAsia="zh-CN"/>
        </w:rPr>
        <w:t xml:space="preserve"> </w:t>
      </w:r>
      <w:r>
        <w:rPr>
          <w:rFonts w:ascii="Calibri" w:hAnsi="Calibri" w:eastAsia="宋体"/>
          <w:color w:val="000000"/>
          <w:sz w:val="21"/>
          <w:szCs w:val="21"/>
          <w:lang w:val="en-US" w:eastAsia="zh-CN"/>
        </w:rPr>
        <w:t>that help the management and configuration of NR-U, MRO enhanced to consider failure cases pertinent to NR-U</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w:t>
      </w: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p>
            <w:pPr>
              <w:pStyle w:val="13"/>
              <w:rPr>
                <w:rFonts w:ascii="Times New Roman" w:hAnsi="Times New Roman" w:cs="Times New Roman"/>
              </w:rPr>
            </w:pPr>
            <w:r>
              <w:rPr>
                <w:rFonts w:ascii="Calibri" w:hAnsi="Calibri" w:eastAsia="宋体"/>
                <w:sz w:val="21"/>
                <w:szCs w:val="21"/>
                <w:lang w:val="en-US" w:eastAsia="zh-CN"/>
              </w:rPr>
              <w:t>Propose to clarify the objective from “NR-Unlicensed optimization” to “</w:t>
            </w:r>
            <w:r>
              <w:rPr>
                <w:rFonts w:ascii="Times New Roman" w:hAnsi="Times New Roman" w:cs="Times New Roman"/>
              </w:rPr>
              <w:t>NR-</w:t>
            </w:r>
            <w:r>
              <w:rPr>
                <w:rFonts w:ascii="Calibri" w:hAnsi="Calibri" w:eastAsia="宋体"/>
                <w:sz w:val="21"/>
                <w:szCs w:val="21"/>
                <w:lang w:val="en-US" w:eastAsia="zh-CN"/>
              </w:rPr>
              <w:t xml:space="preserve"> Unlicensed</w:t>
            </w:r>
            <w:r>
              <w:rPr>
                <w:rFonts w:ascii="Times New Roman" w:hAnsi="Times New Roman" w:cs="Times New Roman"/>
              </w:rPr>
              <w:t xml:space="preserve"> related SON/MDT optimization”, to limit the scope.</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We could reuse the work we did for the Rel 16 NR-U, and to include them for SON/MDT. The impact will not be big.</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No</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No discussion either in R16 SI or WI phase, further clarification is needed.</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pStyle w:val="89"/>
        <w:shd w:val="clear" w:color="auto" w:fill="FFFFFF"/>
        <w:spacing w:after="0" w:line="180" w:lineRule="atLeast"/>
        <w:ind w:left="420"/>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NPN and IDC</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It is mentioned in the flagged email MDT coexistence with NPN and IDC need to be considered</w:t>
      </w:r>
    </w:p>
    <w:p>
      <w:pPr>
        <w:shd w:val="clear" w:color="auto" w:fill="FFFFFF"/>
        <w:spacing w:after="0" w:line="180" w:lineRule="atLeast"/>
        <w:rPr>
          <w:rFonts w:ascii="Calibri" w:hAnsi="Calibri" w:eastAsia="宋体"/>
          <w:color w:val="000000"/>
          <w:sz w:val="21"/>
          <w:szCs w:val="21"/>
          <w:lang w:val="en-US" w:eastAsia="zh-CN"/>
        </w:rPr>
      </w:pP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Our concern is that NPN might be a big scope, e.g. needs the SA-RAN coordination.</w:t>
            </w:r>
          </w:p>
          <w:p>
            <w:pPr>
              <w:spacing w:after="0"/>
              <w:rPr>
                <w:rFonts w:ascii="Calibri" w:hAnsi="Calibri" w:eastAsia="宋体"/>
                <w:sz w:val="21"/>
                <w:szCs w:val="21"/>
                <w:lang w:val="en-US" w:eastAsia="zh-CN"/>
              </w:rPr>
            </w:pPr>
          </w:p>
          <w:p>
            <w:pPr>
              <w:spacing w:after="0"/>
              <w:rPr>
                <w:rFonts w:ascii="Calibri" w:hAnsi="Calibri" w:eastAsia="宋体"/>
                <w:sz w:val="21"/>
                <w:szCs w:val="21"/>
                <w:lang w:val="en-US" w:eastAsia="zh-CN"/>
              </w:rPr>
            </w:pPr>
            <w:r>
              <w:rPr>
                <w:rFonts w:ascii="Calibri" w:hAnsi="Calibri" w:eastAsia="宋体"/>
                <w:sz w:val="21"/>
                <w:szCs w:val="21"/>
                <w:lang w:val="en-US" w:eastAsia="zh-CN"/>
              </w:rPr>
              <w:t>IDC would be fine to be included.</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Similar view as Ericsson regarding NPN. Okay to include in Rel-17 if scope is identified and defined.</w:t>
            </w:r>
          </w:p>
          <w:p>
            <w:pPr>
              <w:spacing w:after="0"/>
              <w:rPr>
                <w:rFonts w:ascii="Calibri" w:hAnsi="Calibri" w:eastAsia="宋体"/>
                <w:sz w:val="21"/>
                <w:szCs w:val="21"/>
                <w:lang w:val="en-US" w:eastAsia="zh-CN"/>
              </w:rPr>
            </w:pPr>
          </w:p>
          <w:p>
            <w:pPr>
              <w:spacing w:after="0"/>
              <w:rPr>
                <w:rFonts w:ascii="Calibri" w:hAnsi="Calibri" w:eastAsia="宋体"/>
                <w:sz w:val="21"/>
                <w:szCs w:val="21"/>
                <w:lang w:val="en-US" w:eastAsia="zh-CN"/>
              </w:rPr>
            </w:pPr>
            <w:r>
              <w:rPr>
                <w:rFonts w:ascii="Calibri" w:hAnsi="Calibri" w:eastAsia="宋体"/>
                <w:sz w:val="21"/>
                <w:szCs w:val="21"/>
                <w:lang w:val="en-US" w:eastAsia="zh-CN"/>
              </w:rPr>
              <w:t>IDC should be fine to include assuming similar handling as LTE.</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We propose to clarify a bit more on RAN2 scope with the following addition </w:t>
            </w:r>
            <w:r>
              <w:rPr>
                <w:rFonts w:hint="eastAsia" w:ascii="Calibri" w:hAnsi="Calibri" w:eastAsia="宋体"/>
                <w:sz w:val="21"/>
                <w:szCs w:val="21"/>
                <w:lang w:val="en-US" w:eastAsia="zh-CN"/>
              </w:rPr>
              <w:t>“</w:t>
            </w:r>
            <w:r>
              <w:rPr>
                <w:rFonts w:ascii="Calibri" w:hAnsi="Calibri" w:eastAsia="宋体"/>
                <w:i/>
                <w:iCs/>
                <w:sz w:val="21"/>
                <w:szCs w:val="21"/>
                <w:lang w:val="en-US" w:eastAsia="zh-CN"/>
              </w:rPr>
              <w:t xml:space="preserve">Enhancement of logged and immediate MDT </w:t>
            </w:r>
            <w:r>
              <w:rPr>
                <w:rFonts w:ascii="Calibri" w:hAnsi="Calibri" w:eastAsia="宋体"/>
                <w:i/>
                <w:iCs/>
                <w:sz w:val="21"/>
                <w:szCs w:val="21"/>
                <w:u w:val="single"/>
                <w:lang w:val="en-US" w:eastAsia="zh-CN"/>
              </w:rPr>
              <w:t xml:space="preserve">(for MR-DC, coexistence with NPN and IDC) </w:t>
            </w:r>
            <w:r>
              <w:rPr>
                <w:rFonts w:ascii="Calibri" w:hAnsi="Calibri" w:eastAsia="宋体"/>
                <w:i/>
                <w:iCs/>
                <w:sz w:val="21"/>
                <w:szCs w:val="21"/>
                <w:lang w:val="en-US" w:eastAsia="zh-CN"/>
              </w:rPr>
              <w:t>[RAN2, RAN3]</w:t>
            </w:r>
            <w:r>
              <w:rPr>
                <w:rFonts w:hint="eastAsia" w:ascii="Calibri" w:hAnsi="Calibri" w:eastAsia="宋体"/>
                <w:sz w:val="21"/>
                <w:szCs w:val="21"/>
                <w:lang w:val="en-US" w:eastAsia="zh-CN"/>
              </w:rPr>
              <w:t>”</w:t>
            </w:r>
            <w:r>
              <w:t></w:t>
            </w:r>
            <w:r>
              <w:rPr>
                <w:rFonts w:ascii="Calibri" w:hAnsi="Calibri" w:eastAsia="宋体"/>
                <w:sz w:val="21"/>
                <w:szCs w:val="21"/>
                <w:lang w:val="en-US" w:eastAsia="zh-CN"/>
              </w:rPr>
              <w:t>since these three features have been addressed in Rel16 and concluded to be postponed. NPN/IDC aspects are important and the is limited to MDT, which should not become so big.</w:t>
            </w:r>
          </w:p>
          <w:p>
            <w:pPr>
              <w:spacing w:after="0"/>
              <w:rPr>
                <w:rFonts w:ascii="Calibri" w:hAnsi="Calibri" w:eastAsia="宋体"/>
                <w:sz w:val="21"/>
                <w:szCs w:val="21"/>
                <w:lang w:val="en-US" w:eastAsia="zh-CN"/>
              </w:rPr>
            </w:pPr>
          </w:p>
          <w:p>
            <w:pPr>
              <w:spacing w:after="0"/>
              <w:rPr>
                <w:rFonts w:ascii="Calibri" w:hAnsi="Calibri" w:eastAsia="宋体"/>
                <w:sz w:val="21"/>
                <w:szCs w:val="21"/>
                <w:lang w:val="en-US" w:eastAsia="zh-CN"/>
              </w:rPr>
            </w:pPr>
            <w:r>
              <w:rPr>
                <w:rFonts w:ascii="Calibri" w:hAnsi="Calibri" w:eastAsia="宋体"/>
                <w:sz w:val="21"/>
                <w:szCs w:val="21"/>
                <w:lang w:val="en-US" w:eastAsia="zh-CN"/>
              </w:rPr>
              <w:t>Further clarification:</w:t>
            </w:r>
          </w:p>
          <w:p>
            <w:pPr>
              <w:spacing w:after="0"/>
              <w:rPr>
                <w:rFonts w:ascii="Calibri" w:hAnsi="Calibri" w:eastAsia="宋体"/>
                <w:sz w:val="21"/>
                <w:szCs w:val="21"/>
                <w:lang w:val="en-US" w:eastAsia="zh-CN"/>
              </w:rPr>
            </w:pPr>
            <w:r>
              <w:rPr>
                <w:rFonts w:ascii="Calibri" w:hAnsi="Calibri" w:eastAsia="宋体"/>
                <w:sz w:val="21"/>
                <w:szCs w:val="21"/>
                <w:lang w:val="en-US" w:eastAsia="zh-CN"/>
              </w:rPr>
              <w:t>-</w:t>
            </w:r>
            <w:r>
              <w:rPr>
                <w:rFonts w:ascii="Calibri" w:hAnsi="Calibri" w:eastAsia="宋体"/>
                <w:sz w:val="21"/>
                <w:szCs w:val="21"/>
                <w:lang w:val="en-US" w:eastAsia="zh-CN"/>
              </w:rPr>
              <w:tab/>
            </w:r>
            <w:r>
              <w:rPr>
                <w:rFonts w:ascii="Calibri" w:hAnsi="Calibri" w:eastAsia="宋体"/>
                <w:sz w:val="21"/>
                <w:szCs w:val="21"/>
                <w:lang w:val="en-US" w:eastAsia="zh-CN"/>
              </w:rPr>
              <w:t>MDT for MR-DC, as the MDT applicability to EN-DC was the only deployment from Dual Connectivity deployments selected for specification, due to lack of time</w:t>
            </w:r>
          </w:p>
          <w:p>
            <w:pPr>
              <w:spacing w:after="0"/>
              <w:rPr>
                <w:rFonts w:ascii="Calibri" w:hAnsi="Calibri" w:eastAsia="宋体"/>
                <w:sz w:val="21"/>
                <w:szCs w:val="21"/>
                <w:lang w:val="en-US" w:eastAsia="zh-CN"/>
              </w:rPr>
            </w:pPr>
            <w:r>
              <w:rPr>
                <w:rFonts w:ascii="Calibri" w:hAnsi="Calibri" w:eastAsia="宋体"/>
                <w:sz w:val="21"/>
                <w:szCs w:val="21"/>
                <w:lang w:val="en-US" w:eastAsia="zh-CN"/>
              </w:rPr>
              <w:t>-</w:t>
            </w:r>
            <w:r>
              <w:rPr>
                <w:rFonts w:ascii="Calibri" w:hAnsi="Calibri" w:eastAsia="宋体"/>
                <w:sz w:val="21"/>
                <w:szCs w:val="21"/>
                <w:lang w:val="en-US" w:eastAsia="zh-CN"/>
              </w:rPr>
              <w:tab/>
            </w:r>
            <w:r>
              <w:rPr>
                <w:rFonts w:ascii="Calibri" w:hAnsi="Calibri" w:eastAsia="宋体"/>
                <w:sz w:val="21"/>
                <w:szCs w:val="21"/>
                <w:lang w:val="en-US" w:eastAsia="zh-CN"/>
              </w:rPr>
              <w:t>Coexistence of MDT functionality with NPN networks  and IDC features, as SNPN networks presence affect checking of network id (which is now only PLMNid ) before RLFreport for secure reporting</w:t>
            </w:r>
          </w:p>
          <w:p>
            <w:pPr>
              <w:spacing w:after="0"/>
              <w:rPr>
                <w:rFonts w:ascii="Calibri" w:hAnsi="Calibri" w:eastAsia="宋体"/>
                <w:sz w:val="21"/>
                <w:szCs w:val="21"/>
                <w:lang w:val="en-US" w:eastAsia="zh-CN"/>
              </w:rPr>
            </w:pPr>
            <w:r>
              <w:rPr>
                <w:rFonts w:ascii="Calibri" w:hAnsi="Calibri" w:eastAsia="宋体"/>
                <w:sz w:val="21"/>
                <w:szCs w:val="21"/>
                <w:lang w:val="en-US" w:eastAsia="zh-CN"/>
              </w:rPr>
              <w:t>-</w:t>
            </w:r>
            <w:r>
              <w:rPr>
                <w:rFonts w:ascii="Calibri" w:hAnsi="Calibri" w:eastAsia="宋体"/>
                <w:sz w:val="21"/>
                <w:szCs w:val="21"/>
                <w:lang w:val="en-US" w:eastAsia="zh-CN"/>
              </w:rPr>
              <w:tab/>
            </w:r>
            <w:r>
              <w:rPr>
                <w:rFonts w:ascii="Calibri" w:hAnsi="Calibri" w:eastAsia="宋体"/>
                <w:sz w:val="21"/>
                <w:szCs w:val="21"/>
                <w:lang w:val="en-US" w:eastAsia="zh-CN"/>
              </w:rPr>
              <w:t>Coexistence of MDT functionality with IDC feature, as LTE baseline cover this relation and mark logged MDT data whenever they are polluted by IDC interferences. This coexistence was already present in some early stage of stage 3 running CR, but decided to be postponed.</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hint="default" w:ascii="Calibri" w:hAnsi="Calibri" w:eastAsia="宋体"/>
                <w:sz w:val="21"/>
                <w:szCs w:val="21"/>
                <w:lang w:val="en-US" w:eastAsia="zh-CN"/>
              </w:rPr>
            </w:pP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hint="default"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hint="eastAsia" w:ascii="Calibri" w:hAnsi="Calibri" w:eastAsia="宋体"/>
                <w:sz w:val="21"/>
                <w:szCs w:val="21"/>
                <w:lang w:val="en-US" w:eastAsia="zh-CN"/>
              </w:rPr>
            </w:pPr>
            <w:r>
              <w:rPr>
                <w:rFonts w:hint="eastAsia" w:ascii="Calibri" w:hAnsi="Calibri" w:eastAsia="宋体"/>
                <w:sz w:val="21"/>
                <w:szCs w:val="21"/>
                <w:lang w:val="en-US" w:eastAsia="zh-CN"/>
              </w:rPr>
              <w:t xml:space="preserve">Regarding NPN, share the view with Ericsson and Qualcomm. </w:t>
            </w:r>
          </w:p>
          <w:p>
            <w:pPr>
              <w:spacing w:after="0"/>
              <w:rPr>
                <w:rFonts w:hint="default" w:ascii="Calibri" w:hAnsi="Calibri" w:eastAsia="宋体"/>
                <w:sz w:val="21"/>
                <w:szCs w:val="21"/>
                <w:lang w:val="en-US" w:eastAsia="zh-CN"/>
              </w:rPr>
            </w:pPr>
            <w:r>
              <w:rPr>
                <w:rFonts w:hint="eastAsia" w:ascii="Calibri" w:hAnsi="Calibri" w:eastAsia="宋体"/>
                <w:sz w:val="21"/>
                <w:szCs w:val="21"/>
                <w:lang w:val="en-US" w:eastAsia="zh-CN"/>
              </w:rPr>
              <w:t xml:space="preserve">Regarding IDC, fine but it </w:t>
            </w:r>
            <w:bookmarkStart w:id="4" w:name="_GoBack"/>
            <w:bookmarkEnd w:id="4"/>
            <w:r>
              <w:rPr>
                <w:rFonts w:hint="eastAsia" w:ascii="Calibri" w:hAnsi="Calibri" w:eastAsia="宋体"/>
                <w:sz w:val="21"/>
                <w:szCs w:val="21"/>
                <w:lang w:val="en-US" w:eastAsia="zh-CN"/>
              </w:rPr>
              <w:t xml:space="preserve">should limit the scope similar to LTE. </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pStyle w:val="89"/>
        <w:shd w:val="clear" w:color="auto" w:fill="FFFFFF"/>
        <w:spacing w:after="0" w:line="180" w:lineRule="atLeast"/>
        <w:ind w:left="420"/>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WID refinement</w:t>
      </w:r>
      <w:r>
        <w:rPr>
          <w:rFonts w:ascii="Calibri" w:hAnsi="Calibri" w:eastAsia="宋体"/>
          <w:color w:val="000000"/>
          <w:sz w:val="21"/>
          <w:szCs w:val="21"/>
          <w:lang w:val="en-US" w:eastAsia="zh-CN"/>
        </w:rPr>
        <w:t>: Successful HO report in SON and/or MDT part?</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It is mentioned in the flagged email that successful HO re</w:t>
      </w:r>
      <w:r>
        <w:rPr>
          <w:rFonts w:hint="eastAsia" w:ascii="Calibri" w:hAnsi="Calibri" w:eastAsia="宋体"/>
          <w:color w:val="000000"/>
          <w:sz w:val="21"/>
          <w:szCs w:val="21"/>
          <w:lang w:val="en-US" w:eastAsia="zh-CN"/>
        </w:rPr>
        <w:t>p</w:t>
      </w:r>
      <w:r>
        <w:rPr>
          <w:rFonts w:ascii="Calibri" w:hAnsi="Calibri" w:eastAsia="宋体"/>
          <w:color w:val="000000"/>
          <w:sz w:val="21"/>
          <w:szCs w:val="21"/>
          <w:lang w:val="en-US" w:eastAsia="zh-CN"/>
        </w:rPr>
        <w:t>ort is a SON fea</w:t>
      </w:r>
      <w:r>
        <w:rPr>
          <w:rFonts w:hint="eastAsia" w:ascii="Calibri" w:hAnsi="Calibri" w:eastAsia="宋体"/>
          <w:color w:val="000000"/>
          <w:sz w:val="21"/>
          <w:szCs w:val="21"/>
          <w:lang w:val="en-US" w:eastAsia="zh-CN"/>
        </w:rPr>
        <w:t>t</w:t>
      </w:r>
      <w:r>
        <w:rPr>
          <w:rFonts w:ascii="Calibri" w:hAnsi="Calibri" w:eastAsia="宋体"/>
          <w:color w:val="000000"/>
          <w:sz w:val="21"/>
          <w:szCs w:val="21"/>
          <w:lang w:val="en-US" w:eastAsia="zh-CN"/>
        </w:rPr>
        <w:t>ure and has been in</w:t>
      </w:r>
      <w:r>
        <w:rPr>
          <w:rFonts w:hint="eastAsia" w:ascii="Calibri" w:hAnsi="Calibri" w:eastAsia="宋体"/>
          <w:color w:val="000000"/>
          <w:sz w:val="21"/>
          <w:szCs w:val="21"/>
          <w:lang w:val="en-US" w:eastAsia="zh-CN"/>
        </w:rPr>
        <w:t>cl</w:t>
      </w:r>
      <w:r>
        <w:rPr>
          <w:rFonts w:ascii="Calibri" w:hAnsi="Calibri" w:eastAsia="宋体"/>
          <w:color w:val="000000"/>
          <w:sz w:val="21"/>
          <w:szCs w:val="21"/>
          <w:lang w:val="en-US" w:eastAsia="zh-CN"/>
        </w:rPr>
        <w:t>uded in the SON part.</w:t>
      </w:r>
    </w:p>
    <w:p>
      <w:pPr>
        <w:shd w:val="clear" w:color="auto" w:fill="FFFFFF"/>
        <w:spacing w:after="0" w:line="180" w:lineRule="atLeast"/>
        <w:rPr>
          <w:rFonts w:ascii="Calibri" w:hAnsi="Calibri" w:eastAsia="宋体"/>
          <w:color w:val="000000"/>
          <w:sz w:val="21"/>
          <w:szCs w:val="21"/>
          <w:lang w:val="en-US" w:eastAsia="zh-CN"/>
        </w:rPr>
      </w:pPr>
    </w:p>
    <w:tbl>
      <w:tblPr>
        <w:tblStyle w:val="33"/>
        <w:tblW w:w="8222" w:type="dxa"/>
        <w:tblInd w:w="108" w:type="dxa"/>
        <w:tblLayout w:type="fixed"/>
        <w:tblCellMar>
          <w:top w:w="0" w:type="dxa"/>
          <w:left w:w="0" w:type="dxa"/>
          <w:bottom w:w="0" w:type="dxa"/>
          <w:right w:w="0" w:type="dxa"/>
        </w:tblCellMar>
      </w:tblPr>
      <w:tblGrid>
        <w:gridCol w:w="2410"/>
        <w:gridCol w:w="2977"/>
        <w:gridCol w:w="2835"/>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Views</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Our understanding is the aspect is not covered in rel-16 due to the lack of time.</w:t>
            </w:r>
          </w:p>
          <w:p>
            <w:pPr>
              <w:spacing w:after="0"/>
              <w:rPr>
                <w:rFonts w:ascii="Calibri" w:hAnsi="Calibri" w:eastAsia="宋体"/>
                <w:sz w:val="21"/>
                <w:szCs w:val="21"/>
                <w:lang w:val="en-US" w:eastAsia="zh-CN"/>
              </w:rPr>
            </w:pPr>
            <w:r>
              <w:rPr>
                <w:rFonts w:ascii="Calibri" w:hAnsi="Calibri" w:eastAsia="宋体"/>
                <w:sz w:val="21"/>
                <w:szCs w:val="21"/>
                <w:lang w:val="en-US" w:eastAsia="zh-CN"/>
              </w:rPr>
              <w:t>It is fine to be included in Rel 17.</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We see relatively limited benefit in including successful HO report in SON/MDT WI. Could be a candidate to omit to keep the overall scope under control.</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This is not covered in Rel16, and fine to be included in Rel17.</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sz w:val="21"/>
                <w:szCs w:val="21"/>
                <w:lang w:val="en-US" w:eastAsia="zh-CN"/>
              </w:rPr>
            </w:pPr>
            <w:r>
              <w:rPr>
                <w:rFonts w:hint="eastAsia" w:ascii="Calibri" w:hAnsi="Calibri" w:eastAsia="宋体"/>
                <w:sz w:val="21"/>
                <w:szCs w:val="21"/>
                <w:lang w:val="en-US" w:eastAsia="zh-CN"/>
              </w:rPr>
              <w:t>We can keep the feature in the working scope with low priority, which is pending on RAN2 discussion.</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It was discussed in R16 with the conclusion as </w:t>
            </w:r>
            <w:r>
              <w:rPr>
                <w:rFonts w:hint="default" w:ascii="Calibri" w:hAnsi="Calibri" w:eastAsia="宋体"/>
                <w:sz w:val="21"/>
                <w:szCs w:val="21"/>
                <w:lang w:val="en-US" w:eastAsia="zh-CN"/>
              </w:rPr>
              <w:t>“</w:t>
            </w:r>
            <w:r>
              <w:rPr>
                <w:rFonts w:hint="eastAsia" w:ascii="Calibri" w:hAnsi="Calibri" w:eastAsia="宋体"/>
                <w:sz w:val="21"/>
                <w:szCs w:val="21"/>
                <w:lang w:val="en-US" w:eastAsia="zh-CN"/>
              </w:rPr>
              <w:t xml:space="preserve">Pending RAN2 discussion, but RAN2 will not discuss this in Rel-16 </w:t>
            </w:r>
            <w:r>
              <w:rPr>
                <w:rFonts w:hint="default" w:ascii="Calibri" w:hAnsi="Calibri" w:eastAsia="宋体"/>
                <w:sz w:val="21"/>
                <w:szCs w:val="21"/>
                <w:lang w:val="en-US" w:eastAsia="zh-CN"/>
              </w:rPr>
              <w:t>”</w:t>
            </w:r>
          </w:p>
        </w:tc>
      </w:tr>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b/>
          <w:color w:val="000000"/>
          <w:sz w:val="21"/>
          <w:szCs w:val="21"/>
          <w:lang w:val="en-US" w:eastAsia="zh-CN"/>
        </w:rPr>
      </w:pPr>
      <w:r>
        <w:rPr>
          <w:rFonts w:ascii="Calibri" w:hAnsi="Calibri" w:eastAsia="宋体"/>
          <w:b/>
          <w:color w:val="000000"/>
          <w:sz w:val="21"/>
          <w:szCs w:val="21"/>
          <w:lang w:val="en-US" w:eastAsia="zh-CN"/>
        </w:rPr>
        <w:t>Other proposals:</w:t>
      </w:r>
    </w:p>
    <w:tbl>
      <w:tblPr>
        <w:tblStyle w:val="33"/>
        <w:tblW w:w="8222" w:type="dxa"/>
        <w:tblInd w:w="108" w:type="dxa"/>
        <w:tblLayout w:type="fixed"/>
        <w:tblCellMar>
          <w:top w:w="0" w:type="dxa"/>
          <w:left w:w="0" w:type="dxa"/>
          <w:bottom w:w="0" w:type="dxa"/>
          <w:right w:w="0" w:type="dxa"/>
        </w:tblCellMar>
      </w:tblPr>
      <w:tblGrid>
        <w:gridCol w:w="2410"/>
        <w:gridCol w:w="5812"/>
      </w:tblGrid>
      <w:tr>
        <w:tblPrEx>
          <w:tblLayout w:type="fixed"/>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Proposals</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Keep the R17 WI scope in a reasonable range.</w:t>
            </w:r>
          </w:p>
        </w:tc>
      </w:tr>
      <w:tr>
        <w:tblPrEx>
          <w:tblLayout w:type="fixed"/>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581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bl>
    <w:p>
      <w:pPr>
        <w:shd w:val="clear" w:color="auto" w:fill="FFFFFF"/>
        <w:spacing w:before="100" w:after="100" w:line="180" w:lineRule="atLeast"/>
        <w:ind w:right="720"/>
        <w:jc w:val="left"/>
        <w:rPr>
          <w:rFonts w:ascii="Microsoft YaHei UI" w:hAnsi="Microsoft YaHei UI" w:eastAsia="Microsoft YaHei UI" w:cs="宋体"/>
          <w:color w:val="000000"/>
          <w:sz w:val="12"/>
          <w:szCs w:val="12"/>
          <w:lang w:val="en-US" w:eastAsia="zh-CN"/>
        </w:rPr>
      </w:pPr>
    </w:p>
    <w:p>
      <w:pPr>
        <w:rPr>
          <w:rFonts w:ascii="Arial" w:hAnsi="Arial" w:eastAsia="Arial Unicode MS" w:cs="Arial"/>
          <w:lang w:eastAsia="zh-CN"/>
        </w:rPr>
      </w:pPr>
    </w:p>
    <w:p>
      <w:pPr>
        <w:spacing w:before="120" w:beforeLines="50"/>
        <w:rPr>
          <w:rFonts w:ascii="Arial" w:hAnsi="Arial" w:eastAsia="Wingdings" w:cs="Arial"/>
          <w:lang w:eastAsia="zh-CN"/>
        </w:rPr>
      </w:pPr>
    </w:p>
    <w:bookmarkEnd w:id="2"/>
    <w:bookmarkEnd w:id="3"/>
    <w:p>
      <w:pPr>
        <w:pStyle w:val="2"/>
        <w:numPr>
          <w:ilvl w:val="0"/>
          <w:numId w:val="1"/>
        </w:numPr>
        <w:rPr>
          <w:rFonts w:ascii="Arial" w:hAnsi="Arial" w:cs="Arial"/>
        </w:rPr>
      </w:pPr>
      <w:r>
        <w:rPr>
          <w:rFonts w:ascii="Arial" w:hAnsi="Arial" w:cs="Arial"/>
        </w:rPr>
        <w:t>Conclusions</w:t>
      </w:r>
    </w:p>
    <w:p>
      <w:pPr>
        <w:spacing w:before="120" w:beforeLines="50" w:after="0"/>
        <w:rPr>
          <w:rFonts w:ascii="Arial" w:hAnsi="Arial" w:eastAsia="Wingdings" w:cs="Arial"/>
          <w:sz w:val="22"/>
          <w:lang w:eastAsia="zh-CN"/>
        </w:rPr>
      </w:pPr>
    </w:p>
    <w:p>
      <w:pPr>
        <w:overflowPunct w:val="0"/>
        <w:autoSpaceDE w:val="0"/>
        <w:autoSpaceDN w:val="0"/>
        <w:adjustRightInd w:val="0"/>
        <w:jc w:val="left"/>
        <w:textAlignment w:val="baseline"/>
        <w:rPr>
          <w:rFonts w:ascii="Arial" w:hAnsi="Arial" w:cs="Arial"/>
          <w:color w:val="000000"/>
          <w:lang w:eastAsia="zh-CN"/>
        </w:rPr>
      </w:pPr>
    </w:p>
    <w:sectPr>
      <w:footnotePr>
        <w:numRestart w:val="eachSect"/>
      </w:footnotePr>
      <w:pgSz w:w="11907" w:h="16840"/>
      <w:pgMar w:top="1416" w:right="1133" w:bottom="1133" w:left="1134" w:header="850" w:footer="340" w:gutter="0"/>
      <w:pgBorders>
        <w:top w:val="none" w:sz="0" w:space="0"/>
        <w:left w:val="none" w:sz="0" w:space="0"/>
        <w:bottom w:val="none" w:sz="0" w:space="0"/>
        <w:right w:val="none" w:sz="0" w:space="0"/>
      </w:pgBorders>
      <w:cols w:space="720" w:num="1"/>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 w:name="Tele-Grotesk-Norm">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modern"/>
    <w:pitch w:val="default"/>
    <w:sig w:usb0="FFFFFFFF" w:usb1="E9FFFFFF" w:usb2="0000003F" w:usb3="00000000" w:csb0="603F01FF" w:csb1="FFFF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77C"/>
    <w:multiLevelType w:val="multilevel"/>
    <w:tmpl w:val="22D457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93A"/>
    <w:rsid w:val="0002024A"/>
    <w:rsid w:val="00020845"/>
    <w:rsid w:val="00020852"/>
    <w:rsid w:val="00022177"/>
    <w:rsid w:val="00022E3A"/>
    <w:rsid w:val="0002357A"/>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23D1"/>
    <w:rsid w:val="00042AEA"/>
    <w:rsid w:val="0004310B"/>
    <w:rsid w:val="000436E9"/>
    <w:rsid w:val="00044098"/>
    <w:rsid w:val="0004450E"/>
    <w:rsid w:val="00044B22"/>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AFD"/>
    <w:rsid w:val="00061B07"/>
    <w:rsid w:val="00062718"/>
    <w:rsid w:val="00062B54"/>
    <w:rsid w:val="000634BE"/>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3DB2"/>
    <w:rsid w:val="00094964"/>
    <w:rsid w:val="00095382"/>
    <w:rsid w:val="0009642F"/>
    <w:rsid w:val="000979AE"/>
    <w:rsid w:val="00097A7A"/>
    <w:rsid w:val="000A0262"/>
    <w:rsid w:val="000A058A"/>
    <w:rsid w:val="000A0C4C"/>
    <w:rsid w:val="000A3B21"/>
    <w:rsid w:val="000A4ED2"/>
    <w:rsid w:val="000A5FBD"/>
    <w:rsid w:val="000A6499"/>
    <w:rsid w:val="000A72AC"/>
    <w:rsid w:val="000B0541"/>
    <w:rsid w:val="000B12A6"/>
    <w:rsid w:val="000B188D"/>
    <w:rsid w:val="000B1BAD"/>
    <w:rsid w:val="000B375E"/>
    <w:rsid w:val="000B3987"/>
    <w:rsid w:val="000B3DDC"/>
    <w:rsid w:val="000B4460"/>
    <w:rsid w:val="000B6152"/>
    <w:rsid w:val="000B70A9"/>
    <w:rsid w:val="000B7452"/>
    <w:rsid w:val="000B7BCF"/>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7BA"/>
    <w:rsid w:val="00147252"/>
    <w:rsid w:val="0014763D"/>
    <w:rsid w:val="00147DE4"/>
    <w:rsid w:val="0015055E"/>
    <w:rsid w:val="00151E00"/>
    <w:rsid w:val="00152624"/>
    <w:rsid w:val="00154396"/>
    <w:rsid w:val="001544A7"/>
    <w:rsid w:val="001554EF"/>
    <w:rsid w:val="001561D9"/>
    <w:rsid w:val="00157AAC"/>
    <w:rsid w:val="00160055"/>
    <w:rsid w:val="001600B9"/>
    <w:rsid w:val="00160534"/>
    <w:rsid w:val="00162453"/>
    <w:rsid w:val="001625D3"/>
    <w:rsid w:val="00162732"/>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5C95"/>
    <w:rsid w:val="00197E17"/>
    <w:rsid w:val="001A2E47"/>
    <w:rsid w:val="001A3BB0"/>
    <w:rsid w:val="001A4A8B"/>
    <w:rsid w:val="001A73AF"/>
    <w:rsid w:val="001B03D8"/>
    <w:rsid w:val="001B3099"/>
    <w:rsid w:val="001B353A"/>
    <w:rsid w:val="001B6335"/>
    <w:rsid w:val="001B7811"/>
    <w:rsid w:val="001C2C10"/>
    <w:rsid w:val="001C44AE"/>
    <w:rsid w:val="001C50DD"/>
    <w:rsid w:val="001D0189"/>
    <w:rsid w:val="001D0805"/>
    <w:rsid w:val="001D08EC"/>
    <w:rsid w:val="001D15D8"/>
    <w:rsid w:val="001D16C2"/>
    <w:rsid w:val="001D197B"/>
    <w:rsid w:val="001D2E00"/>
    <w:rsid w:val="001D2F42"/>
    <w:rsid w:val="001D5278"/>
    <w:rsid w:val="001D5A22"/>
    <w:rsid w:val="001D5F4E"/>
    <w:rsid w:val="001D7A78"/>
    <w:rsid w:val="001E0BFB"/>
    <w:rsid w:val="001E24F4"/>
    <w:rsid w:val="001E2D16"/>
    <w:rsid w:val="001E323F"/>
    <w:rsid w:val="001E326D"/>
    <w:rsid w:val="001E4280"/>
    <w:rsid w:val="001E525C"/>
    <w:rsid w:val="001E5272"/>
    <w:rsid w:val="001F141C"/>
    <w:rsid w:val="001F168B"/>
    <w:rsid w:val="001F180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53FF"/>
    <w:rsid w:val="002176BF"/>
    <w:rsid w:val="00217703"/>
    <w:rsid w:val="00224C0A"/>
    <w:rsid w:val="00225E9B"/>
    <w:rsid w:val="0022606D"/>
    <w:rsid w:val="002261EF"/>
    <w:rsid w:val="00227543"/>
    <w:rsid w:val="00227673"/>
    <w:rsid w:val="00230146"/>
    <w:rsid w:val="00231E57"/>
    <w:rsid w:val="002345B9"/>
    <w:rsid w:val="00235215"/>
    <w:rsid w:val="00236135"/>
    <w:rsid w:val="002364A3"/>
    <w:rsid w:val="00236BED"/>
    <w:rsid w:val="00236C6E"/>
    <w:rsid w:val="0023771C"/>
    <w:rsid w:val="002403F2"/>
    <w:rsid w:val="002424D4"/>
    <w:rsid w:val="00243D41"/>
    <w:rsid w:val="00247CFE"/>
    <w:rsid w:val="002500C1"/>
    <w:rsid w:val="0025065E"/>
    <w:rsid w:val="0025073B"/>
    <w:rsid w:val="002525DC"/>
    <w:rsid w:val="00253D53"/>
    <w:rsid w:val="002571A2"/>
    <w:rsid w:val="00257F3F"/>
    <w:rsid w:val="002622AB"/>
    <w:rsid w:val="002625AA"/>
    <w:rsid w:val="00263079"/>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A12"/>
    <w:rsid w:val="00280D6A"/>
    <w:rsid w:val="002814F3"/>
    <w:rsid w:val="00281A6F"/>
    <w:rsid w:val="00281FD2"/>
    <w:rsid w:val="002820EB"/>
    <w:rsid w:val="002824D9"/>
    <w:rsid w:val="002837BC"/>
    <w:rsid w:val="002855B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7D4"/>
    <w:rsid w:val="002B26B1"/>
    <w:rsid w:val="002B3195"/>
    <w:rsid w:val="002B4B1A"/>
    <w:rsid w:val="002B67DA"/>
    <w:rsid w:val="002B7B3F"/>
    <w:rsid w:val="002C0EAB"/>
    <w:rsid w:val="002C0EC7"/>
    <w:rsid w:val="002C1DD4"/>
    <w:rsid w:val="002C2863"/>
    <w:rsid w:val="002C31FA"/>
    <w:rsid w:val="002C494B"/>
    <w:rsid w:val="002C57AB"/>
    <w:rsid w:val="002C6100"/>
    <w:rsid w:val="002C6985"/>
    <w:rsid w:val="002D14B5"/>
    <w:rsid w:val="002D1592"/>
    <w:rsid w:val="002D2FA3"/>
    <w:rsid w:val="002D3363"/>
    <w:rsid w:val="002D3BD6"/>
    <w:rsid w:val="002D581D"/>
    <w:rsid w:val="002D59B0"/>
    <w:rsid w:val="002D7E98"/>
    <w:rsid w:val="002E3333"/>
    <w:rsid w:val="002E4BEC"/>
    <w:rsid w:val="002E4C82"/>
    <w:rsid w:val="002E4DD2"/>
    <w:rsid w:val="002E4EA6"/>
    <w:rsid w:val="002E52E8"/>
    <w:rsid w:val="002E5658"/>
    <w:rsid w:val="002E6D66"/>
    <w:rsid w:val="002F01B3"/>
    <w:rsid w:val="002F068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7620"/>
    <w:rsid w:val="00347B6B"/>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7880"/>
    <w:rsid w:val="003679D1"/>
    <w:rsid w:val="00370F5E"/>
    <w:rsid w:val="00371A02"/>
    <w:rsid w:val="003731BB"/>
    <w:rsid w:val="003738F7"/>
    <w:rsid w:val="00374039"/>
    <w:rsid w:val="00377915"/>
    <w:rsid w:val="00380617"/>
    <w:rsid w:val="00380F85"/>
    <w:rsid w:val="0038108A"/>
    <w:rsid w:val="00381EFD"/>
    <w:rsid w:val="00382884"/>
    <w:rsid w:val="00384F9F"/>
    <w:rsid w:val="00386E5E"/>
    <w:rsid w:val="00387359"/>
    <w:rsid w:val="003874BC"/>
    <w:rsid w:val="00387AA0"/>
    <w:rsid w:val="00392B0D"/>
    <w:rsid w:val="00392EC0"/>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3354"/>
    <w:rsid w:val="00403EC4"/>
    <w:rsid w:val="00405187"/>
    <w:rsid w:val="00406196"/>
    <w:rsid w:val="004068B1"/>
    <w:rsid w:val="00406DF6"/>
    <w:rsid w:val="004101AE"/>
    <w:rsid w:val="004115D6"/>
    <w:rsid w:val="004123FF"/>
    <w:rsid w:val="004126A1"/>
    <w:rsid w:val="00413D76"/>
    <w:rsid w:val="0041516E"/>
    <w:rsid w:val="00415BA7"/>
    <w:rsid w:val="00416509"/>
    <w:rsid w:val="004174F0"/>
    <w:rsid w:val="00417C83"/>
    <w:rsid w:val="00420C19"/>
    <w:rsid w:val="00420C59"/>
    <w:rsid w:val="0042142B"/>
    <w:rsid w:val="0042182D"/>
    <w:rsid w:val="00423720"/>
    <w:rsid w:val="00425283"/>
    <w:rsid w:val="004254AB"/>
    <w:rsid w:val="00426AB5"/>
    <w:rsid w:val="00427F1B"/>
    <w:rsid w:val="00431165"/>
    <w:rsid w:val="00431659"/>
    <w:rsid w:val="00433346"/>
    <w:rsid w:val="004375A9"/>
    <w:rsid w:val="00437EA0"/>
    <w:rsid w:val="004403F9"/>
    <w:rsid w:val="00440A06"/>
    <w:rsid w:val="00443E17"/>
    <w:rsid w:val="004446E6"/>
    <w:rsid w:val="00445A7F"/>
    <w:rsid w:val="00446B24"/>
    <w:rsid w:val="004473C9"/>
    <w:rsid w:val="004479B2"/>
    <w:rsid w:val="004514F9"/>
    <w:rsid w:val="00455034"/>
    <w:rsid w:val="004579C7"/>
    <w:rsid w:val="004610D1"/>
    <w:rsid w:val="00462FD4"/>
    <w:rsid w:val="00464A2A"/>
    <w:rsid w:val="00467084"/>
    <w:rsid w:val="00467512"/>
    <w:rsid w:val="004710B2"/>
    <w:rsid w:val="00471BDF"/>
    <w:rsid w:val="004723AF"/>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553D"/>
    <w:rsid w:val="00525BA7"/>
    <w:rsid w:val="005268C9"/>
    <w:rsid w:val="00527F2F"/>
    <w:rsid w:val="005315F7"/>
    <w:rsid w:val="005324A9"/>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F35"/>
    <w:rsid w:val="005D1268"/>
    <w:rsid w:val="005D1A5A"/>
    <w:rsid w:val="005D213F"/>
    <w:rsid w:val="005D3CD7"/>
    <w:rsid w:val="005D578C"/>
    <w:rsid w:val="005D6FC0"/>
    <w:rsid w:val="005E0152"/>
    <w:rsid w:val="005E3455"/>
    <w:rsid w:val="005E4A3C"/>
    <w:rsid w:val="005E500A"/>
    <w:rsid w:val="005E64E1"/>
    <w:rsid w:val="005F5C42"/>
    <w:rsid w:val="005F5E36"/>
    <w:rsid w:val="005F5EB6"/>
    <w:rsid w:val="005F64FA"/>
    <w:rsid w:val="005F651E"/>
    <w:rsid w:val="005F6D32"/>
    <w:rsid w:val="005F6F3B"/>
    <w:rsid w:val="005F7721"/>
    <w:rsid w:val="005F77C5"/>
    <w:rsid w:val="005F7B26"/>
    <w:rsid w:val="005F7F41"/>
    <w:rsid w:val="006016DC"/>
    <w:rsid w:val="00601BFB"/>
    <w:rsid w:val="006037F6"/>
    <w:rsid w:val="0060429E"/>
    <w:rsid w:val="00604D14"/>
    <w:rsid w:val="00605756"/>
    <w:rsid w:val="00606242"/>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2971"/>
    <w:rsid w:val="006349BE"/>
    <w:rsid w:val="00635675"/>
    <w:rsid w:val="00635C47"/>
    <w:rsid w:val="00635C8C"/>
    <w:rsid w:val="00640B46"/>
    <w:rsid w:val="00641BF1"/>
    <w:rsid w:val="00641E8C"/>
    <w:rsid w:val="006429B6"/>
    <w:rsid w:val="00643906"/>
    <w:rsid w:val="006439CB"/>
    <w:rsid w:val="0064434E"/>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B2"/>
    <w:rsid w:val="00682DB1"/>
    <w:rsid w:val="006833AB"/>
    <w:rsid w:val="00683539"/>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E32"/>
    <w:rsid w:val="006B36A2"/>
    <w:rsid w:val="006B5D30"/>
    <w:rsid w:val="006B6292"/>
    <w:rsid w:val="006B6D42"/>
    <w:rsid w:val="006C0658"/>
    <w:rsid w:val="006C0D25"/>
    <w:rsid w:val="006C20F8"/>
    <w:rsid w:val="006C2848"/>
    <w:rsid w:val="006C304D"/>
    <w:rsid w:val="006C4159"/>
    <w:rsid w:val="006C45BE"/>
    <w:rsid w:val="006C4C16"/>
    <w:rsid w:val="006C4D4B"/>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F3E"/>
    <w:rsid w:val="006E5508"/>
    <w:rsid w:val="006E77BE"/>
    <w:rsid w:val="006F0A23"/>
    <w:rsid w:val="006F1ED6"/>
    <w:rsid w:val="006F2C39"/>
    <w:rsid w:val="006F33E3"/>
    <w:rsid w:val="006F3F50"/>
    <w:rsid w:val="006F5FDA"/>
    <w:rsid w:val="006F6972"/>
    <w:rsid w:val="006F755D"/>
    <w:rsid w:val="007016A1"/>
    <w:rsid w:val="00702096"/>
    <w:rsid w:val="00704811"/>
    <w:rsid w:val="00707552"/>
    <w:rsid w:val="00707B57"/>
    <w:rsid w:val="00711B46"/>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3C12"/>
    <w:rsid w:val="0076452A"/>
    <w:rsid w:val="00764D37"/>
    <w:rsid w:val="0076661D"/>
    <w:rsid w:val="00766CE8"/>
    <w:rsid w:val="00767383"/>
    <w:rsid w:val="0077001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5C6A"/>
    <w:rsid w:val="007A69BF"/>
    <w:rsid w:val="007A7553"/>
    <w:rsid w:val="007A7ADC"/>
    <w:rsid w:val="007B3DFF"/>
    <w:rsid w:val="007B4EBD"/>
    <w:rsid w:val="007B60FC"/>
    <w:rsid w:val="007B746C"/>
    <w:rsid w:val="007B7578"/>
    <w:rsid w:val="007B779D"/>
    <w:rsid w:val="007C095F"/>
    <w:rsid w:val="007C0E62"/>
    <w:rsid w:val="007C1823"/>
    <w:rsid w:val="007C1D88"/>
    <w:rsid w:val="007C288E"/>
    <w:rsid w:val="007C2D08"/>
    <w:rsid w:val="007C3881"/>
    <w:rsid w:val="007C4FB1"/>
    <w:rsid w:val="007C626F"/>
    <w:rsid w:val="007C7D04"/>
    <w:rsid w:val="007D04C0"/>
    <w:rsid w:val="007D08A7"/>
    <w:rsid w:val="007D1D68"/>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7B3E"/>
    <w:rsid w:val="007F0C75"/>
    <w:rsid w:val="007F15BD"/>
    <w:rsid w:val="007F4574"/>
    <w:rsid w:val="007F4588"/>
    <w:rsid w:val="007F483C"/>
    <w:rsid w:val="007F4B00"/>
    <w:rsid w:val="007F5ED1"/>
    <w:rsid w:val="007F5FF1"/>
    <w:rsid w:val="00800BE7"/>
    <w:rsid w:val="00801906"/>
    <w:rsid w:val="00802839"/>
    <w:rsid w:val="00802851"/>
    <w:rsid w:val="008028A4"/>
    <w:rsid w:val="008033B2"/>
    <w:rsid w:val="00804837"/>
    <w:rsid w:val="00804A03"/>
    <w:rsid w:val="0080530E"/>
    <w:rsid w:val="008055D5"/>
    <w:rsid w:val="00805A44"/>
    <w:rsid w:val="00805A6E"/>
    <w:rsid w:val="00805D52"/>
    <w:rsid w:val="00805DF9"/>
    <w:rsid w:val="0080674D"/>
    <w:rsid w:val="008075D6"/>
    <w:rsid w:val="00807CC5"/>
    <w:rsid w:val="00810F61"/>
    <w:rsid w:val="0081100D"/>
    <w:rsid w:val="00811E4D"/>
    <w:rsid w:val="008125F2"/>
    <w:rsid w:val="00813A6E"/>
    <w:rsid w:val="008140A1"/>
    <w:rsid w:val="008146BF"/>
    <w:rsid w:val="00816114"/>
    <w:rsid w:val="008215B3"/>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616"/>
    <w:rsid w:val="008768CA"/>
    <w:rsid w:val="00877C0F"/>
    <w:rsid w:val="00877C65"/>
    <w:rsid w:val="0088031C"/>
    <w:rsid w:val="00880559"/>
    <w:rsid w:val="0088367D"/>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71F"/>
    <w:rsid w:val="00902F91"/>
    <w:rsid w:val="009030EF"/>
    <w:rsid w:val="00903E2A"/>
    <w:rsid w:val="0090442B"/>
    <w:rsid w:val="00906106"/>
    <w:rsid w:val="00907479"/>
    <w:rsid w:val="00910415"/>
    <w:rsid w:val="00910EA1"/>
    <w:rsid w:val="0091318E"/>
    <w:rsid w:val="00915C9A"/>
    <w:rsid w:val="0091624F"/>
    <w:rsid w:val="00916C24"/>
    <w:rsid w:val="0092023F"/>
    <w:rsid w:val="0092042A"/>
    <w:rsid w:val="00920A73"/>
    <w:rsid w:val="009233E2"/>
    <w:rsid w:val="0092395F"/>
    <w:rsid w:val="00923F6E"/>
    <w:rsid w:val="00925F7F"/>
    <w:rsid w:val="00927687"/>
    <w:rsid w:val="00927BF5"/>
    <w:rsid w:val="0093166B"/>
    <w:rsid w:val="00931C71"/>
    <w:rsid w:val="00931D7F"/>
    <w:rsid w:val="00932033"/>
    <w:rsid w:val="00932079"/>
    <w:rsid w:val="00933F0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DB7"/>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60BA"/>
    <w:rsid w:val="009766B9"/>
    <w:rsid w:val="00976BFB"/>
    <w:rsid w:val="00977568"/>
    <w:rsid w:val="009778FE"/>
    <w:rsid w:val="00977B9A"/>
    <w:rsid w:val="009801CB"/>
    <w:rsid w:val="00980682"/>
    <w:rsid w:val="00982B95"/>
    <w:rsid w:val="00984DA7"/>
    <w:rsid w:val="009852E7"/>
    <w:rsid w:val="00991842"/>
    <w:rsid w:val="00991F97"/>
    <w:rsid w:val="00992DA1"/>
    <w:rsid w:val="00993129"/>
    <w:rsid w:val="009947F3"/>
    <w:rsid w:val="00994BF0"/>
    <w:rsid w:val="0099571B"/>
    <w:rsid w:val="00995B70"/>
    <w:rsid w:val="00996B82"/>
    <w:rsid w:val="00997D91"/>
    <w:rsid w:val="009A080E"/>
    <w:rsid w:val="009A0E45"/>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C0CE3"/>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E0FF6"/>
    <w:rsid w:val="009E282D"/>
    <w:rsid w:val="009E4487"/>
    <w:rsid w:val="009E5098"/>
    <w:rsid w:val="009E6ADF"/>
    <w:rsid w:val="009E7D58"/>
    <w:rsid w:val="009F38D4"/>
    <w:rsid w:val="009F54C0"/>
    <w:rsid w:val="009F5AA6"/>
    <w:rsid w:val="009F656F"/>
    <w:rsid w:val="009F78DD"/>
    <w:rsid w:val="00A00291"/>
    <w:rsid w:val="00A0040A"/>
    <w:rsid w:val="00A004D4"/>
    <w:rsid w:val="00A00E2E"/>
    <w:rsid w:val="00A013BB"/>
    <w:rsid w:val="00A019DB"/>
    <w:rsid w:val="00A01D85"/>
    <w:rsid w:val="00A028F0"/>
    <w:rsid w:val="00A0300B"/>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44E2"/>
    <w:rsid w:val="00A377DE"/>
    <w:rsid w:val="00A40411"/>
    <w:rsid w:val="00A404FE"/>
    <w:rsid w:val="00A417FA"/>
    <w:rsid w:val="00A41DDF"/>
    <w:rsid w:val="00A42235"/>
    <w:rsid w:val="00A42793"/>
    <w:rsid w:val="00A4351E"/>
    <w:rsid w:val="00A43F9E"/>
    <w:rsid w:val="00A44C95"/>
    <w:rsid w:val="00A455C2"/>
    <w:rsid w:val="00A46408"/>
    <w:rsid w:val="00A46FD1"/>
    <w:rsid w:val="00A50C92"/>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3B48"/>
    <w:rsid w:val="00A745CD"/>
    <w:rsid w:val="00A75950"/>
    <w:rsid w:val="00A766B4"/>
    <w:rsid w:val="00A7761A"/>
    <w:rsid w:val="00A802A0"/>
    <w:rsid w:val="00A81DA0"/>
    <w:rsid w:val="00A8209F"/>
    <w:rsid w:val="00A82346"/>
    <w:rsid w:val="00A8237D"/>
    <w:rsid w:val="00A83686"/>
    <w:rsid w:val="00A83786"/>
    <w:rsid w:val="00A84041"/>
    <w:rsid w:val="00A851BE"/>
    <w:rsid w:val="00A86960"/>
    <w:rsid w:val="00A869AF"/>
    <w:rsid w:val="00A8708E"/>
    <w:rsid w:val="00A871DA"/>
    <w:rsid w:val="00A90238"/>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B50"/>
    <w:rsid w:val="00B262CF"/>
    <w:rsid w:val="00B26361"/>
    <w:rsid w:val="00B2726B"/>
    <w:rsid w:val="00B30EB8"/>
    <w:rsid w:val="00B323EA"/>
    <w:rsid w:val="00B333FA"/>
    <w:rsid w:val="00B3363E"/>
    <w:rsid w:val="00B34833"/>
    <w:rsid w:val="00B34D10"/>
    <w:rsid w:val="00B379C6"/>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81D77"/>
    <w:rsid w:val="00B81FB3"/>
    <w:rsid w:val="00B914C5"/>
    <w:rsid w:val="00B91887"/>
    <w:rsid w:val="00B929C6"/>
    <w:rsid w:val="00B92DC5"/>
    <w:rsid w:val="00B942D0"/>
    <w:rsid w:val="00B947E0"/>
    <w:rsid w:val="00B953E4"/>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C008E9"/>
    <w:rsid w:val="00C01EDD"/>
    <w:rsid w:val="00C04C15"/>
    <w:rsid w:val="00C06949"/>
    <w:rsid w:val="00C0746B"/>
    <w:rsid w:val="00C106BC"/>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EAF"/>
    <w:rsid w:val="00C46048"/>
    <w:rsid w:val="00C468C2"/>
    <w:rsid w:val="00C500F7"/>
    <w:rsid w:val="00C50587"/>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7416"/>
    <w:rsid w:val="00CA7969"/>
    <w:rsid w:val="00CB0156"/>
    <w:rsid w:val="00CB0781"/>
    <w:rsid w:val="00CB1270"/>
    <w:rsid w:val="00CB2111"/>
    <w:rsid w:val="00CB2665"/>
    <w:rsid w:val="00CB6094"/>
    <w:rsid w:val="00CB781B"/>
    <w:rsid w:val="00CB7D91"/>
    <w:rsid w:val="00CC14D6"/>
    <w:rsid w:val="00CC216B"/>
    <w:rsid w:val="00CC28A8"/>
    <w:rsid w:val="00CC31E9"/>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B21"/>
    <w:rsid w:val="00D04A49"/>
    <w:rsid w:val="00D05134"/>
    <w:rsid w:val="00D05E33"/>
    <w:rsid w:val="00D06E42"/>
    <w:rsid w:val="00D102B0"/>
    <w:rsid w:val="00D10424"/>
    <w:rsid w:val="00D104E0"/>
    <w:rsid w:val="00D105D4"/>
    <w:rsid w:val="00D12448"/>
    <w:rsid w:val="00D135F1"/>
    <w:rsid w:val="00D1363D"/>
    <w:rsid w:val="00D136CF"/>
    <w:rsid w:val="00D13CA6"/>
    <w:rsid w:val="00D13D28"/>
    <w:rsid w:val="00D1696E"/>
    <w:rsid w:val="00D16AA2"/>
    <w:rsid w:val="00D16F87"/>
    <w:rsid w:val="00D17935"/>
    <w:rsid w:val="00D17961"/>
    <w:rsid w:val="00D17C37"/>
    <w:rsid w:val="00D20B97"/>
    <w:rsid w:val="00D221A4"/>
    <w:rsid w:val="00D2306C"/>
    <w:rsid w:val="00D24257"/>
    <w:rsid w:val="00D30A6B"/>
    <w:rsid w:val="00D323A9"/>
    <w:rsid w:val="00D33D90"/>
    <w:rsid w:val="00D33E7F"/>
    <w:rsid w:val="00D33F45"/>
    <w:rsid w:val="00D351C2"/>
    <w:rsid w:val="00D36E4F"/>
    <w:rsid w:val="00D40840"/>
    <w:rsid w:val="00D41E58"/>
    <w:rsid w:val="00D41ED0"/>
    <w:rsid w:val="00D42E0A"/>
    <w:rsid w:val="00D43E63"/>
    <w:rsid w:val="00D45411"/>
    <w:rsid w:val="00D45E4B"/>
    <w:rsid w:val="00D52B48"/>
    <w:rsid w:val="00D531B9"/>
    <w:rsid w:val="00D55A4F"/>
    <w:rsid w:val="00D574FD"/>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51A8"/>
    <w:rsid w:val="00D95EF9"/>
    <w:rsid w:val="00D96100"/>
    <w:rsid w:val="00D97512"/>
    <w:rsid w:val="00D976D2"/>
    <w:rsid w:val="00D9785D"/>
    <w:rsid w:val="00D97AA0"/>
    <w:rsid w:val="00D97D83"/>
    <w:rsid w:val="00DA30F5"/>
    <w:rsid w:val="00DA3271"/>
    <w:rsid w:val="00DA36C1"/>
    <w:rsid w:val="00DA5797"/>
    <w:rsid w:val="00DA59FD"/>
    <w:rsid w:val="00DA7A03"/>
    <w:rsid w:val="00DA7CF8"/>
    <w:rsid w:val="00DB0AC7"/>
    <w:rsid w:val="00DB1818"/>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DB7"/>
    <w:rsid w:val="00E6091F"/>
    <w:rsid w:val="00E62835"/>
    <w:rsid w:val="00E6322A"/>
    <w:rsid w:val="00E65B1E"/>
    <w:rsid w:val="00E66652"/>
    <w:rsid w:val="00E66C0D"/>
    <w:rsid w:val="00E67277"/>
    <w:rsid w:val="00E6787F"/>
    <w:rsid w:val="00E67BDB"/>
    <w:rsid w:val="00E70E61"/>
    <w:rsid w:val="00E71029"/>
    <w:rsid w:val="00E711C5"/>
    <w:rsid w:val="00E72477"/>
    <w:rsid w:val="00E72970"/>
    <w:rsid w:val="00E72E09"/>
    <w:rsid w:val="00E73A68"/>
    <w:rsid w:val="00E73C41"/>
    <w:rsid w:val="00E75A0D"/>
    <w:rsid w:val="00E75D86"/>
    <w:rsid w:val="00E76BB7"/>
    <w:rsid w:val="00E77645"/>
    <w:rsid w:val="00E77EDE"/>
    <w:rsid w:val="00E77F7A"/>
    <w:rsid w:val="00E80FCC"/>
    <w:rsid w:val="00E81200"/>
    <w:rsid w:val="00E8196B"/>
    <w:rsid w:val="00E8255D"/>
    <w:rsid w:val="00E8290D"/>
    <w:rsid w:val="00E82BFB"/>
    <w:rsid w:val="00E83421"/>
    <w:rsid w:val="00E8431D"/>
    <w:rsid w:val="00E84421"/>
    <w:rsid w:val="00E87D81"/>
    <w:rsid w:val="00E93B17"/>
    <w:rsid w:val="00E953F3"/>
    <w:rsid w:val="00E96287"/>
    <w:rsid w:val="00E9629F"/>
    <w:rsid w:val="00E9659B"/>
    <w:rsid w:val="00EA0F74"/>
    <w:rsid w:val="00EA2E0A"/>
    <w:rsid w:val="00EA386B"/>
    <w:rsid w:val="00EA3FC6"/>
    <w:rsid w:val="00EA40E1"/>
    <w:rsid w:val="00EA5A39"/>
    <w:rsid w:val="00EA65EB"/>
    <w:rsid w:val="00EA66F1"/>
    <w:rsid w:val="00EA7C1D"/>
    <w:rsid w:val="00EA7C8E"/>
    <w:rsid w:val="00EB0C43"/>
    <w:rsid w:val="00EB19E5"/>
    <w:rsid w:val="00EB1A49"/>
    <w:rsid w:val="00EB1ABD"/>
    <w:rsid w:val="00EB28BC"/>
    <w:rsid w:val="00EB2D99"/>
    <w:rsid w:val="00EB3DBE"/>
    <w:rsid w:val="00EB5118"/>
    <w:rsid w:val="00EB57D0"/>
    <w:rsid w:val="00EB63B9"/>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4881"/>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C"/>
    <w:rsid w:val="00EE5BB5"/>
    <w:rsid w:val="00EE710A"/>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96F"/>
    <w:rsid w:val="00F1618E"/>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700CA"/>
    <w:rsid w:val="00F71A68"/>
    <w:rsid w:val="00F721EC"/>
    <w:rsid w:val="00F72C7A"/>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1266"/>
    <w:rsid w:val="00FA1C1A"/>
    <w:rsid w:val="00FA23AD"/>
    <w:rsid w:val="00FA2743"/>
    <w:rsid w:val="00FA3D4B"/>
    <w:rsid w:val="00FA41CD"/>
    <w:rsid w:val="00FA5431"/>
    <w:rsid w:val="00FB13E9"/>
    <w:rsid w:val="00FB1EB3"/>
    <w:rsid w:val="00FB3C38"/>
    <w:rsid w:val="00FB55AB"/>
    <w:rsid w:val="00FB6EF1"/>
    <w:rsid w:val="00FC0155"/>
    <w:rsid w:val="00FC055D"/>
    <w:rsid w:val="00FC1192"/>
    <w:rsid w:val="00FC30AD"/>
    <w:rsid w:val="00FC34F0"/>
    <w:rsid w:val="00FC36DA"/>
    <w:rsid w:val="00FC41FA"/>
    <w:rsid w:val="00FC4EF3"/>
    <w:rsid w:val="00FC64F2"/>
    <w:rsid w:val="00FD0C8B"/>
    <w:rsid w:val="00FD1A95"/>
    <w:rsid w:val="00FD22A2"/>
    <w:rsid w:val="00FD2819"/>
    <w:rsid w:val="00FD5BBB"/>
    <w:rsid w:val="00FD78EA"/>
    <w:rsid w:val="00FE0B5E"/>
    <w:rsid w:val="00FE12A6"/>
    <w:rsid w:val="00FE184E"/>
    <w:rsid w:val="00FE3E99"/>
    <w:rsid w:val="00FE3FF2"/>
    <w:rsid w:val="00FE6F65"/>
    <w:rsid w:val="00FE77F5"/>
    <w:rsid w:val="00FF00BA"/>
    <w:rsid w:val="00FF0CE4"/>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0"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Symbol" w:hAnsi="Symbol" w:eastAsia="Cambria Math" w:cs="Calibri"/>
      <w:lang w:val="en-GB" w:eastAsia="en-US" w:bidi="ar-SA"/>
    </w:rPr>
  </w:style>
  <w:style w:type="paragraph" w:styleId="2">
    <w:name w:val="heading 1"/>
    <w:next w:val="1"/>
    <w:qFormat/>
    <w:uiPriority w:val="1"/>
    <w:pPr>
      <w:widowControl w:val="0"/>
      <w:pBdr>
        <w:top w:val="single" w:color="auto" w:sz="12" w:space="3"/>
      </w:pBdr>
      <w:spacing w:before="240" w:after="180"/>
      <w:ind w:left="432" w:hanging="432"/>
      <w:outlineLvl w:val="0"/>
    </w:pPr>
    <w:rPr>
      <w:rFonts w:ascii="Symbol" w:hAnsi="Symbol" w:eastAsia="宋体" w:cs="Calibri"/>
      <w:sz w:val="36"/>
      <w:lang w:val="en-GB" w:eastAsia="en-US" w:bidi="ar-SA"/>
    </w:rPr>
  </w:style>
  <w:style w:type="paragraph" w:styleId="3">
    <w:name w:val="heading 2"/>
    <w:basedOn w:val="2"/>
    <w:next w:val="1"/>
    <w:link w:val="51"/>
    <w:qFormat/>
    <w:uiPriority w:val="1"/>
    <w:pPr>
      <w:pBdr>
        <w:top w:val="none" w:color="auto" w:sz="0" w:space="0"/>
      </w:pBdr>
      <w:spacing w:before="180"/>
      <w:ind w:left="1002" w:hanging="576"/>
      <w:outlineLvl w:val="1"/>
    </w:pPr>
    <w:rPr>
      <w:sz w:val="32"/>
    </w:rPr>
  </w:style>
  <w:style w:type="paragraph" w:styleId="4">
    <w:name w:val="heading 3"/>
    <w:basedOn w:val="3"/>
    <w:next w:val="1"/>
    <w:qFormat/>
    <w:uiPriority w:val="1"/>
    <w:pPr>
      <w:spacing w:before="120"/>
      <w:outlineLvl w:val="2"/>
    </w:pPr>
    <w:rPr>
      <w:sz w:val="28"/>
    </w:rPr>
  </w:style>
  <w:style w:type="paragraph" w:styleId="5">
    <w:name w:val="heading 4"/>
    <w:basedOn w:val="4"/>
    <w:next w:val="1"/>
    <w:qFormat/>
    <w:uiPriority w:val="1"/>
    <w:pPr>
      <w:outlineLvl w:val="3"/>
    </w:pPr>
    <w:rPr>
      <w:sz w:val="24"/>
    </w:rPr>
  </w:style>
  <w:style w:type="paragraph" w:styleId="6">
    <w:name w:val="heading 5"/>
    <w:basedOn w:val="5"/>
    <w:next w:val="1"/>
    <w:qFormat/>
    <w:uiPriority w:val="1"/>
    <w:pPr>
      <w:outlineLvl w:val="4"/>
    </w:pPr>
    <w:rPr>
      <w:sz w:val="22"/>
    </w:rPr>
  </w:style>
  <w:style w:type="paragraph" w:styleId="7">
    <w:name w:val="heading 6"/>
    <w:basedOn w:val="8"/>
    <w:next w:val="1"/>
    <w:qFormat/>
    <w:uiPriority w:val="1"/>
    <w:pPr>
      <w:outlineLvl w:val="5"/>
    </w:pPr>
  </w:style>
  <w:style w:type="paragraph" w:styleId="9">
    <w:name w:val="heading 7"/>
    <w:basedOn w:val="8"/>
    <w:next w:val="1"/>
    <w:qFormat/>
    <w:uiPriority w:val="1"/>
    <w:pPr>
      <w:outlineLvl w:val="6"/>
    </w:pPr>
  </w:style>
  <w:style w:type="paragraph" w:styleId="10">
    <w:name w:val="heading 8"/>
    <w:basedOn w:val="2"/>
    <w:next w:val="1"/>
    <w:qFormat/>
    <w:uiPriority w:val="1"/>
    <w:pPr>
      <w:outlineLvl w:val="7"/>
    </w:pPr>
  </w:style>
  <w:style w:type="paragraph" w:styleId="11">
    <w:name w:val="heading 9"/>
    <w:basedOn w:val="10"/>
    <w:next w:val="1"/>
    <w:qFormat/>
    <w:uiPriority w:val="1"/>
    <w:pPr>
      <w:outlineLvl w:val="8"/>
    </w:pPr>
  </w:style>
  <w:style w:type="character" w:default="1" w:styleId="30">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annotation subject"/>
    <w:basedOn w:val="13"/>
    <w:next w:val="13"/>
    <w:link w:val="40"/>
    <w:qFormat/>
    <w:uiPriority w:val="99"/>
    <w:rPr>
      <w:b/>
      <w:bCs/>
    </w:rPr>
  </w:style>
  <w:style w:type="paragraph" w:styleId="13">
    <w:name w:val="annotation text"/>
    <w:basedOn w:val="1"/>
    <w:link w:val="53"/>
    <w:uiPriority w:val="99"/>
  </w:style>
  <w:style w:type="paragraph" w:styleId="14">
    <w:name w:val="toc 7"/>
    <w:basedOn w:val="15"/>
    <w:next w:val="1"/>
    <w:semiHidden/>
    <w:qFormat/>
    <w:uiPriority w:val="99"/>
    <w:pPr>
      <w:tabs>
        <w:tab w:val="right" w:leader="dot" w:pos="9639"/>
      </w:tabs>
      <w:ind w:left="2268" w:hanging="2268"/>
    </w:pPr>
  </w:style>
  <w:style w:type="paragraph" w:styleId="15">
    <w:name w:val="toc 6"/>
    <w:basedOn w:val="16"/>
    <w:next w:val="1"/>
    <w:semiHidden/>
    <w:qFormat/>
    <w:uiPriority w:val="99"/>
    <w:pPr>
      <w:tabs>
        <w:tab w:val="right" w:leader="dot" w:pos="9639"/>
      </w:tabs>
      <w:ind w:left="1985" w:hanging="1985"/>
    </w:pPr>
  </w:style>
  <w:style w:type="paragraph" w:styleId="16">
    <w:name w:val="toc 5"/>
    <w:basedOn w:val="17"/>
    <w:next w:val="1"/>
    <w:semiHidden/>
    <w:qFormat/>
    <w:uiPriority w:val="99"/>
    <w:pPr>
      <w:tabs>
        <w:tab w:val="right" w:leader="dot" w:pos="9639"/>
      </w:tabs>
      <w:ind w:left="1701" w:hanging="1701"/>
    </w:pPr>
  </w:style>
  <w:style w:type="paragraph" w:styleId="17">
    <w:name w:val="toc 4"/>
    <w:basedOn w:val="18"/>
    <w:next w:val="1"/>
    <w:semiHidden/>
    <w:qFormat/>
    <w:uiPriority w:val="99"/>
    <w:pPr>
      <w:tabs>
        <w:tab w:val="right" w:leader="dot" w:pos="9639"/>
      </w:tabs>
      <w:ind w:left="1418" w:hanging="1418"/>
    </w:pPr>
  </w:style>
  <w:style w:type="paragraph" w:styleId="18">
    <w:name w:val="toc 3"/>
    <w:basedOn w:val="19"/>
    <w:next w:val="1"/>
    <w:semiHidden/>
    <w:qFormat/>
    <w:uiPriority w:val="99"/>
    <w:pPr>
      <w:tabs>
        <w:tab w:val="right" w:leader="dot" w:pos="9639"/>
      </w:tabs>
      <w:ind w:left="1134" w:hanging="1134"/>
    </w:pPr>
  </w:style>
  <w:style w:type="paragraph" w:styleId="19">
    <w:name w:val="toc 2"/>
    <w:basedOn w:val="20"/>
    <w:next w:val="1"/>
    <w:semiHidden/>
    <w:qFormat/>
    <w:uiPriority w:val="99"/>
    <w:pPr>
      <w:keepNext w:val="0"/>
      <w:tabs>
        <w:tab w:val="right" w:leader="dot" w:pos="9639"/>
      </w:tabs>
      <w:spacing w:before="0"/>
      <w:ind w:left="851" w:hanging="851"/>
    </w:pPr>
    <w:rPr>
      <w:sz w:val="20"/>
    </w:rPr>
  </w:style>
  <w:style w:type="paragraph" w:styleId="20">
    <w:name w:val="toc 1"/>
    <w:next w:val="1"/>
    <w:semiHidden/>
    <w:qFormat/>
    <w:uiPriority w:val="99"/>
    <w:pPr>
      <w:keepNext/>
      <w:keepLines/>
      <w:widowControl w:val="0"/>
      <w:tabs>
        <w:tab w:val="right" w:leader="dot" w:pos="9639"/>
      </w:tabs>
      <w:spacing w:before="120"/>
      <w:ind w:left="567" w:right="425" w:hanging="567"/>
    </w:pPr>
    <w:rPr>
      <w:rFonts w:ascii="Calibri" w:hAnsi="Calibri" w:eastAsia="宋体" w:cs="Calibri"/>
      <w:sz w:val="22"/>
      <w:lang w:val="en-GB" w:eastAsia="en-US" w:bidi="ar-SA"/>
    </w:rPr>
  </w:style>
  <w:style w:type="paragraph" w:styleId="21">
    <w:name w:val="caption"/>
    <w:basedOn w:val="1"/>
    <w:next w:val="1"/>
    <w:qFormat/>
    <w:uiPriority w:val="99"/>
    <w:rPr>
      <w:b/>
      <w:bCs/>
    </w:rPr>
  </w:style>
  <w:style w:type="paragraph" w:styleId="22">
    <w:name w:val="Document Map"/>
    <w:basedOn w:val="1"/>
    <w:link w:val="42"/>
    <w:qFormat/>
    <w:uiPriority w:val="99"/>
    <w:rPr>
      <w:rFonts w:ascii="宋体" w:hAnsi="宋体"/>
      <w:sz w:val="16"/>
      <w:szCs w:val="16"/>
    </w:rPr>
  </w:style>
  <w:style w:type="paragraph" w:styleId="23">
    <w:name w:val="Body Text"/>
    <w:basedOn w:val="1"/>
    <w:link w:val="47"/>
    <w:qFormat/>
    <w:uiPriority w:val="0"/>
    <w:pPr>
      <w:overflowPunct w:val="0"/>
      <w:autoSpaceDE w:val="0"/>
      <w:autoSpaceDN w:val="0"/>
      <w:adjustRightInd w:val="0"/>
      <w:spacing w:after="120"/>
      <w:textAlignment w:val="baseline"/>
    </w:pPr>
    <w:rPr>
      <w:rFonts w:eastAsia="Wingdings"/>
    </w:rPr>
  </w:style>
  <w:style w:type="paragraph" w:styleId="24">
    <w:name w:val="Plain Text"/>
    <w:basedOn w:val="1"/>
    <w:link w:val="92"/>
    <w:semiHidden/>
    <w:unhideWhenUsed/>
    <w:qFormat/>
    <w:uiPriority w:val="99"/>
    <w:pPr>
      <w:spacing w:after="0"/>
      <w:jc w:val="left"/>
    </w:pPr>
    <w:rPr>
      <w:rFonts w:ascii="Tahoma" w:hAnsi="Tahoma" w:eastAsia="Tahoma"/>
      <w:sz w:val="22"/>
      <w:szCs w:val="21"/>
    </w:rPr>
  </w:style>
  <w:style w:type="paragraph" w:styleId="25">
    <w:name w:val="toc 8"/>
    <w:basedOn w:val="20"/>
    <w:next w:val="1"/>
    <w:semiHidden/>
    <w:qFormat/>
    <w:uiPriority w:val="99"/>
    <w:pPr>
      <w:spacing w:before="180"/>
      <w:ind w:left="2693" w:hanging="2693"/>
    </w:pPr>
    <w:rPr>
      <w:b/>
    </w:rPr>
  </w:style>
  <w:style w:type="paragraph" w:styleId="26">
    <w:name w:val="Balloon Text"/>
    <w:basedOn w:val="1"/>
    <w:link w:val="50"/>
    <w:uiPriority w:val="99"/>
    <w:pPr>
      <w:spacing w:after="0"/>
    </w:pPr>
    <w:rPr>
      <w:rFonts w:ascii="Arial" w:hAnsi="Arial"/>
      <w:sz w:val="18"/>
      <w:szCs w:val="18"/>
    </w:rPr>
  </w:style>
  <w:style w:type="paragraph" w:styleId="27">
    <w:name w:val="footer"/>
    <w:basedOn w:val="28"/>
    <w:qFormat/>
    <w:uiPriority w:val="99"/>
    <w:pPr>
      <w:jc w:val="center"/>
    </w:pPr>
    <w:rPr>
      <w:i/>
    </w:rPr>
  </w:style>
  <w:style w:type="paragraph" w:styleId="28">
    <w:name w:val="header"/>
    <w:link w:val="41"/>
    <w:qFormat/>
    <w:uiPriority w:val="99"/>
    <w:pPr>
      <w:widowControl w:val="0"/>
      <w:overflowPunct w:val="0"/>
      <w:autoSpaceDE w:val="0"/>
      <w:autoSpaceDN w:val="0"/>
      <w:adjustRightInd w:val="0"/>
      <w:textAlignment w:val="baseline"/>
    </w:pPr>
    <w:rPr>
      <w:rFonts w:ascii="Symbol" w:hAnsi="Symbol" w:eastAsia="宋体" w:cs="Calibri"/>
      <w:b/>
      <w:sz w:val="18"/>
      <w:lang w:val="en-GB" w:eastAsia="ja-JP" w:bidi="ar-SA"/>
    </w:rPr>
  </w:style>
  <w:style w:type="paragraph" w:styleId="29">
    <w:name w:val="toc 9"/>
    <w:basedOn w:val="25"/>
    <w:next w:val="1"/>
    <w:semiHidden/>
    <w:qFormat/>
    <w:uiPriority w:val="99"/>
    <w:pPr>
      <w:ind w:left="1418" w:hanging="1418"/>
    </w:pPr>
  </w:style>
  <w:style w:type="character" w:styleId="31">
    <w:name w:val="Hyperlink"/>
    <w:qFormat/>
    <w:uiPriority w:val="99"/>
    <w:rPr>
      <w:color w:val="0000FF"/>
      <w:u w:val="single"/>
    </w:rPr>
  </w:style>
  <w:style w:type="character" w:styleId="32">
    <w:name w:val="annotation reference"/>
    <w:qFormat/>
    <w:uiPriority w:val="99"/>
    <w:rPr>
      <w:sz w:val="21"/>
      <w:szCs w:val="21"/>
    </w:rPr>
  </w:style>
  <w:style w:type="table" w:styleId="34">
    <w:name w:val="Table Grid"/>
    <w:basedOn w:val="33"/>
    <w:qFormat/>
    <w:uiPriority w:val="0"/>
    <w:rPr>
      <w:rFonts w:ascii="MS Mincho" w:hAnsi="MS Mincho" w:eastAsia="CG Times (W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5">
    <w:name w:val="Placeholder Text"/>
    <w:semiHidden/>
    <w:qFormat/>
    <w:uiPriority w:val="99"/>
    <w:rPr>
      <w:color w:val="808080"/>
    </w:rPr>
  </w:style>
  <w:style w:type="character" w:customStyle="1" w:styleId="36">
    <w:name w:val="EmailDiscussion Char"/>
    <w:link w:val="37"/>
    <w:qFormat/>
    <w:uiPriority w:val="0"/>
    <w:rPr>
      <w:rFonts w:ascii="Symbol" w:hAnsi="Symbol" w:eastAsia="Tele-Grotesk-Norm"/>
      <w:b/>
      <w:szCs w:val="24"/>
      <w:lang w:val="en-GB" w:eastAsia="en-GB"/>
    </w:rPr>
  </w:style>
  <w:style w:type="paragraph" w:customStyle="1" w:styleId="37">
    <w:name w:val="EmailDiscussion"/>
    <w:basedOn w:val="1"/>
    <w:next w:val="38"/>
    <w:link w:val="36"/>
    <w:qFormat/>
    <w:uiPriority w:val="0"/>
    <w:pPr>
      <w:tabs>
        <w:tab w:val="left" w:pos="1619"/>
      </w:tabs>
      <w:spacing w:before="40" w:after="0"/>
      <w:ind w:left="1619" w:hanging="360"/>
      <w:jc w:val="left"/>
    </w:pPr>
    <w:rPr>
      <w:rFonts w:eastAsia="Tele-Grotesk-Norm"/>
      <w:b/>
      <w:szCs w:val="24"/>
      <w:lang w:eastAsia="en-GB"/>
    </w:rPr>
  </w:style>
  <w:style w:type="paragraph" w:customStyle="1" w:styleId="38">
    <w:name w:val="EmailDiscussion2"/>
    <w:basedOn w:val="39"/>
    <w:qFormat/>
    <w:uiPriority w:val="0"/>
    <w:pPr>
      <w:tabs>
        <w:tab w:val="left" w:pos="1622"/>
      </w:tabs>
    </w:pPr>
  </w:style>
  <w:style w:type="paragraph" w:customStyle="1" w:styleId="39">
    <w:name w:val="Doc-text2"/>
    <w:basedOn w:val="1"/>
    <w:link w:val="46"/>
    <w:qFormat/>
    <w:uiPriority w:val="0"/>
    <w:pPr>
      <w:tabs>
        <w:tab w:val="left" w:pos="1622"/>
      </w:tabs>
      <w:spacing w:after="0"/>
      <w:ind w:left="1622" w:hanging="363"/>
      <w:jc w:val="left"/>
    </w:pPr>
    <w:rPr>
      <w:rFonts w:eastAsia="Tele-Grotesk-Norm"/>
      <w:szCs w:val="24"/>
      <w:lang w:eastAsia="en-GB"/>
    </w:rPr>
  </w:style>
  <w:style w:type="character" w:customStyle="1" w:styleId="40">
    <w:name w:val="Comment Subject Char"/>
    <w:link w:val="12"/>
    <w:qFormat/>
    <w:uiPriority w:val="99"/>
    <w:rPr>
      <w:rFonts w:ascii="Symbol" w:hAnsi="Symbol" w:eastAsia="Cambria Math"/>
      <w:b/>
      <w:bCs/>
      <w:lang w:val="en-GB" w:eastAsia="en-US"/>
    </w:rPr>
  </w:style>
  <w:style w:type="character" w:customStyle="1" w:styleId="41">
    <w:name w:val="Header Char"/>
    <w:link w:val="28"/>
    <w:qFormat/>
    <w:uiPriority w:val="99"/>
    <w:rPr>
      <w:rFonts w:ascii="Symbol" w:hAnsi="Symbol"/>
      <w:b/>
      <w:sz w:val="18"/>
      <w:lang w:val="en-GB" w:eastAsia="ja-JP" w:bidi="ar-SA"/>
    </w:rPr>
  </w:style>
  <w:style w:type="character" w:customStyle="1" w:styleId="42">
    <w:name w:val="Document Map Char"/>
    <w:link w:val="22"/>
    <w:qFormat/>
    <w:uiPriority w:val="99"/>
    <w:rPr>
      <w:rFonts w:ascii="宋体" w:hAnsi="宋体" w:eastAsia="Cambria Math"/>
      <w:sz w:val="16"/>
      <w:szCs w:val="16"/>
      <w:lang w:val="en-GB"/>
    </w:rPr>
  </w:style>
  <w:style w:type="character" w:customStyle="1" w:styleId="43">
    <w:name w:val="访问过的超链接"/>
    <w:qFormat/>
    <w:uiPriority w:val="99"/>
    <w:rPr>
      <w:color w:val="800080"/>
      <w:u w:val="single"/>
    </w:rPr>
  </w:style>
  <w:style w:type="character" w:customStyle="1" w:styleId="44">
    <w:name w:val="Doc-title Char"/>
    <w:link w:val="45"/>
    <w:qFormat/>
    <w:locked/>
    <w:uiPriority w:val="0"/>
    <w:rPr>
      <w:rFonts w:ascii="Symbol" w:hAnsi="Symbol" w:cs="Symbol"/>
    </w:rPr>
  </w:style>
  <w:style w:type="paragraph" w:customStyle="1" w:styleId="45">
    <w:name w:val="Doc-title"/>
    <w:basedOn w:val="1"/>
    <w:link w:val="44"/>
    <w:qFormat/>
    <w:uiPriority w:val="0"/>
    <w:pPr>
      <w:spacing w:before="60" w:after="0"/>
      <w:ind w:left="1259" w:hanging="1259"/>
      <w:jc w:val="left"/>
    </w:pPr>
    <w:rPr>
      <w:rFonts w:eastAsia="Wingdings"/>
    </w:rPr>
  </w:style>
  <w:style w:type="character" w:customStyle="1" w:styleId="46">
    <w:name w:val="Doc-text2 Char"/>
    <w:link w:val="39"/>
    <w:qFormat/>
    <w:uiPriority w:val="0"/>
    <w:rPr>
      <w:rFonts w:ascii="Symbol" w:hAnsi="Symbol" w:eastAsia="Tele-Grotesk-Norm"/>
      <w:szCs w:val="24"/>
      <w:lang w:val="en-GB" w:eastAsia="en-GB"/>
    </w:rPr>
  </w:style>
  <w:style w:type="character" w:customStyle="1" w:styleId="47">
    <w:name w:val="Body Text Char"/>
    <w:link w:val="23"/>
    <w:qFormat/>
    <w:uiPriority w:val="0"/>
    <w:rPr>
      <w:rFonts w:ascii="Symbol" w:hAnsi="Symbol" w:eastAsia="Wingdings"/>
      <w:lang w:val="en-GB"/>
    </w:rPr>
  </w:style>
  <w:style w:type="character" w:customStyle="1" w:styleId="48">
    <w:name w:val="B1 Char1"/>
    <w:link w:val="49"/>
    <w:qFormat/>
    <w:uiPriority w:val="0"/>
    <w:rPr>
      <w:rFonts w:ascii="Symbol" w:hAnsi="Symbol" w:eastAsia="Cambria Math"/>
      <w:lang w:val="en-GB" w:eastAsia="en-US"/>
    </w:rPr>
  </w:style>
  <w:style w:type="paragraph" w:customStyle="1" w:styleId="49">
    <w:name w:val="B1"/>
    <w:basedOn w:val="1"/>
    <w:link w:val="48"/>
    <w:uiPriority w:val="0"/>
    <w:pPr>
      <w:ind w:left="568" w:hanging="284"/>
    </w:pPr>
  </w:style>
  <w:style w:type="character" w:customStyle="1" w:styleId="50">
    <w:name w:val="Balloon Text Char"/>
    <w:link w:val="26"/>
    <w:qFormat/>
    <w:uiPriority w:val="99"/>
    <w:rPr>
      <w:rFonts w:ascii="Arial" w:hAnsi="Arial" w:eastAsia="Cambria Math"/>
      <w:sz w:val="18"/>
      <w:szCs w:val="18"/>
      <w:lang w:val="en-GB"/>
    </w:rPr>
  </w:style>
  <w:style w:type="character" w:customStyle="1" w:styleId="51">
    <w:name w:val="Heading 2 Char"/>
    <w:link w:val="3"/>
    <w:qFormat/>
    <w:uiPriority w:val="1"/>
    <w:rPr>
      <w:rFonts w:ascii="Symbol" w:hAnsi="Symbol"/>
      <w:sz w:val="32"/>
      <w:lang w:val="en-GB" w:eastAsia="en-US"/>
    </w:rPr>
  </w:style>
  <w:style w:type="character" w:customStyle="1" w:styleId="52">
    <w:name w:val="ZGSM"/>
    <w:qFormat/>
    <w:uiPriority w:val="99"/>
  </w:style>
  <w:style w:type="character" w:customStyle="1" w:styleId="53">
    <w:name w:val="Comment Text Char"/>
    <w:link w:val="13"/>
    <w:qFormat/>
    <w:uiPriority w:val="99"/>
    <w:rPr>
      <w:rFonts w:ascii="Symbol" w:hAnsi="Symbol" w:eastAsia="Cambria Math"/>
      <w:lang w:val="en-GB" w:eastAsia="en-US"/>
    </w:rPr>
  </w:style>
  <w:style w:type="paragraph" w:customStyle="1" w:styleId="54">
    <w:name w:val="Editor's Note"/>
    <w:basedOn w:val="55"/>
    <w:qFormat/>
    <w:uiPriority w:val="99"/>
    <w:rPr>
      <w:color w:val="FF0000"/>
    </w:rPr>
  </w:style>
  <w:style w:type="paragraph" w:customStyle="1" w:styleId="55">
    <w:name w:val="NO"/>
    <w:basedOn w:val="1"/>
    <w:qFormat/>
    <w:uiPriority w:val="99"/>
    <w:pPr>
      <w:keepLines/>
      <w:ind w:left="1135" w:hanging="851"/>
    </w:pPr>
  </w:style>
  <w:style w:type="paragraph" w:customStyle="1" w:styleId="56">
    <w:name w:val="TAN"/>
    <w:basedOn w:val="57"/>
    <w:qFormat/>
    <w:uiPriority w:val="99"/>
    <w:pPr>
      <w:ind w:left="851" w:hanging="851"/>
    </w:pPr>
  </w:style>
  <w:style w:type="paragraph" w:customStyle="1" w:styleId="57">
    <w:name w:val="TAL"/>
    <w:basedOn w:val="1"/>
    <w:uiPriority w:val="99"/>
    <w:pPr>
      <w:keepNext/>
      <w:keepLines/>
      <w:spacing w:after="0"/>
    </w:pPr>
    <w:rPr>
      <w:sz w:val="18"/>
    </w:rPr>
  </w:style>
  <w:style w:type="paragraph" w:customStyle="1" w:styleId="58">
    <w:name w:val="ZT"/>
    <w:qFormat/>
    <w:uiPriority w:val="99"/>
    <w:pPr>
      <w:framePr w:wrap="notBeside" w:vAnchor="margin" w:hAnchor="margin" w:yAlign="center"/>
      <w:widowControl w:val="0"/>
      <w:spacing w:line="240" w:lineRule="atLeast"/>
      <w:jc w:val="right"/>
    </w:pPr>
    <w:rPr>
      <w:rFonts w:ascii="Symbol" w:hAnsi="Symbol" w:eastAsia="宋体" w:cs="Calibri"/>
      <w:b/>
      <w:sz w:val="34"/>
      <w:lang w:val="en-GB" w:eastAsia="en-US" w:bidi="ar-SA"/>
    </w:rPr>
  </w:style>
  <w:style w:type="paragraph" w:customStyle="1" w:styleId="59">
    <w:name w:val="B4"/>
    <w:basedOn w:val="1"/>
    <w:qFormat/>
    <w:uiPriority w:val="99"/>
    <w:pPr>
      <w:ind w:left="1418" w:hanging="284"/>
    </w:pPr>
  </w:style>
  <w:style w:type="paragraph" w:customStyle="1" w:styleId="60">
    <w:name w:val="Proposal"/>
    <w:basedOn w:val="1"/>
    <w:qFormat/>
    <w:uiPriority w:val="0"/>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61">
    <w:name w:val="ZTD"/>
    <w:basedOn w:val="62"/>
    <w:qFormat/>
    <w:uiPriority w:val="99"/>
    <w:pPr>
      <w:framePr w:hRule="auto" w:y="852"/>
    </w:pPr>
    <w:rPr>
      <w:i w:val="0"/>
      <w:sz w:val="40"/>
    </w:rPr>
  </w:style>
  <w:style w:type="paragraph" w:customStyle="1" w:styleId="62">
    <w:name w:val="ZB"/>
    <w:qFormat/>
    <w:uiPriority w:val="99"/>
    <w:pPr>
      <w:framePr w:w="10206" w:h="284" w:hRule="exact" w:wrap="notBeside" w:vAnchor="page" w:hAnchor="margin" w:y="1986"/>
      <w:widowControl w:val="0"/>
      <w:ind w:right="28"/>
      <w:jc w:val="right"/>
    </w:pPr>
    <w:rPr>
      <w:rFonts w:ascii="Symbol" w:hAnsi="Symbol" w:eastAsia="宋体" w:cs="Calibri"/>
      <w:i/>
      <w:lang w:val="en-GB" w:eastAsia="en-US" w:bidi="ar-SA"/>
    </w:rPr>
  </w:style>
  <w:style w:type="paragraph" w:customStyle="1" w:styleId="63">
    <w:name w:val="EQ"/>
    <w:basedOn w:val="1"/>
    <w:next w:val="1"/>
    <w:qFormat/>
    <w:uiPriority w:val="99"/>
    <w:pPr>
      <w:keepLines/>
      <w:tabs>
        <w:tab w:val="center" w:pos="4536"/>
        <w:tab w:val="right" w:pos="9072"/>
      </w:tabs>
    </w:pPr>
    <w:rPr>
      <w:lang w:val="en-US" w:eastAsia="zh-CN"/>
    </w:rPr>
  </w:style>
  <w:style w:type="paragraph" w:customStyle="1" w:styleId="64">
    <w:name w:val="EX"/>
    <w:basedOn w:val="1"/>
    <w:qFormat/>
    <w:uiPriority w:val="99"/>
    <w:pPr>
      <w:keepLines/>
      <w:ind w:left="1702" w:hanging="1418"/>
    </w:pPr>
  </w:style>
  <w:style w:type="paragraph" w:customStyle="1" w:styleId="65">
    <w:name w:val="TAJ"/>
    <w:basedOn w:val="66"/>
    <w:uiPriority w:val="99"/>
  </w:style>
  <w:style w:type="paragraph" w:customStyle="1" w:styleId="66">
    <w:name w:val="TH"/>
    <w:basedOn w:val="1"/>
    <w:qFormat/>
    <w:uiPriority w:val="99"/>
    <w:pPr>
      <w:keepNext/>
      <w:keepLines/>
      <w:spacing w:before="60"/>
      <w:jc w:val="center"/>
    </w:pPr>
    <w:rPr>
      <w:b/>
    </w:rPr>
  </w:style>
  <w:style w:type="paragraph" w:customStyle="1" w:styleId="67">
    <w:name w:val="NF"/>
    <w:basedOn w:val="55"/>
    <w:qFormat/>
    <w:uiPriority w:val="99"/>
    <w:pPr>
      <w:keepNext/>
      <w:spacing w:after="0"/>
    </w:pPr>
    <w:rPr>
      <w:sz w:val="18"/>
    </w:rPr>
  </w:style>
  <w:style w:type="paragraph" w:customStyle="1" w:styleId="68">
    <w:name w:val="彩色底纹 - 强调文字颜色 11"/>
    <w:uiPriority w:val="71"/>
    <w:rPr>
      <w:rFonts w:ascii="Calibri" w:hAnsi="Calibri" w:eastAsia="宋体" w:cs="Calibri"/>
      <w:lang w:val="en-GB" w:eastAsia="en-US" w:bidi="ar-SA"/>
    </w:rPr>
  </w:style>
  <w:style w:type="paragraph" w:customStyle="1" w:styleId="69">
    <w:name w:val="TT"/>
    <w:basedOn w:val="2"/>
    <w:next w:val="1"/>
    <w:qFormat/>
    <w:uiPriority w:val="99"/>
    <w:pPr>
      <w:outlineLvl w:val="9"/>
    </w:pPr>
  </w:style>
  <w:style w:type="paragraph" w:customStyle="1" w:styleId="70">
    <w:name w:val="ZD"/>
    <w:qFormat/>
    <w:uiPriority w:val="99"/>
    <w:pPr>
      <w:framePr w:wrap="notBeside" w:vAnchor="page" w:hAnchor="margin" w:y="15764"/>
      <w:widowControl w:val="0"/>
    </w:pPr>
    <w:rPr>
      <w:rFonts w:ascii="Symbol" w:hAnsi="Symbol" w:eastAsia="宋体" w:cs="Calibri"/>
      <w:sz w:val="32"/>
      <w:lang w:val="en-GB" w:eastAsia="en-US" w:bidi="ar-SA"/>
    </w:rPr>
  </w:style>
  <w:style w:type="paragraph" w:customStyle="1" w:styleId="71">
    <w:name w:val="TAR"/>
    <w:basedOn w:val="57"/>
    <w:uiPriority w:val="99"/>
    <w:pPr>
      <w:jc w:val="right"/>
    </w:pPr>
  </w:style>
  <w:style w:type="paragraph" w:customStyle="1" w:styleId="72">
    <w:name w:val="NW"/>
    <w:basedOn w:val="55"/>
    <w:qFormat/>
    <w:uiPriority w:val="99"/>
    <w:pPr>
      <w:spacing w:after="0"/>
    </w:pPr>
  </w:style>
  <w:style w:type="paragraph" w:customStyle="1" w:styleId="73">
    <w:name w:val="ZA"/>
    <w:uiPriority w:val="99"/>
    <w:pPr>
      <w:framePr w:w="10206" w:h="794" w:hRule="exact" w:wrap="notBeside" w:vAnchor="page" w:hAnchor="margin" w:y="1135"/>
      <w:widowControl w:val="0"/>
      <w:pBdr>
        <w:bottom w:val="single" w:color="auto" w:sz="12" w:space="1"/>
      </w:pBdr>
      <w:jc w:val="right"/>
    </w:pPr>
    <w:rPr>
      <w:rFonts w:ascii="Symbol" w:hAnsi="Symbol" w:eastAsia="宋体" w:cs="Calibri"/>
      <w:sz w:val="40"/>
      <w:lang w:val="en-GB" w:eastAsia="en-US" w:bidi="ar-SA"/>
    </w:rPr>
  </w:style>
  <w:style w:type="paragraph" w:customStyle="1" w:styleId="74">
    <w:name w:val="00 BodyText"/>
    <w:basedOn w:val="1"/>
    <w:qFormat/>
    <w:uiPriority w:val="99"/>
    <w:pPr>
      <w:spacing w:after="220"/>
    </w:pPr>
    <w:rPr>
      <w:sz w:val="22"/>
      <w:lang w:val="en-US"/>
    </w:rPr>
  </w:style>
  <w:style w:type="paragraph" w:customStyle="1" w:styleId="75">
    <w:name w:val="FP"/>
    <w:basedOn w:val="1"/>
    <w:qFormat/>
    <w:uiPriority w:val="99"/>
    <w:pPr>
      <w:spacing w:after="0"/>
    </w:pPr>
  </w:style>
  <w:style w:type="paragraph" w:customStyle="1" w:styleId="76">
    <w:name w:val="TAC"/>
    <w:basedOn w:val="57"/>
    <w:uiPriority w:val="99"/>
    <w:pPr>
      <w:jc w:val="center"/>
    </w:pPr>
  </w:style>
  <w:style w:type="paragraph" w:customStyle="1" w:styleId="77">
    <w:name w:val="B5"/>
    <w:basedOn w:val="1"/>
    <w:qFormat/>
    <w:uiPriority w:val="99"/>
    <w:pPr>
      <w:ind w:left="1702" w:hanging="284"/>
    </w:pPr>
  </w:style>
  <w:style w:type="paragraph" w:customStyle="1" w:styleId="78">
    <w:name w:val="LD"/>
    <w:uiPriority w:val="99"/>
    <w:pPr>
      <w:keepNext/>
      <w:keepLines/>
      <w:spacing w:line="180" w:lineRule="exact"/>
    </w:pPr>
    <w:rPr>
      <w:rFonts w:ascii="Arial Unicode MS" w:hAnsi="Arial Unicode MS" w:eastAsia="宋体" w:cs="Calibri"/>
      <w:lang w:val="en-GB" w:eastAsia="en-US" w:bidi="ar-SA"/>
    </w:rPr>
  </w:style>
  <w:style w:type="paragraph" w:customStyle="1" w:styleId="79">
    <w:name w:val="TAH"/>
    <w:basedOn w:val="76"/>
    <w:uiPriority w:val="99"/>
    <w:rPr>
      <w:b/>
    </w:rPr>
  </w:style>
  <w:style w:type="paragraph" w:customStyle="1" w:styleId="80">
    <w:name w:val="B3"/>
    <w:basedOn w:val="1"/>
    <w:qFormat/>
    <w:uiPriority w:val="99"/>
    <w:pPr>
      <w:ind w:left="1135" w:hanging="284"/>
    </w:pPr>
  </w:style>
  <w:style w:type="paragraph" w:customStyle="1" w:styleId="81">
    <w:name w:val="B2"/>
    <w:basedOn w:val="1"/>
    <w:uiPriority w:val="99"/>
    <w:pPr>
      <w:ind w:left="851" w:hanging="284"/>
    </w:pPr>
  </w:style>
  <w:style w:type="paragraph" w:customStyle="1" w:styleId="82">
    <w:name w:val="ZG"/>
    <w:qFormat/>
    <w:uiPriority w:val="99"/>
    <w:pPr>
      <w:framePr w:wrap="notBeside" w:vAnchor="page" w:hAnchor="margin" w:xAlign="right" w:y="6805"/>
      <w:widowControl w:val="0"/>
      <w:jc w:val="right"/>
    </w:pPr>
    <w:rPr>
      <w:rFonts w:ascii="Symbol" w:hAnsi="Symbol" w:eastAsia="宋体" w:cs="Calibri"/>
      <w:lang w:val="en-GB" w:eastAsia="en-US" w:bidi="ar-SA"/>
    </w:rPr>
  </w:style>
  <w:style w:type="paragraph" w:customStyle="1" w:styleId="83">
    <w:name w:val="TF"/>
    <w:basedOn w:val="66"/>
    <w:qFormat/>
    <w:uiPriority w:val="99"/>
    <w:pPr>
      <w:keepNext w:val="0"/>
      <w:spacing w:before="0" w:after="240"/>
    </w:pPr>
  </w:style>
  <w:style w:type="paragraph" w:customStyle="1" w:styleId="84">
    <w:name w:val="EW"/>
    <w:basedOn w:val="64"/>
    <w:qFormat/>
    <w:uiPriority w:val="99"/>
    <w:pPr>
      <w:spacing w:after="0"/>
    </w:pPr>
  </w:style>
  <w:style w:type="paragraph" w:customStyle="1" w:styleId="85">
    <w:name w:val="ZH"/>
    <w:qFormat/>
    <w:uiPriority w:val="99"/>
    <w:pPr>
      <w:framePr w:wrap="notBeside" w:vAnchor="page" w:hAnchor="margin" w:xAlign="center" w:y="6805"/>
      <w:widowControl w:val="0"/>
    </w:pPr>
    <w:rPr>
      <w:rFonts w:ascii="Symbol" w:hAnsi="Symbol" w:eastAsia="宋体" w:cs="Calibri"/>
      <w:lang w:val="en-GB" w:eastAsia="en-US" w:bidi="ar-SA"/>
    </w:rPr>
  </w:style>
  <w:style w:type="paragraph" w:customStyle="1" w:styleId="86">
    <w:name w:val="ZU"/>
    <w:qFormat/>
    <w:uiPriority w:val="99"/>
    <w:pPr>
      <w:framePr w:w="10206" w:wrap="notBeside" w:vAnchor="page" w:hAnchor="margin" w:y="6238"/>
      <w:widowControl w:val="0"/>
      <w:pBdr>
        <w:top w:val="single" w:color="auto" w:sz="12" w:space="1"/>
      </w:pBdr>
      <w:jc w:val="right"/>
    </w:pPr>
    <w:rPr>
      <w:rFonts w:ascii="Symbol" w:hAnsi="Symbol" w:eastAsia="宋体" w:cs="Calibri"/>
      <w:lang w:val="en-GB" w:eastAsia="en-US" w:bidi="ar-SA"/>
    </w:rPr>
  </w:style>
  <w:style w:type="paragraph" w:customStyle="1" w:styleId="87">
    <w:name w:val="PL"/>
    <w:qFormat/>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eastAsia="宋体" w:cs="Calibri"/>
      <w:sz w:val="16"/>
      <w:lang w:val="en-GB" w:eastAsia="en-US" w:bidi="ar-SA"/>
    </w:rPr>
  </w:style>
  <w:style w:type="paragraph" w:customStyle="1" w:styleId="88">
    <w:name w:val="ZV"/>
    <w:basedOn w:val="86"/>
    <w:qFormat/>
    <w:uiPriority w:val="99"/>
    <w:pPr>
      <w:framePr w:y="16161"/>
    </w:pPr>
  </w:style>
  <w:style w:type="paragraph" w:styleId="89">
    <w:name w:val="List Paragraph"/>
    <w:basedOn w:val="1"/>
    <w:qFormat/>
    <w:uiPriority w:val="34"/>
    <w:pPr>
      <w:ind w:left="720"/>
      <w:contextualSpacing/>
    </w:pPr>
  </w:style>
  <w:style w:type="paragraph" w:customStyle="1" w:styleId="90">
    <w:name w:val="Guidance"/>
    <w:basedOn w:val="1"/>
    <w:qFormat/>
    <w:uiPriority w:val="99"/>
    <w:rPr>
      <w:i/>
      <w:color w:val="0000FF"/>
    </w:rPr>
  </w:style>
  <w:style w:type="paragraph" w:customStyle="1" w:styleId="91">
    <w:name w:val="CR Cover Page"/>
    <w:qFormat/>
    <w:uiPriority w:val="99"/>
    <w:pPr>
      <w:spacing w:after="120"/>
    </w:pPr>
    <w:rPr>
      <w:rFonts w:ascii="Symbol" w:hAnsi="Symbol" w:eastAsia="Tele-Grotesk-Norm" w:cs="Calibri"/>
      <w:lang w:val="en-GB" w:eastAsia="en-US" w:bidi="ar-SA"/>
    </w:rPr>
  </w:style>
  <w:style w:type="character" w:customStyle="1" w:styleId="92">
    <w:name w:val="Plain Text Char"/>
    <w:link w:val="24"/>
    <w:semiHidden/>
    <w:uiPriority w:val="99"/>
    <w:rPr>
      <w:rFonts w:ascii="Tahoma" w:hAnsi="Tahoma" w:eastAsia="Tahoma"/>
      <w:sz w:val="22"/>
      <w:szCs w:val="21"/>
      <w:lang w:eastAsia="en-US"/>
    </w:rPr>
  </w:style>
  <w:style w:type="paragraph" w:customStyle="1" w:styleId="93">
    <w:name w:val="x_msonormal"/>
    <w:basedOn w:val="1"/>
    <w:qFormat/>
    <w:uiPriority w:val="0"/>
    <w:pPr>
      <w:spacing w:after="0"/>
      <w:jc w:val="left"/>
    </w:pPr>
    <w:rPr>
      <w:rFonts w:ascii="Wingdings" w:hAnsi="Wingdings" w:eastAsia="Wingdings" w:cs="Tahoma"/>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EDB81-42C5-4D7A-84F7-4DCC2FEC1AC0}">
  <ds:schemaRefs/>
</ds:datastoreItem>
</file>

<file path=customXml/itemProps3.xml><?xml version="1.0" encoding="utf-8"?>
<ds:datastoreItem xmlns:ds="http://schemas.openxmlformats.org/officeDocument/2006/customXml" ds:itemID="{EDCB0128-53D4-462A-8FA9-49C01917B053}">
  <ds:schemaRefs/>
</ds:datastoreItem>
</file>

<file path=customXml/itemProps4.xml><?xml version="1.0" encoding="utf-8"?>
<ds:datastoreItem xmlns:ds="http://schemas.openxmlformats.org/officeDocument/2006/customXml" ds:itemID="{485564B7-364B-4E3D-B121-A55B0BA6BEEF}">
  <ds:schemaRefs/>
</ds:datastoreItem>
</file>

<file path=customXml/itemProps5.xml><?xml version="1.0" encoding="utf-8"?>
<ds:datastoreItem xmlns:ds="http://schemas.openxmlformats.org/officeDocument/2006/customXml" ds:itemID="{40DE6356-E23F-4529-B114-9F01CEC81782}">
  <ds:schemaRefs/>
</ds:datastoreItem>
</file>

<file path=docProps/app.xml><?xml version="1.0" encoding="utf-8"?>
<Properties xmlns="http://schemas.openxmlformats.org/officeDocument/2006/extended-properties" xmlns:vt="http://schemas.openxmlformats.org/officeDocument/2006/docPropsVTypes">
  <Template>3GPP TDoc.dot</Template>
  <Company>CATT</Company>
  <Pages>4</Pages>
  <Words>887</Words>
  <Characters>5062</Characters>
  <Lines>42</Lines>
  <Paragraphs>11</Paragraphs>
  <TotalTime>4</TotalTime>
  <ScaleCrop>false</ScaleCrop>
  <LinksUpToDate>false</LinksUpToDate>
  <CharactersWithSpaces>5938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2020-06-30T00:13:00Z</dcterms:created>
  <dc:creator>CMCC</dc:creator>
  <cp:lastModifiedBy>ZTE-Yin Gao</cp:lastModifiedBy>
  <cp:lastPrinted>2018-05-11T04:56:00Z</cp:lastPrinted>
  <dcterms:modified xsi:type="dcterms:W3CDTF">2020-06-30T01:45:57Z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0x010100F3E9551B3FDDA24EBF0A209BAAD637CA</vt:lpwstr>
  </property>
</Properties>
</file>