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w:t>
      </w:r>
      <w:r>
        <w:rPr>
          <w:rFonts w:hint="eastAsia" w:ascii="Arial" w:hAnsi="Arial" w:eastAsia="宋体" w:cs="Times New Roman"/>
          <w:b/>
          <w:bCs/>
          <w:sz w:val="24"/>
          <w:szCs w:val="24"/>
          <w:lang w:val="en-US" w:eastAsia="zh-CN"/>
        </w:rPr>
        <w:t>6004</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36.133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lang w:val="en-US"/>
              </w:rPr>
            </w:pPr>
            <w:r>
              <w:rPr>
                <w:rFonts w:hint="eastAsia" w:eastAsia="宋体"/>
                <w:b/>
                <w:sz w:val="28"/>
                <w:szCs w:val="22"/>
                <w:lang w:val="en-US" w:eastAsia="zh-CN"/>
              </w:rPr>
              <w:t>6826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16.5.0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RRC release with redirection 36.133 R16 Cat 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20-06-05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bookmarkStart w:id="5" w:name="_GoBack"/>
            <w:bookmarkEnd w:id="5"/>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t>T</w:t>
            </w:r>
            <w:r>
              <w:rPr>
                <w:vertAlign w:val="subscript"/>
              </w:rPr>
              <w:t>RRC_procedure_delay</w:t>
            </w:r>
            <w:r>
              <w:rPr>
                <w:rFonts w:hint="eastAsia" w:eastAsia="宋体"/>
                <w:vertAlign w:val="baseline"/>
                <w:lang w:val="en-US" w:eastAsia="zh-CN"/>
              </w:rPr>
              <w:t xml:space="preserve"> </w:t>
            </w:r>
            <w:r>
              <w:rPr>
                <w:rFonts w:hint="eastAsia" w:eastAsia="宋体"/>
                <w:lang w:val="en-US" w:eastAsia="zh-CN"/>
              </w:rPr>
              <w:t>is unspecified in redirection to NR.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Specify the value of </w:t>
            </w:r>
            <w:r>
              <w:t>T</w:t>
            </w:r>
            <w:r>
              <w:rPr>
                <w:vertAlign w:val="subscript"/>
              </w:rPr>
              <w:t>RRC_procedure_delay</w:t>
            </w:r>
            <w:r>
              <w:rPr>
                <w:rFonts w:hint="eastAsia" w:eastAsia="宋体"/>
                <w:vertAlign w:val="baseline"/>
                <w:lang w:val="en-US" w:eastAsia="zh-CN"/>
              </w:rPr>
              <w:t xml:space="preserve"> = 110 ms</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The specification is broken without a value for </w:t>
            </w:r>
            <w:r>
              <w:t>T</w:t>
            </w:r>
            <w:r>
              <w:rPr>
                <w:vertAlign w:val="subscript"/>
              </w:rPr>
              <w:t>RRC_procedure_delay</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snapToGrid w:val="0"/>
                <w:lang w:val="en-US" w:eastAsia="zh-CN"/>
              </w:rPr>
              <w:t>6.3.2.4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spacing w:after="0"/>
        <w:rPr>
          <w:i/>
          <w:color w:val="0000FF"/>
          <w:lang w:eastAsia="zh-CN"/>
        </w:rPr>
      </w:pPr>
      <w:r>
        <w:rPr>
          <w:i/>
          <w:color w:val="0000FF"/>
          <w:lang w:eastAsia="zh-CN"/>
        </w:rPr>
        <w:t>&lt;start of the change&gt;</w:t>
      </w:r>
    </w:p>
    <w:p>
      <w:pPr>
        <w:pStyle w:val="5"/>
      </w:pPr>
      <w:r>
        <w:t>6.</w:t>
      </w:r>
      <w:r>
        <w:rPr>
          <w:lang w:eastAsia="zh-CN"/>
        </w:rPr>
        <w:t>3</w:t>
      </w:r>
      <w:r>
        <w:t>.2.4</w:t>
      </w:r>
      <w:r>
        <w:tab/>
      </w:r>
      <w:r>
        <w:t>RRC connection release with redirection to NR</w:t>
      </w:r>
    </w:p>
    <w:p>
      <w:r>
        <w:t>The UE shall be capable of performing the RRC connection release with redirection to the target NR cell within T</w:t>
      </w:r>
      <w:r>
        <w:rPr>
          <w:vertAlign w:val="subscript"/>
        </w:rPr>
        <w:t>connection_release_redirect_NR</w:t>
      </w:r>
      <w:r>
        <w:t>.</w:t>
      </w:r>
    </w:p>
    <w:p>
      <w:r>
        <w:rPr>
          <w:rFonts w:cs="v4.2.0"/>
        </w:rPr>
        <w:t>The time delay (</w:t>
      </w:r>
      <w:r>
        <w:t>T</w:t>
      </w:r>
      <w:r>
        <w:rPr>
          <w:vertAlign w:val="subscript"/>
        </w:rPr>
        <w:t>connection_release_redirect_UTRA FDD</w:t>
      </w:r>
      <w:r>
        <w:rPr>
          <w:rFonts w:cs="v4.2.0"/>
        </w:rPr>
        <w:t xml:space="preserve">) </w:t>
      </w:r>
      <w:r>
        <w:t>is the time between the end of the last TTI containing the RRC command, “</w:t>
      </w:r>
      <w:r>
        <w:rPr>
          <w:i/>
        </w:rPr>
        <w:t>RRCConnectionRelease</w:t>
      </w:r>
      <w:r>
        <w:t xml:space="preserve">” (TS 36.331 [2]) on the E-UTRAN PDSCH and the time the UE starts to send random access to the target NR cell. </w:t>
      </w:r>
      <w:r>
        <w:rPr>
          <w:rFonts w:cs="v4.2.0"/>
        </w:rPr>
        <w:t>The time delay (</w:t>
      </w:r>
      <w:r>
        <w:t>T</w:t>
      </w:r>
      <w:r>
        <w:rPr>
          <w:vertAlign w:val="subscript"/>
        </w:rPr>
        <w:t>connection_release_redirect_NR</w:t>
      </w:r>
      <w:r>
        <w:rPr>
          <w:rFonts w:cs="v4.2.0"/>
        </w:rPr>
        <w:t xml:space="preserve">) </w:t>
      </w:r>
      <w:r>
        <w:t>shall be less than:</w:t>
      </w:r>
    </w:p>
    <w:p>
      <w:pPr>
        <w:pStyle w:val="64"/>
        <w:jc w:val="center"/>
        <w:rPr>
          <w:rFonts w:cs="v4.2.0"/>
          <w:vertAlign w:val="subscript"/>
        </w:rPr>
      </w:pP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rFonts w:cs="v4.2.0"/>
        </w:rPr>
      </w:pPr>
      <w:r>
        <w:t>The target NR cell shall be considered detectable</w:t>
      </w:r>
      <w:r>
        <w:rPr>
          <w:rFonts w:cs="v4.2.0"/>
        </w:rPr>
        <w:t xml:space="preserve"> when for each relevant SSB:</w:t>
      </w:r>
    </w:p>
    <w:p>
      <w:pPr>
        <w:pStyle w:val="77"/>
        <w:rPr>
          <w:rFonts w:cs="v4.2.0"/>
        </w:rPr>
      </w:pPr>
      <w:r>
        <w:t>-</w:t>
      </w:r>
      <w:r>
        <w:tab/>
      </w:r>
      <w:r>
        <w:t xml:space="preserve">SSB_RP and SSB </w:t>
      </w:r>
      <w:r>
        <w:rPr>
          <w:lang w:val="en-US"/>
        </w:rPr>
        <w:t>Ês/Iot</w:t>
      </w:r>
      <w:r>
        <w:t xml:space="preserve"> according to Annex B.2.5 of TS 38.133 [50] for a corresponding NR Band.</w:t>
      </w:r>
    </w:p>
    <w:p>
      <w:r>
        <w:t>T</w:t>
      </w:r>
      <w:r>
        <w:rPr>
          <w:vertAlign w:val="subscript"/>
        </w:rPr>
        <w:t>RRC_procedure_delay</w:t>
      </w:r>
      <w:r>
        <w:t>: It is the RRC procedure delay for processing the received message “</w:t>
      </w:r>
      <w:r>
        <w:rPr>
          <w:i/>
        </w:rPr>
        <w:t>RRCConnectionRelease</w:t>
      </w:r>
      <w:r>
        <w:t>” as defined in clause 6.2.2 of TS 36.331 [2].</w:t>
      </w:r>
      <w:ins w:id="0" w:author="Ricky (ZTE)" w:date="2020-04-02T14:58:39Z">
        <w:r>
          <w:rPr>
            <w:rFonts w:hint="eastAsia" w:eastAsia="宋体"/>
            <w:lang w:val="en-US" w:eastAsia="zh-CN"/>
          </w:rPr>
          <w:t xml:space="preserve"> </w:t>
        </w:r>
      </w:ins>
      <w:ins w:id="1" w:author="Ricky (ZTE)" w:date="2020-04-02T14:58:37Z">
        <w:r>
          <w:rPr/>
          <w:t>It shall be less than 110 ms.</w:t>
        </w:r>
      </w:ins>
    </w:p>
    <w:p>
      <w:r>
        <w:t>T</w:t>
      </w:r>
      <w:r>
        <w:rPr>
          <w:vertAlign w:val="subscript"/>
        </w:rPr>
        <w:t>identify-NR</w:t>
      </w:r>
      <w:r>
        <w:t>: It is the time to identify the target NR cell and depends on the frequency range (FR) of the target NR cell. It is defined in table 6.3.2.4-1. T</w:t>
      </w:r>
      <w:r>
        <w:rPr>
          <w:vertAlign w:val="subscript"/>
        </w:rPr>
        <w:t>identify-NR</w:t>
      </w:r>
      <w:r>
        <w:t xml:space="preserve"> = T</w:t>
      </w:r>
      <w:r>
        <w:rPr>
          <w:vertAlign w:val="subscript"/>
        </w:rPr>
        <w:t>PSS/SSS-sync</w:t>
      </w:r>
      <w:r>
        <w:t xml:space="preserve"> + T</w:t>
      </w:r>
      <w:r>
        <w:rPr>
          <w:vertAlign w:val="subscript"/>
        </w:rPr>
        <w:t>meas</w:t>
      </w:r>
      <w:r>
        <w:t>, whereT</w:t>
      </w:r>
      <w:r>
        <w:rPr>
          <w:vertAlign w:val="subscript"/>
        </w:rPr>
        <w:t>PSS/SSS-sync</w:t>
      </w:r>
      <w:r>
        <w:t xml:space="preserve"> is the cell search time and T</w:t>
      </w:r>
      <w:r>
        <w:rPr>
          <w:vertAlign w:val="subscript"/>
        </w:rPr>
        <w:t>meas</w:t>
      </w:r>
      <w:r>
        <w:t xml:space="preserve"> is the measurement time due to cell selection criteria evaluation.</w:t>
      </w:r>
    </w:p>
    <w:p>
      <w:r>
        <w:t>T</w:t>
      </w:r>
      <w:r>
        <w:rPr>
          <w:vertAlign w:val="subscript"/>
        </w:rPr>
        <w:t>SI-NR</w:t>
      </w:r>
      <w:r>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r>
        <w:rPr>
          <w:rFonts w:cs="v4.2.0"/>
        </w:rPr>
        <w:t>T</w:t>
      </w:r>
      <w:r>
        <w:rPr>
          <w:rFonts w:cs="v4.2.0"/>
          <w:vertAlign w:val="subscript"/>
        </w:rPr>
        <w:t>RACH</w:t>
      </w:r>
      <w:r>
        <w:rPr>
          <w:rFonts w:cs="v4.2.0"/>
        </w:rPr>
        <w:t xml:space="preserve">: It </w:t>
      </w:r>
      <w:r>
        <w:t xml:space="preserve">is the delay caused due to the random access procedure when sending random access to the target NR cell. This delay depends on the PRACH configuration defined in </w:t>
      </w:r>
      <w:bookmarkStart w:id="4" w:name="_Hlk513653427"/>
      <w:r>
        <w:t>TS 38.211 [42] Table 6.3.3.2-2</w:t>
      </w:r>
      <w:bookmarkEnd w:id="4"/>
      <w:r>
        <w:t xml:space="preserve"> or Table 6.3.3.2-3 for FR1 and in Table 6.3.3.2-4 for FR2.</w:t>
      </w:r>
    </w:p>
    <w:p>
      <w:pPr>
        <w:rPr>
          <w:rFonts w:eastAsiaTheme="minorEastAsia"/>
        </w:rPr>
      </w:pPr>
      <w:r>
        <w:rPr>
          <w:rFonts w:cs="v4.2.0" w:eastAsiaTheme="minorEastAsia"/>
        </w:rPr>
        <w:t>T</w:t>
      </w:r>
      <w:r>
        <w:rPr>
          <w:rFonts w:cs="v4.2.0" w:eastAsiaTheme="minorEastAsia"/>
          <w:vertAlign w:val="subscript"/>
        </w:rPr>
        <w:t>rs</w:t>
      </w:r>
      <w:r>
        <w:rPr>
          <w:rFonts w:cs="v4.2.0" w:eastAsiaTheme="minorEastAsia"/>
        </w:rPr>
        <w:t xml:space="preserve"> is the SMTC periodicity of the target NR cell if the UE has been provided with an SMTC configuration for the target cell in the redirection command, otherwise </w:t>
      </w:r>
      <w:r>
        <w:rPr>
          <w:rFonts w:eastAsiaTheme="minorEastAsia"/>
        </w:rPr>
        <w:t>T</w:t>
      </w:r>
      <w:r>
        <w:rPr>
          <w:rFonts w:eastAsiaTheme="minorEastAsia"/>
          <w:vertAlign w:val="subscript"/>
        </w:rPr>
        <w:t>rs</w:t>
      </w:r>
      <w:r>
        <w:rPr>
          <w:rFonts w:eastAsiaTheme="minorEastAsia"/>
        </w:rPr>
        <w:t xml:space="preserve"> is the SMTC </w:t>
      </w:r>
      <w:r>
        <w:t xml:space="preserve">periodicity </w:t>
      </w:r>
      <w:r>
        <w:rPr>
          <w:rFonts w:eastAsiaTheme="minorEastAsia"/>
        </w:rPr>
        <w:t xml:space="preserve">configured in the </w:t>
      </w:r>
      <w:r>
        <w:rPr>
          <w:rFonts w:eastAsiaTheme="minorEastAsia"/>
          <w:i/>
        </w:rPr>
        <w:t>measObjectNR</w:t>
      </w:r>
      <w:r>
        <w:rPr>
          <w:rFonts w:eastAsiaTheme="minorEastAsia"/>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pPr>
        <w:pStyle w:val="77"/>
        <w:rPr>
          <w:rFonts w:eastAsiaTheme="minorEastAsia"/>
        </w:rPr>
      </w:pPr>
      <w:r>
        <w:rPr>
          <w:rFonts w:eastAsiaTheme="minorEastAsia"/>
        </w:rPr>
        <w:t>-</w:t>
      </w:r>
      <w:r>
        <w:rPr>
          <w:rFonts w:eastAsiaTheme="minorEastAsia"/>
        </w:rPr>
        <w:tab/>
      </w:r>
      <w:r>
        <w:rPr>
          <w:rFonts w:eastAsiaTheme="minorEastAsia"/>
        </w:rPr>
        <w:t>the requirement in this section is applied with T</w:t>
      </w:r>
      <w:r>
        <w:rPr>
          <w:rFonts w:eastAsiaTheme="minorEastAsia"/>
          <w:vertAlign w:val="subscript"/>
        </w:rPr>
        <w:t>rs</w:t>
      </w:r>
      <w:r>
        <w:rPr>
          <w:rFonts w:eastAsiaTheme="minorEastAsia"/>
        </w:rPr>
        <w:t xml:space="preserve"> = 20 ms assuming the SSB transmission periodicity is not larger than 20 ms, </w:t>
      </w:r>
    </w:p>
    <w:p>
      <w:pPr>
        <w:pStyle w:val="77"/>
        <w:rPr>
          <w:rFonts w:eastAsiaTheme="minorEastAsia"/>
        </w:rPr>
      </w:pPr>
      <w:r>
        <w:rPr>
          <w:rFonts w:eastAsiaTheme="minorEastAsia"/>
        </w:rPr>
        <w:t>-</w:t>
      </w:r>
      <w:r>
        <w:rPr>
          <w:rFonts w:eastAsiaTheme="minorEastAsia"/>
        </w:rPr>
        <w:tab/>
      </w:r>
      <w:r>
        <w:rPr>
          <w:rFonts w:eastAsiaTheme="minorEastAsia"/>
        </w:rPr>
        <w:t>there is no requirement if the SSB transmission periodicity is larger than 20 ms</w:t>
      </w:r>
      <w:r>
        <w:rPr>
          <w:rFonts w:cs="v4.2.0" w:eastAsiaTheme="minorEastAsia"/>
        </w:rPr>
        <w:t>.</w:t>
      </w:r>
    </w:p>
    <w:p>
      <w:pPr>
        <w:pStyle w:val="57"/>
        <w:spacing w:before="240" w:after="120"/>
      </w:pPr>
      <w:r>
        <w:t xml:space="preserve">Table 6.3.2.4-1: Time to identify target NR cell for RRC connection release with redirection to NR </w:t>
      </w:r>
    </w:p>
    <w:tbl>
      <w:tblPr>
        <w:tblStyle w:val="48"/>
        <w:tblW w:w="91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0" w:type="dxa"/>
            <w:shd w:val="clear" w:color="auto" w:fill="auto"/>
          </w:tcPr>
          <w:p>
            <w:pPr>
              <w:pStyle w:val="53"/>
            </w:pPr>
            <w:r>
              <w:t>Frequency range (FR) of target NR cell</w:t>
            </w:r>
          </w:p>
        </w:tc>
        <w:tc>
          <w:tcPr>
            <w:tcW w:w="5528" w:type="dxa"/>
            <w:shd w:val="clear" w:color="auto" w:fill="auto"/>
          </w:tcPr>
          <w:p>
            <w:pPr>
              <w:pStyle w:val="53"/>
            </w:pPr>
            <w:r>
              <w:t>T</w:t>
            </w:r>
            <w:r>
              <w:rPr>
                <w:vertAlign w:val="subscript"/>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0" w:type="dxa"/>
            <w:shd w:val="clear" w:color="auto" w:fill="auto"/>
          </w:tcPr>
          <w:p>
            <w:pPr>
              <w:pStyle w:val="54"/>
            </w:pPr>
            <w:r>
              <w:t>FR1</w:t>
            </w:r>
          </w:p>
        </w:tc>
        <w:tc>
          <w:tcPr>
            <w:tcW w:w="5528" w:type="dxa"/>
            <w:shd w:val="clear" w:color="auto" w:fill="auto"/>
          </w:tcPr>
          <w:p>
            <w:pPr>
              <w:pStyle w:val="54"/>
            </w:pPr>
            <w:r>
              <w:t>MAX (680 ms, [11] x 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0" w:type="dxa"/>
            <w:shd w:val="clear" w:color="auto" w:fill="auto"/>
          </w:tcPr>
          <w:p>
            <w:pPr>
              <w:pStyle w:val="54"/>
            </w:pPr>
            <w:r>
              <w:t>FR2</w:t>
            </w:r>
          </w:p>
        </w:tc>
        <w:tc>
          <w:tcPr>
            <w:tcW w:w="5528" w:type="dxa"/>
            <w:shd w:val="clear" w:color="auto" w:fill="auto"/>
          </w:tcPr>
          <w:p>
            <w:pPr>
              <w:pStyle w:val="54"/>
            </w:pPr>
            <w:r>
              <w:t>MAX (880 ms, [88] x Trs)</w:t>
            </w:r>
          </w:p>
        </w:tc>
      </w:tr>
    </w:tbl>
    <w:p>
      <w:pPr>
        <w:rPr>
          <w:lang w:eastAsia="zh-CN"/>
        </w:rPr>
      </w:pPr>
    </w:p>
    <w:p>
      <w:pPr>
        <w:rPr>
          <w:lang w:eastAsia="zh-CN"/>
        </w:rPr>
      </w:pPr>
      <w:r>
        <w:rPr>
          <w:i/>
          <w:color w:val="0000FF"/>
          <w:lang w:eastAsia="zh-CN"/>
        </w:rPr>
        <w:t>&lt;end of the change&gt;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3A17E5D"/>
    <w:rsid w:val="051D1962"/>
    <w:rsid w:val="05AF5E68"/>
    <w:rsid w:val="06502056"/>
    <w:rsid w:val="066B03D9"/>
    <w:rsid w:val="07382D93"/>
    <w:rsid w:val="074337BD"/>
    <w:rsid w:val="07C50F04"/>
    <w:rsid w:val="08EA733E"/>
    <w:rsid w:val="095E54E9"/>
    <w:rsid w:val="0A09114A"/>
    <w:rsid w:val="0A6B7E10"/>
    <w:rsid w:val="0AE64AC5"/>
    <w:rsid w:val="0B6344E3"/>
    <w:rsid w:val="0BA8118E"/>
    <w:rsid w:val="0BD2637C"/>
    <w:rsid w:val="0CE243F2"/>
    <w:rsid w:val="0D494980"/>
    <w:rsid w:val="0E127D22"/>
    <w:rsid w:val="0EC40E08"/>
    <w:rsid w:val="0EDE344F"/>
    <w:rsid w:val="122B19E4"/>
    <w:rsid w:val="13390223"/>
    <w:rsid w:val="135F1148"/>
    <w:rsid w:val="1459505E"/>
    <w:rsid w:val="14D53AFA"/>
    <w:rsid w:val="14F113A9"/>
    <w:rsid w:val="15366EE5"/>
    <w:rsid w:val="17177451"/>
    <w:rsid w:val="18823DD2"/>
    <w:rsid w:val="18F05F9F"/>
    <w:rsid w:val="19B165BD"/>
    <w:rsid w:val="1A003D9E"/>
    <w:rsid w:val="1A18265A"/>
    <w:rsid w:val="1BA23C14"/>
    <w:rsid w:val="1C3A3E10"/>
    <w:rsid w:val="1D4A57DF"/>
    <w:rsid w:val="1D7E0E0F"/>
    <w:rsid w:val="1E397B71"/>
    <w:rsid w:val="200B21A4"/>
    <w:rsid w:val="22182808"/>
    <w:rsid w:val="227434BA"/>
    <w:rsid w:val="22837FFD"/>
    <w:rsid w:val="23672910"/>
    <w:rsid w:val="238F0684"/>
    <w:rsid w:val="245E7C70"/>
    <w:rsid w:val="249F6226"/>
    <w:rsid w:val="24A333D2"/>
    <w:rsid w:val="252E1BB3"/>
    <w:rsid w:val="25B34A9F"/>
    <w:rsid w:val="25ED1032"/>
    <w:rsid w:val="26463596"/>
    <w:rsid w:val="26B7330C"/>
    <w:rsid w:val="26E17DD3"/>
    <w:rsid w:val="27586709"/>
    <w:rsid w:val="27975465"/>
    <w:rsid w:val="282D1F81"/>
    <w:rsid w:val="287E1F27"/>
    <w:rsid w:val="298D0175"/>
    <w:rsid w:val="2C303E19"/>
    <w:rsid w:val="2CF73A08"/>
    <w:rsid w:val="2DE03061"/>
    <w:rsid w:val="2EAC3CE7"/>
    <w:rsid w:val="2FCE68D6"/>
    <w:rsid w:val="305F0602"/>
    <w:rsid w:val="3087217A"/>
    <w:rsid w:val="310615BA"/>
    <w:rsid w:val="31F079CE"/>
    <w:rsid w:val="327335BE"/>
    <w:rsid w:val="343A645B"/>
    <w:rsid w:val="348C798B"/>
    <w:rsid w:val="34EA66A6"/>
    <w:rsid w:val="35071B7E"/>
    <w:rsid w:val="36B0344B"/>
    <w:rsid w:val="36B1577E"/>
    <w:rsid w:val="38656379"/>
    <w:rsid w:val="39E84AA9"/>
    <w:rsid w:val="39EB3446"/>
    <w:rsid w:val="3C301F95"/>
    <w:rsid w:val="3E686C5A"/>
    <w:rsid w:val="3F627A1B"/>
    <w:rsid w:val="3F6B3CD4"/>
    <w:rsid w:val="3F953FE5"/>
    <w:rsid w:val="3FA22AAB"/>
    <w:rsid w:val="3FB71173"/>
    <w:rsid w:val="404C070C"/>
    <w:rsid w:val="405D6EC6"/>
    <w:rsid w:val="409C6A43"/>
    <w:rsid w:val="41244CD5"/>
    <w:rsid w:val="41263D90"/>
    <w:rsid w:val="41330569"/>
    <w:rsid w:val="414F576A"/>
    <w:rsid w:val="41AA03E9"/>
    <w:rsid w:val="42717868"/>
    <w:rsid w:val="42DA4C03"/>
    <w:rsid w:val="44504179"/>
    <w:rsid w:val="44FA1E4B"/>
    <w:rsid w:val="45662FE1"/>
    <w:rsid w:val="460A7131"/>
    <w:rsid w:val="46635CC8"/>
    <w:rsid w:val="47185708"/>
    <w:rsid w:val="473E4809"/>
    <w:rsid w:val="48645079"/>
    <w:rsid w:val="49D00D3C"/>
    <w:rsid w:val="4A185BDF"/>
    <w:rsid w:val="4A55249E"/>
    <w:rsid w:val="4A5F0B07"/>
    <w:rsid w:val="4B4B3B1C"/>
    <w:rsid w:val="4B8657BB"/>
    <w:rsid w:val="4BE53E68"/>
    <w:rsid w:val="4D8A0AA2"/>
    <w:rsid w:val="4D9E7DF9"/>
    <w:rsid w:val="4DD74D3E"/>
    <w:rsid w:val="4EC407F4"/>
    <w:rsid w:val="4F1F359E"/>
    <w:rsid w:val="50B24AD7"/>
    <w:rsid w:val="50D86EB5"/>
    <w:rsid w:val="51473B6E"/>
    <w:rsid w:val="51AD1800"/>
    <w:rsid w:val="51BD1AA8"/>
    <w:rsid w:val="51D95274"/>
    <w:rsid w:val="51F14A54"/>
    <w:rsid w:val="51FD7227"/>
    <w:rsid w:val="54255427"/>
    <w:rsid w:val="54D849EA"/>
    <w:rsid w:val="552D6047"/>
    <w:rsid w:val="55CE0C36"/>
    <w:rsid w:val="55D54EC2"/>
    <w:rsid w:val="561A1CB0"/>
    <w:rsid w:val="562E66F9"/>
    <w:rsid w:val="56416487"/>
    <w:rsid w:val="569432D2"/>
    <w:rsid w:val="569D7A18"/>
    <w:rsid w:val="576D5960"/>
    <w:rsid w:val="57820B1C"/>
    <w:rsid w:val="586405B0"/>
    <w:rsid w:val="589D382E"/>
    <w:rsid w:val="59225598"/>
    <w:rsid w:val="59EC2E3F"/>
    <w:rsid w:val="5AF42129"/>
    <w:rsid w:val="5D8A6039"/>
    <w:rsid w:val="5DAB36F9"/>
    <w:rsid w:val="5DCA2F88"/>
    <w:rsid w:val="5FD75FB4"/>
    <w:rsid w:val="607B15DB"/>
    <w:rsid w:val="61092D41"/>
    <w:rsid w:val="622738F8"/>
    <w:rsid w:val="622C332F"/>
    <w:rsid w:val="649C3928"/>
    <w:rsid w:val="66D670D0"/>
    <w:rsid w:val="66F7391C"/>
    <w:rsid w:val="6713574F"/>
    <w:rsid w:val="67516E60"/>
    <w:rsid w:val="69131FCE"/>
    <w:rsid w:val="69F06389"/>
    <w:rsid w:val="6A990705"/>
    <w:rsid w:val="6B41339C"/>
    <w:rsid w:val="6B5A5904"/>
    <w:rsid w:val="6B7041D4"/>
    <w:rsid w:val="6C04282B"/>
    <w:rsid w:val="6D2A72F9"/>
    <w:rsid w:val="6DB71ACA"/>
    <w:rsid w:val="6DEF7A6F"/>
    <w:rsid w:val="6ED109B4"/>
    <w:rsid w:val="6F6B5E81"/>
    <w:rsid w:val="703135D7"/>
    <w:rsid w:val="7068237B"/>
    <w:rsid w:val="70C8173E"/>
    <w:rsid w:val="722B0A57"/>
    <w:rsid w:val="724C6614"/>
    <w:rsid w:val="7275384B"/>
    <w:rsid w:val="73183E88"/>
    <w:rsid w:val="73336DB2"/>
    <w:rsid w:val="7351563A"/>
    <w:rsid w:val="73585386"/>
    <w:rsid w:val="73954C7F"/>
    <w:rsid w:val="752D267E"/>
    <w:rsid w:val="75A178A3"/>
    <w:rsid w:val="75CC0637"/>
    <w:rsid w:val="75D46A98"/>
    <w:rsid w:val="776076C7"/>
    <w:rsid w:val="77793C6F"/>
    <w:rsid w:val="778A5CF6"/>
    <w:rsid w:val="77E409F0"/>
    <w:rsid w:val="7842678A"/>
    <w:rsid w:val="796C2DDF"/>
    <w:rsid w:val="79910086"/>
    <w:rsid w:val="7AB2148E"/>
    <w:rsid w:val="7B250918"/>
    <w:rsid w:val="7B391A4A"/>
    <w:rsid w:val="7C544E68"/>
    <w:rsid w:val="7D95705D"/>
    <w:rsid w:val="7DBA48EA"/>
    <w:rsid w:val="7E12214C"/>
    <w:rsid w:val="7E5F63A8"/>
    <w:rsid w:val="7E9E2296"/>
    <w:rsid w:val="7EAA5061"/>
    <w:rsid w:val="7F037B69"/>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2</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2020-06-05T12:10:26Z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