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val="0"/>
        <w:tabs>
          <w:tab w:val="right" w:pos="9639"/>
        </w:tabs>
        <w:overflowPunct w:val="0"/>
        <w:autoSpaceDE w:val="0"/>
        <w:autoSpaceDN w:val="0"/>
        <w:adjustRightInd w:val="0"/>
        <w:spacing w:after="0" w:line="240" w:lineRule="auto"/>
        <w:textAlignment w:val="baseline"/>
        <w:rPr>
          <w:rFonts w:hint="default" w:ascii="Arial" w:hAnsi="Arial" w:eastAsia="宋体" w:cs="Times New Roman"/>
          <w:b/>
          <w:bCs/>
          <w:sz w:val="24"/>
          <w:szCs w:val="24"/>
          <w:lang w:val="en-US" w:eastAsia="zh-CN"/>
        </w:rPr>
      </w:pPr>
      <w:r>
        <w:rPr>
          <w:rFonts w:hint="eastAsia" w:ascii="Arial" w:hAnsi="Arial" w:eastAsia="宋体" w:cs="Times New Roman"/>
          <w:b/>
          <w:bCs/>
          <w:sz w:val="24"/>
          <w:szCs w:val="24"/>
          <w:lang w:val="en-GB"/>
        </w:rPr>
        <w:t>3GPP TSG-RAN WG4 Meeting #94</w:t>
      </w:r>
      <w:r>
        <w:rPr>
          <w:rFonts w:hint="eastAsia" w:ascii="Arial" w:hAnsi="Arial" w:cs="Times New Roman"/>
          <w:b/>
          <w:bCs/>
          <w:sz w:val="24"/>
          <w:szCs w:val="24"/>
          <w:lang w:val="en-US" w:eastAsia="zh-CN"/>
        </w:rPr>
        <w:t>-e</w:t>
      </w:r>
      <w:r>
        <w:rPr>
          <w:rFonts w:hint="eastAsia" w:ascii="Arial" w:hAnsi="Arial" w:eastAsia="宋体" w:cs="Times New Roman"/>
          <w:b/>
          <w:bCs/>
          <w:sz w:val="24"/>
          <w:szCs w:val="24"/>
          <w:lang w:val="en-GB"/>
        </w:rPr>
        <w:tab/>
      </w:r>
      <w:r>
        <w:rPr>
          <w:rFonts w:hint="eastAsia" w:ascii="Arial" w:hAnsi="Arial" w:eastAsia="宋体" w:cs="Times New Roman"/>
          <w:b/>
          <w:bCs/>
          <w:sz w:val="24"/>
          <w:szCs w:val="24"/>
          <w:lang w:val="en-GB"/>
        </w:rPr>
        <w:t>R4-2000510</w:t>
      </w:r>
      <w:bookmarkStart w:id="2" w:name="_GoBack"/>
      <w:bookmarkEnd w:id="2"/>
    </w:p>
    <w:p>
      <w:pPr>
        <w:widowControl w:val="0"/>
        <w:tabs>
          <w:tab w:val="right" w:pos="9639"/>
        </w:tabs>
        <w:overflowPunct w:val="0"/>
        <w:autoSpaceDE w:val="0"/>
        <w:autoSpaceDN w:val="0"/>
        <w:adjustRightInd w:val="0"/>
        <w:spacing w:after="0" w:line="240" w:lineRule="auto"/>
        <w:textAlignment w:val="baseline"/>
        <w:rPr>
          <w:rFonts w:hint="eastAsia" w:eastAsia="宋体"/>
          <w:b/>
          <w:sz w:val="24"/>
          <w:lang w:val="en-US" w:eastAsia="zh-CN"/>
        </w:rPr>
      </w:pPr>
      <w:r>
        <w:rPr>
          <w:rFonts w:hint="eastAsia" w:ascii="Arial" w:hAnsi="Arial" w:cs="Times New Roman"/>
          <w:b/>
          <w:bCs/>
          <w:sz w:val="24"/>
          <w:szCs w:val="24"/>
          <w:lang w:val="en-US" w:eastAsia="zh-CN"/>
        </w:rPr>
        <w:t>Online</w:t>
      </w:r>
      <w:r>
        <w:rPr>
          <w:rFonts w:hint="eastAsia" w:ascii="Arial" w:hAnsi="Arial" w:eastAsia="宋体" w:cs="Times New Roman"/>
          <w:b/>
          <w:bCs/>
          <w:sz w:val="24"/>
          <w:szCs w:val="24"/>
          <w:lang w:val="en-GB"/>
        </w:rPr>
        <w:t>, 24 February</w:t>
      </w:r>
      <w:r>
        <w:rPr>
          <w:rFonts w:hint="eastAsia" w:ascii="Arial" w:hAnsi="Arial" w:cs="Times New Roman"/>
          <w:b/>
          <w:bCs/>
          <w:sz w:val="24"/>
          <w:szCs w:val="24"/>
          <w:lang w:val="en-US" w:eastAsia="zh-CN"/>
        </w:rPr>
        <w:t xml:space="preserve"> - 6 March</w:t>
      </w:r>
      <w:r>
        <w:rPr>
          <w:rFonts w:hint="eastAsia" w:ascii="Arial" w:hAnsi="Arial" w:eastAsia="宋体" w:cs="Times New Roman"/>
          <w:b/>
          <w:bCs/>
          <w:sz w:val="24"/>
          <w:szCs w:val="24"/>
          <w:lang w:val="en-GB"/>
        </w:rPr>
        <w:t>, 2020</w:t>
      </w:r>
    </w:p>
    <w:tbl>
      <w:tblPr>
        <w:tblStyle w:val="48"/>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Layout w:type="fixed"/>
        </w:tblPrEx>
        <w:tc>
          <w:tcPr>
            <w:tcW w:w="9641" w:type="dxa"/>
            <w:gridSpan w:val="9"/>
            <w:tcBorders>
              <w:top w:val="single" w:color="auto" w:sz="4" w:space="0"/>
              <w:left w:val="single" w:color="auto" w:sz="4" w:space="0"/>
              <w:right w:val="single" w:color="auto" w:sz="4" w:space="0"/>
            </w:tcBorders>
          </w:tcPr>
          <w:p>
            <w:pPr>
              <w:pStyle w:val="83"/>
              <w:spacing w:after="0"/>
              <w:jc w:val="right"/>
              <w:rPr>
                <w:i/>
              </w:rPr>
            </w:pPr>
            <w:r>
              <w:rPr>
                <w:i/>
                <w:sz w:val="14"/>
              </w:rPr>
              <w:t>CR-Form-v12.0</w:t>
            </w:r>
          </w:p>
        </w:tc>
      </w:tr>
      <w:tr>
        <w:tblPrEx>
          <w:tblLayout w:type="fixed"/>
        </w:tblPrEx>
        <w:tc>
          <w:tcPr>
            <w:tcW w:w="9641" w:type="dxa"/>
            <w:gridSpan w:val="9"/>
            <w:tcBorders>
              <w:left w:val="single" w:color="auto" w:sz="4" w:space="0"/>
              <w:right w:val="single" w:color="auto" w:sz="4" w:space="0"/>
            </w:tcBorders>
          </w:tcPr>
          <w:p>
            <w:pPr>
              <w:pStyle w:val="83"/>
              <w:spacing w:after="0"/>
              <w:jc w:val="center"/>
            </w:pPr>
            <w:r>
              <w:rPr>
                <w:b/>
                <w:sz w:val="32"/>
              </w:rPr>
              <w:t>CHANGE REQUEST</w:t>
            </w:r>
          </w:p>
        </w:tc>
      </w:tr>
      <w:tr>
        <w:tblPrEx>
          <w:tblLayout w:type="fixed"/>
        </w:tblPrEx>
        <w:tc>
          <w:tcPr>
            <w:tcW w:w="9641" w:type="dxa"/>
            <w:gridSpan w:val="9"/>
            <w:tcBorders>
              <w:left w:val="single" w:color="auto" w:sz="4" w:space="0"/>
              <w:right w:val="single" w:color="auto" w:sz="4" w:space="0"/>
            </w:tcBorders>
          </w:tcPr>
          <w:p>
            <w:pPr>
              <w:pStyle w:val="83"/>
              <w:spacing w:after="0"/>
              <w:rPr>
                <w:sz w:val="8"/>
                <w:szCs w:val="8"/>
              </w:rPr>
            </w:pPr>
          </w:p>
        </w:tc>
      </w:tr>
      <w:tr>
        <w:tblPrEx>
          <w:tblLayout w:type="fixed"/>
        </w:tblPrEx>
        <w:tc>
          <w:tcPr>
            <w:tcW w:w="142" w:type="dxa"/>
            <w:tcBorders>
              <w:left w:val="single" w:color="auto" w:sz="4" w:space="0"/>
            </w:tcBorders>
          </w:tcPr>
          <w:p>
            <w:pPr>
              <w:pStyle w:val="83"/>
              <w:spacing w:after="0"/>
              <w:jc w:val="right"/>
            </w:pPr>
          </w:p>
        </w:tc>
        <w:tc>
          <w:tcPr>
            <w:tcW w:w="1559" w:type="dxa"/>
            <w:shd w:val="pct30" w:color="FFFF00" w:fill="auto"/>
          </w:tcPr>
          <w:p>
            <w:pPr>
              <w:pStyle w:val="83"/>
              <w:spacing w:after="0"/>
              <w:jc w:val="right"/>
              <w:rPr>
                <w:b/>
                <w:sz w:val="28"/>
              </w:rPr>
            </w:pPr>
            <w:r>
              <w:rPr>
                <w:rFonts w:hint="eastAsia" w:eastAsia="宋体"/>
                <w:b/>
                <w:sz w:val="28"/>
                <w:lang w:val="en-US" w:eastAsia="zh-CN"/>
              </w:rPr>
              <w:t>38.133</w:t>
            </w:r>
          </w:p>
        </w:tc>
        <w:tc>
          <w:tcPr>
            <w:tcW w:w="709" w:type="dxa"/>
          </w:tcPr>
          <w:p>
            <w:pPr>
              <w:pStyle w:val="83"/>
              <w:spacing w:after="0"/>
              <w:jc w:val="center"/>
            </w:pPr>
            <w:r>
              <w:rPr>
                <w:b/>
                <w:sz w:val="28"/>
              </w:rPr>
              <w:t>CR</w:t>
            </w:r>
          </w:p>
        </w:tc>
        <w:tc>
          <w:tcPr>
            <w:tcW w:w="1276" w:type="dxa"/>
            <w:shd w:val="pct30" w:color="FFFF00" w:fill="auto"/>
          </w:tcPr>
          <w:p>
            <w:pPr>
              <w:pStyle w:val="83"/>
              <w:spacing w:after="0"/>
              <w:rPr>
                <w:rFonts w:hint="default"/>
                <w:lang w:val="en-US"/>
              </w:rPr>
            </w:pPr>
            <w:r>
              <w:rPr>
                <w:rFonts w:hint="eastAsia" w:eastAsia="宋体"/>
                <w:b/>
                <w:sz w:val="28"/>
                <w:lang w:val="en-US" w:eastAsia="zh-CN"/>
              </w:rPr>
              <w:t>0441</w:t>
            </w:r>
          </w:p>
        </w:tc>
        <w:tc>
          <w:tcPr>
            <w:tcW w:w="709" w:type="dxa"/>
          </w:tcPr>
          <w:p>
            <w:pPr>
              <w:pStyle w:val="83"/>
              <w:tabs>
                <w:tab w:val="right" w:pos="625"/>
              </w:tabs>
              <w:spacing w:after="0"/>
              <w:jc w:val="center"/>
            </w:pPr>
            <w:r>
              <w:rPr>
                <w:b/>
                <w:bCs/>
                <w:sz w:val="28"/>
              </w:rPr>
              <w:t>rev</w:t>
            </w:r>
          </w:p>
        </w:tc>
        <w:tc>
          <w:tcPr>
            <w:tcW w:w="992" w:type="dxa"/>
            <w:shd w:val="pct30" w:color="FFFF00" w:fill="auto"/>
          </w:tcPr>
          <w:p>
            <w:pPr>
              <w:pStyle w:val="83"/>
              <w:spacing w:after="0"/>
              <w:jc w:val="center"/>
              <w:rPr>
                <w:b/>
              </w:rPr>
            </w:pPr>
            <w:r>
              <w:t>-</w:t>
            </w:r>
          </w:p>
        </w:tc>
        <w:tc>
          <w:tcPr>
            <w:tcW w:w="2410" w:type="dxa"/>
          </w:tcPr>
          <w:p>
            <w:pPr>
              <w:pStyle w:val="83"/>
              <w:tabs>
                <w:tab w:val="right" w:pos="1825"/>
              </w:tabs>
              <w:spacing w:after="0"/>
              <w:jc w:val="center"/>
            </w:pPr>
            <w:r>
              <w:rPr>
                <w:b/>
                <w:sz w:val="28"/>
                <w:szCs w:val="28"/>
              </w:rPr>
              <w:t>Current version:</w:t>
            </w:r>
          </w:p>
        </w:tc>
        <w:tc>
          <w:tcPr>
            <w:tcW w:w="1701" w:type="dxa"/>
            <w:shd w:val="pct30" w:color="FFFF00" w:fill="auto"/>
          </w:tcPr>
          <w:p>
            <w:pPr>
              <w:pStyle w:val="83"/>
              <w:spacing w:after="0"/>
              <w:jc w:val="center"/>
              <w:rPr>
                <w:rFonts w:hint="default" w:eastAsia="宋体"/>
                <w:sz w:val="28"/>
                <w:lang w:val="en-US" w:eastAsia="zh-CN"/>
              </w:rPr>
            </w:pPr>
            <w:r>
              <w:rPr>
                <w:rFonts w:hint="eastAsia" w:eastAsia="宋体"/>
                <w:b/>
                <w:sz w:val="28"/>
                <w:szCs w:val="22"/>
                <w:lang w:val="en-US" w:eastAsia="zh-CN"/>
              </w:rPr>
              <w:t>16.2.0</w:t>
            </w:r>
          </w:p>
        </w:tc>
        <w:tc>
          <w:tcPr>
            <w:tcW w:w="143" w:type="dxa"/>
            <w:tcBorders>
              <w:right w:val="single" w:color="auto" w:sz="4" w:space="0"/>
            </w:tcBorders>
          </w:tcPr>
          <w:p>
            <w:pPr>
              <w:pStyle w:val="83"/>
              <w:spacing w:after="0"/>
            </w:pPr>
          </w:p>
        </w:tc>
      </w:tr>
      <w:tr>
        <w:tblPrEx>
          <w:tblLayout w:type="fixed"/>
        </w:tblPrEx>
        <w:tc>
          <w:tcPr>
            <w:tcW w:w="9641" w:type="dxa"/>
            <w:gridSpan w:val="9"/>
            <w:tcBorders>
              <w:left w:val="single" w:color="auto" w:sz="4" w:space="0"/>
              <w:right w:val="single" w:color="auto" w:sz="4" w:space="0"/>
            </w:tcBorders>
          </w:tcPr>
          <w:p>
            <w:pPr>
              <w:pStyle w:val="83"/>
              <w:spacing w:after="0"/>
            </w:pPr>
          </w:p>
        </w:tc>
      </w:tr>
      <w:tr>
        <w:tblPrEx>
          <w:tblLayout w:type="fixed"/>
        </w:tblPrEx>
        <w:tc>
          <w:tcPr>
            <w:tcW w:w="9641" w:type="dxa"/>
            <w:gridSpan w:val="9"/>
            <w:tcBorders>
              <w:top w:val="single" w:color="auto" w:sz="4" w:space="0"/>
            </w:tcBorders>
          </w:tcPr>
          <w:p>
            <w:pPr>
              <w:pStyle w:val="83"/>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Layout w:type="fixed"/>
        </w:tblPrEx>
        <w:tc>
          <w:tcPr>
            <w:tcW w:w="9641" w:type="dxa"/>
            <w:gridSpan w:val="9"/>
          </w:tcPr>
          <w:p>
            <w:pPr>
              <w:pStyle w:val="83"/>
              <w:spacing w:after="0"/>
              <w:rPr>
                <w:sz w:val="8"/>
                <w:szCs w:val="8"/>
              </w:rPr>
            </w:pPr>
          </w:p>
        </w:tc>
      </w:tr>
    </w:tbl>
    <w:p>
      <w:pPr>
        <w:rPr>
          <w:sz w:val="8"/>
          <w:szCs w:val="8"/>
        </w:rPr>
      </w:pPr>
    </w:p>
    <w:tbl>
      <w:tblPr>
        <w:tblStyle w:val="48"/>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Layout w:type="fixed"/>
          <w:tblCellMar>
            <w:top w:w="0" w:type="dxa"/>
            <w:left w:w="42" w:type="dxa"/>
            <w:bottom w:w="0" w:type="dxa"/>
            <w:right w:w="42" w:type="dxa"/>
          </w:tblCellMar>
        </w:tblPrEx>
        <w:tc>
          <w:tcPr>
            <w:tcW w:w="2835" w:type="dxa"/>
          </w:tcPr>
          <w:p>
            <w:pPr>
              <w:pStyle w:val="83"/>
              <w:tabs>
                <w:tab w:val="right" w:pos="2751"/>
              </w:tabs>
              <w:spacing w:after="0"/>
              <w:rPr>
                <w:b/>
                <w:i/>
              </w:rPr>
            </w:pPr>
            <w:r>
              <w:rPr>
                <w:b/>
                <w:i/>
              </w:rPr>
              <w:t>Proposed change affects:</w:t>
            </w:r>
          </w:p>
        </w:tc>
        <w:tc>
          <w:tcPr>
            <w:tcW w:w="1418" w:type="dxa"/>
          </w:tcPr>
          <w:p>
            <w:pPr>
              <w:pStyle w:val="83"/>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3"/>
              <w:spacing w:after="0"/>
              <w:jc w:val="center"/>
              <w:rPr>
                <w:b/>
                <w:caps/>
              </w:rPr>
            </w:pPr>
          </w:p>
        </w:tc>
        <w:tc>
          <w:tcPr>
            <w:tcW w:w="709" w:type="dxa"/>
            <w:tcBorders>
              <w:left w:val="single" w:color="auto" w:sz="4" w:space="0"/>
            </w:tcBorders>
          </w:tcPr>
          <w:p>
            <w:pPr>
              <w:pStyle w:val="83"/>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3"/>
              <w:spacing w:after="0"/>
              <w:jc w:val="center"/>
              <w:rPr>
                <w:rFonts w:hint="eastAsia" w:eastAsia="宋体"/>
                <w:b/>
                <w:caps/>
                <w:lang w:val="en-US" w:eastAsia="zh-CN"/>
              </w:rPr>
            </w:pPr>
          </w:p>
        </w:tc>
        <w:tc>
          <w:tcPr>
            <w:tcW w:w="2126" w:type="dxa"/>
          </w:tcPr>
          <w:p>
            <w:pPr>
              <w:pStyle w:val="83"/>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3"/>
              <w:spacing w:after="0"/>
              <w:jc w:val="center"/>
              <w:rPr>
                <w:b/>
                <w:caps/>
              </w:rPr>
            </w:pPr>
            <w:r>
              <w:rPr>
                <w:b/>
                <w:caps/>
              </w:rPr>
              <w:t>x</w:t>
            </w:r>
          </w:p>
        </w:tc>
        <w:tc>
          <w:tcPr>
            <w:tcW w:w="1418" w:type="dxa"/>
            <w:tcBorders>
              <w:left w:val="nil"/>
            </w:tcBorders>
          </w:tcPr>
          <w:p>
            <w:pPr>
              <w:pStyle w:val="83"/>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3"/>
              <w:spacing w:after="0"/>
              <w:jc w:val="center"/>
              <w:rPr>
                <w:b/>
                <w:bCs/>
                <w:caps/>
              </w:rPr>
            </w:pPr>
          </w:p>
        </w:tc>
      </w:tr>
    </w:tbl>
    <w:p>
      <w:pPr>
        <w:rPr>
          <w:sz w:val="8"/>
          <w:szCs w:val="8"/>
        </w:rPr>
      </w:pPr>
    </w:p>
    <w:tbl>
      <w:tblPr>
        <w:tblStyle w:val="48"/>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Layout w:type="fixed"/>
          <w:tblCellMar>
            <w:top w:w="0" w:type="dxa"/>
            <w:left w:w="42" w:type="dxa"/>
            <w:bottom w:w="0" w:type="dxa"/>
            <w:right w:w="42" w:type="dxa"/>
          </w:tblCellMar>
        </w:tblPrEx>
        <w:tc>
          <w:tcPr>
            <w:tcW w:w="9640" w:type="dxa"/>
            <w:gridSpan w:val="11"/>
          </w:tcPr>
          <w:p>
            <w:pPr>
              <w:pStyle w:val="83"/>
              <w:spacing w:after="0"/>
              <w:rPr>
                <w:sz w:val="8"/>
                <w:szCs w:val="8"/>
              </w:rPr>
            </w:pPr>
          </w:p>
        </w:tc>
      </w:tr>
      <w:tr>
        <w:tblPrEx>
          <w:tblLayout w:type="fixed"/>
          <w:tblCellMar>
            <w:top w:w="0" w:type="dxa"/>
            <w:left w:w="42" w:type="dxa"/>
            <w:bottom w:w="0" w:type="dxa"/>
            <w:right w:w="42" w:type="dxa"/>
          </w:tblCellMar>
        </w:tblPrEx>
        <w:tc>
          <w:tcPr>
            <w:tcW w:w="1843" w:type="dxa"/>
            <w:tcBorders>
              <w:top w:val="single" w:color="auto" w:sz="4" w:space="0"/>
              <w:left w:val="single" w:color="auto" w:sz="4" w:space="0"/>
            </w:tcBorders>
          </w:tcPr>
          <w:p>
            <w:pPr>
              <w:pStyle w:val="83"/>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3"/>
              <w:spacing w:after="0"/>
              <w:ind w:left="100"/>
              <w:rPr>
                <w:rFonts w:hint="default" w:eastAsia="宋体"/>
                <w:lang w:val="en-US" w:eastAsia="zh-CN"/>
              </w:rPr>
            </w:pPr>
            <w:r>
              <w:rPr>
                <w:rFonts w:hint="eastAsia" w:eastAsia="宋体"/>
                <w:lang w:val="en-US" w:eastAsia="zh-CN"/>
              </w:rPr>
              <w:t>Editorial corrections for 38.133 Core Part R16 (Cat A)</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3"/>
              <w:spacing w:after="0"/>
              <w:rPr>
                <w:b/>
                <w:i/>
                <w:sz w:val="8"/>
                <w:szCs w:val="8"/>
              </w:rPr>
            </w:pPr>
          </w:p>
        </w:tc>
        <w:tc>
          <w:tcPr>
            <w:tcW w:w="7797" w:type="dxa"/>
            <w:gridSpan w:val="10"/>
            <w:tcBorders>
              <w:right w:val="single" w:color="auto" w:sz="4" w:space="0"/>
            </w:tcBorders>
          </w:tcPr>
          <w:p>
            <w:pPr>
              <w:pStyle w:val="83"/>
              <w:spacing w:after="0"/>
              <w:rPr>
                <w:sz w:val="8"/>
                <w:szCs w:val="8"/>
              </w:rPr>
            </w:pP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3"/>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3"/>
              <w:spacing w:after="0"/>
              <w:ind w:left="100"/>
            </w:pPr>
            <w:r>
              <w:t>ZTE Corporation</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3"/>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3"/>
              <w:spacing w:after="0"/>
              <w:ind w:left="100"/>
            </w:pPr>
            <w:r>
              <w:t>R4</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3"/>
              <w:spacing w:after="0"/>
              <w:rPr>
                <w:b/>
                <w:i/>
                <w:sz w:val="8"/>
                <w:szCs w:val="8"/>
              </w:rPr>
            </w:pPr>
          </w:p>
        </w:tc>
        <w:tc>
          <w:tcPr>
            <w:tcW w:w="7797" w:type="dxa"/>
            <w:gridSpan w:val="10"/>
            <w:tcBorders>
              <w:right w:val="single" w:color="auto" w:sz="4" w:space="0"/>
            </w:tcBorders>
          </w:tcPr>
          <w:p>
            <w:pPr>
              <w:pStyle w:val="83"/>
              <w:spacing w:after="0"/>
              <w:rPr>
                <w:sz w:val="8"/>
                <w:szCs w:val="8"/>
              </w:rPr>
            </w:pP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3"/>
              <w:tabs>
                <w:tab w:val="right" w:pos="1759"/>
              </w:tabs>
              <w:spacing w:after="0"/>
              <w:rPr>
                <w:b/>
                <w:i/>
              </w:rPr>
            </w:pPr>
            <w:r>
              <w:rPr>
                <w:b/>
                <w:i/>
              </w:rPr>
              <w:t>Work item code:</w:t>
            </w:r>
          </w:p>
        </w:tc>
        <w:tc>
          <w:tcPr>
            <w:tcW w:w="3686" w:type="dxa"/>
            <w:gridSpan w:val="5"/>
            <w:shd w:val="pct30" w:color="FFFF00" w:fill="auto"/>
          </w:tcPr>
          <w:p>
            <w:pPr>
              <w:pStyle w:val="83"/>
              <w:spacing w:after="0"/>
              <w:ind w:left="100"/>
            </w:pPr>
            <w:r>
              <w:rPr>
                <w:rFonts w:ascii="Arial" w:hAnsi="Arial" w:cs="Arial"/>
                <w:sz w:val="21"/>
                <w:szCs w:val="21"/>
                <w:lang w:eastAsia="ja-JP"/>
              </w:rPr>
              <w:t>NR_newRAT-Core</w:t>
            </w:r>
          </w:p>
        </w:tc>
        <w:tc>
          <w:tcPr>
            <w:tcW w:w="567" w:type="dxa"/>
            <w:tcBorders>
              <w:left w:val="nil"/>
            </w:tcBorders>
          </w:tcPr>
          <w:p>
            <w:pPr>
              <w:pStyle w:val="83"/>
              <w:spacing w:after="0"/>
              <w:ind w:right="100"/>
            </w:pPr>
          </w:p>
        </w:tc>
        <w:tc>
          <w:tcPr>
            <w:tcW w:w="1417" w:type="dxa"/>
            <w:gridSpan w:val="3"/>
            <w:tcBorders>
              <w:left w:val="nil"/>
            </w:tcBorders>
          </w:tcPr>
          <w:p>
            <w:pPr>
              <w:pStyle w:val="83"/>
              <w:spacing w:after="0"/>
              <w:jc w:val="right"/>
            </w:pPr>
            <w:r>
              <w:rPr>
                <w:b/>
                <w:i/>
              </w:rPr>
              <w:t>Date:</w:t>
            </w:r>
          </w:p>
        </w:tc>
        <w:tc>
          <w:tcPr>
            <w:tcW w:w="2127" w:type="dxa"/>
            <w:tcBorders>
              <w:right w:val="single" w:color="auto" w:sz="4" w:space="0"/>
            </w:tcBorders>
            <w:shd w:val="pct30" w:color="FFFF00" w:fill="auto"/>
          </w:tcPr>
          <w:p>
            <w:pPr>
              <w:pStyle w:val="83"/>
              <w:spacing w:after="0"/>
              <w:ind w:left="100"/>
              <w:rPr>
                <w:rFonts w:hint="default" w:eastAsia="宋体"/>
                <w:lang w:val="en-US" w:eastAsia="zh-CN"/>
              </w:rPr>
            </w:pPr>
            <w:r>
              <w:t>20</w:t>
            </w:r>
            <w:r>
              <w:rPr>
                <w:rFonts w:hint="eastAsia" w:eastAsia="宋体"/>
                <w:lang w:val="en-US" w:eastAsia="zh-CN"/>
              </w:rPr>
              <w:t>20-02-13</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3"/>
              <w:spacing w:after="0"/>
              <w:rPr>
                <w:b/>
                <w:i/>
                <w:sz w:val="8"/>
                <w:szCs w:val="8"/>
              </w:rPr>
            </w:pPr>
          </w:p>
        </w:tc>
        <w:tc>
          <w:tcPr>
            <w:tcW w:w="1986" w:type="dxa"/>
            <w:gridSpan w:val="4"/>
          </w:tcPr>
          <w:p>
            <w:pPr>
              <w:pStyle w:val="83"/>
              <w:spacing w:after="0"/>
              <w:rPr>
                <w:sz w:val="8"/>
                <w:szCs w:val="8"/>
              </w:rPr>
            </w:pPr>
          </w:p>
        </w:tc>
        <w:tc>
          <w:tcPr>
            <w:tcW w:w="2267" w:type="dxa"/>
            <w:gridSpan w:val="2"/>
          </w:tcPr>
          <w:p>
            <w:pPr>
              <w:pStyle w:val="83"/>
              <w:spacing w:after="0"/>
              <w:rPr>
                <w:sz w:val="8"/>
                <w:szCs w:val="8"/>
              </w:rPr>
            </w:pPr>
          </w:p>
        </w:tc>
        <w:tc>
          <w:tcPr>
            <w:tcW w:w="1417" w:type="dxa"/>
            <w:gridSpan w:val="3"/>
          </w:tcPr>
          <w:p>
            <w:pPr>
              <w:pStyle w:val="83"/>
              <w:spacing w:after="0"/>
              <w:rPr>
                <w:sz w:val="8"/>
                <w:szCs w:val="8"/>
              </w:rPr>
            </w:pPr>
          </w:p>
        </w:tc>
        <w:tc>
          <w:tcPr>
            <w:tcW w:w="2127" w:type="dxa"/>
            <w:tcBorders>
              <w:right w:val="single" w:color="auto" w:sz="4" w:space="0"/>
            </w:tcBorders>
          </w:tcPr>
          <w:p>
            <w:pPr>
              <w:pStyle w:val="83"/>
              <w:spacing w:after="0"/>
              <w:rPr>
                <w:sz w:val="8"/>
                <w:szCs w:val="8"/>
              </w:rPr>
            </w:pPr>
          </w:p>
        </w:tc>
      </w:tr>
      <w:tr>
        <w:tblPrEx>
          <w:tblLayout w:type="fixed"/>
          <w:tblCellMar>
            <w:top w:w="0" w:type="dxa"/>
            <w:left w:w="42" w:type="dxa"/>
            <w:bottom w:w="0" w:type="dxa"/>
            <w:right w:w="42" w:type="dxa"/>
          </w:tblCellMar>
        </w:tblPrEx>
        <w:trPr>
          <w:cantSplit/>
        </w:trPr>
        <w:tc>
          <w:tcPr>
            <w:tcW w:w="1843" w:type="dxa"/>
            <w:tcBorders>
              <w:left w:val="single" w:color="auto" w:sz="4" w:space="0"/>
            </w:tcBorders>
          </w:tcPr>
          <w:p>
            <w:pPr>
              <w:pStyle w:val="83"/>
              <w:tabs>
                <w:tab w:val="right" w:pos="1759"/>
              </w:tabs>
              <w:spacing w:after="0"/>
              <w:rPr>
                <w:b/>
                <w:i/>
              </w:rPr>
            </w:pPr>
            <w:r>
              <w:rPr>
                <w:b/>
                <w:i/>
              </w:rPr>
              <w:t>Category:</w:t>
            </w:r>
          </w:p>
        </w:tc>
        <w:tc>
          <w:tcPr>
            <w:tcW w:w="851" w:type="dxa"/>
            <w:shd w:val="pct30" w:color="FFFF00" w:fill="auto"/>
          </w:tcPr>
          <w:p>
            <w:pPr>
              <w:pStyle w:val="83"/>
              <w:spacing w:after="0"/>
              <w:ind w:left="100" w:right="-609"/>
              <w:rPr>
                <w:rFonts w:hint="default" w:eastAsia="宋体"/>
                <w:b/>
                <w:lang w:val="en-US" w:eastAsia="zh-CN"/>
              </w:rPr>
            </w:pPr>
            <w:r>
              <w:rPr>
                <w:rFonts w:hint="eastAsia" w:eastAsia="宋体"/>
                <w:lang w:val="en-US" w:eastAsia="zh-CN"/>
              </w:rPr>
              <w:t>A</w:t>
            </w:r>
          </w:p>
        </w:tc>
        <w:tc>
          <w:tcPr>
            <w:tcW w:w="3402" w:type="dxa"/>
            <w:gridSpan w:val="5"/>
            <w:tcBorders>
              <w:left w:val="nil"/>
            </w:tcBorders>
          </w:tcPr>
          <w:p>
            <w:pPr>
              <w:pStyle w:val="83"/>
              <w:spacing w:after="0"/>
            </w:pPr>
          </w:p>
        </w:tc>
        <w:tc>
          <w:tcPr>
            <w:tcW w:w="1417" w:type="dxa"/>
            <w:gridSpan w:val="3"/>
            <w:tcBorders>
              <w:left w:val="nil"/>
            </w:tcBorders>
          </w:tcPr>
          <w:p>
            <w:pPr>
              <w:pStyle w:val="83"/>
              <w:spacing w:after="0"/>
              <w:jc w:val="right"/>
              <w:rPr>
                <w:b/>
                <w:i/>
              </w:rPr>
            </w:pPr>
            <w:r>
              <w:rPr>
                <w:b/>
                <w:i/>
              </w:rPr>
              <w:t>Release:</w:t>
            </w:r>
          </w:p>
        </w:tc>
        <w:tc>
          <w:tcPr>
            <w:tcW w:w="2127" w:type="dxa"/>
            <w:tcBorders>
              <w:right w:val="single" w:color="auto" w:sz="4" w:space="0"/>
            </w:tcBorders>
            <w:shd w:val="pct30" w:color="FFFF00" w:fill="auto"/>
          </w:tcPr>
          <w:p>
            <w:pPr>
              <w:pStyle w:val="83"/>
              <w:spacing w:after="0"/>
              <w:ind w:left="100"/>
              <w:rPr>
                <w:rFonts w:hint="default" w:eastAsia="宋体"/>
                <w:lang w:val="en-US" w:eastAsia="zh-CN"/>
              </w:rPr>
            </w:pPr>
            <w:r>
              <w:t>Rel-</w:t>
            </w:r>
            <w:r>
              <w:rPr>
                <w:rFonts w:hint="eastAsia" w:eastAsia="宋体"/>
                <w:lang w:val="en-US" w:eastAsia="zh-CN"/>
              </w:rPr>
              <w:t>16</w:t>
            </w:r>
          </w:p>
        </w:tc>
      </w:tr>
      <w:tr>
        <w:tblPrEx>
          <w:tblLayout w:type="fixed"/>
          <w:tblCellMar>
            <w:top w:w="0" w:type="dxa"/>
            <w:left w:w="42" w:type="dxa"/>
            <w:bottom w:w="0" w:type="dxa"/>
            <w:right w:w="42" w:type="dxa"/>
          </w:tblCellMar>
        </w:tblPrEx>
        <w:tc>
          <w:tcPr>
            <w:tcW w:w="1843" w:type="dxa"/>
            <w:tcBorders>
              <w:left w:val="single" w:color="auto" w:sz="4" w:space="0"/>
              <w:bottom w:val="single" w:color="auto" w:sz="4" w:space="0"/>
            </w:tcBorders>
          </w:tcPr>
          <w:p>
            <w:pPr>
              <w:pStyle w:val="83"/>
              <w:spacing w:after="0"/>
              <w:rPr>
                <w:b/>
                <w:i/>
              </w:rPr>
            </w:pPr>
          </w:p>
        </w:tc>
        <w:tc>
          <w:tcPr>
            <w:tcW w:w="4677" w:type="dxa"/>
            <w:gridSpan w:val="8"/>
            <w:tcBorders>
              <w:bottom w:val="single" w:color="auto" w:sz="4" w:space="0"/>
            </w:tcBorders>
          </w:tcPr>
          <w:p>
            <w:pPr>
              <w:pStyle w:val="83"/>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3"/>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3"/>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Rel-12</w:t>
            </w:r>
            <w:r>
              <w:rPr>
                <w:i/>
                <w:sz w:val="18"/>
              </w:rPr>
              <w:tab/>
            </w:r>
            <w:r>
              <w:rPr>
                <w:i/>
                <w:sz w:val="18"/>
              </w:rPr>
              <w:t>(Release 12)</w:t>
            </w:r>
            <w:r>
              <w:rPr>
                <w:i/>
                <w:sz w:val="18"/>
              </w:rPr>
              <w:br w:type="textWrapping"/>
            </w:r>
            <w:bookmarkStart w:id="1" w:name="OLE_LINK1"/>
            <w:r>
              <w:rPr>
                <w:i/>
                <w:sz w:val="18"/>
              </w:rPr>
              <w:t>Rel-13</w:t>
            </w:r>
            <w:r>
              <w:rPr>
                <w:i/>
                <w:sz w:val="18"/>
              </w:rPr>
              <w:tab/>
            </w:r>
            <w:r>
              <w:rPr>
                <w:i/>
                <w:sz w:val="18"/>
              </w:rPr>
              <w:t>(Release 13)</w:t>
            </w:r>
            <w:bookmarkEnd w:id="1"/>
            <w:r>
              <w:rPr>
                <w:i/>
                <w:sz w:val="18"/>
              </w:rPr>
              <w:br w:type="textWrapping"/>
            </w:r>
            <w:r>
              <w:rPr>
                <w:i/>
                <w:sz w:val="18"/>
              </w:rPr>
              <w:t>Rel-14</w:t>
            </w:r>
            <w:r>
              <w:rPr>
                <w:i/>
                <w:sz w:val="18"/>
              </w:rPr>
              <w:tab/>
            </w:r>
            <w:r>
              <w:rPr>
                <w:i/>
                <w:sz w:val="18"/>
              </w:rPr>
              <w:t>(Release 14)</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p>
        </w:tc>
      </w:tr>
      <w:tr>
        <w:tblPrEx>
          <w:tblLayout w:type="fixed"/>
          <w:tblCellMar>
            <w:top w:w="0" w:type="dxa"/>
            <w:left w:w="42" w:type="dxa"/>
            <w:bottom w:w="0" w:type="dxa"/>
            <w:right w:w="42" w:type="dxa"/>
          </w:tblCellMar>
        </w:tblPrEx>
        <w:tc>
          <w:tcPr>
            <w:tcW w:w="1843" w:type="dxa"/>
          </w:tcPr>
          <w:p>
            <w:pPr>
              <w:pStyle w:val="83"/>
              <w:spacing w:after="0"/>
              <w:rPr>
                <w:b/>
                <w:i/>
                <w:sz w:val="8"/>
                <w:szCs w:val="8"/>
              </w:rPr>
            </w:pPr>
          </w:p>
        </w:tc>
        <w:tc>
          <w:tcPr>
            <w:tcW w:w="7797" w:type="dxa"/>
            <w:gridSpan w:val="10"/>
          </w:tcPr>
          <w:p>
            <w:pPr>
              <w:pStyle w:val="83"/>
              <w:spacing w:after="0"/>
              <w:rPr>
                <w:sz w:val="8"/>
                <w:szCs w:val="8"/>
              </w:rPr>
            </w:pPr>
          </w:p>
        </w:tc>
      </w:tr>
      <w:tr>
        <w:tblPrEx>
          <w:tblLayout w:type="fixed"/>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3"/>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3"/>
              <w:numPr>
                <w:ilvl w:val="0"/>
                <w:numId w:val="1"/>
              </w:numPr>
              <w:spacing w:after="0"/>
              <w:ind w:left="111" w:leftChars="0" w:firstLine="0" w:firstLineChars="0"/>
              <w:rPr>
                <w:rFonts w:hint="default"/>
                <w:lang w:val="en-US"/>
              </w:rPr>
            </w:pPr>
            <w:r>
              <w:rPr>
                <w:rFonts w:hint="eastAsia" w:eastAsia="宋体"/>
                <w:lang w:val="en-US" w:eastAsia="zh-CN"/>
              </w:rPr>
              <w:t>In 9.1.1, the reference to the control of reporting is 36.331, should be 38.331.</w:t>
            </w:r>
          </w:p>
          <w:p>
            <w:pPr>
              <w:pStyle w:val="83"/>
              <w:numPr>
                <w:ilvl w:val="0"/>
                <w:numId w:val="1"/>
              </w:numPr>
              <w:spacing w:after="0"/>
              <w:ind w:left="111" w:leftChars="0" w:firstLine="0" w:firstLineChars="0"/>
              <w:rPr>
                <w:rFonts w:hint="default"/>
                <w:lang w:val="en-US"/>
              </w:rPr>
            </w:pPr>
            <w:r>
              <w:rPr>
                <w:rFonts w:hint="eastAsia" w:eastAsia="宋体"/>
                <w:lang w:val="en-US" w:eastAsia="zh-CN"/>
              </w:rPr>
              <w:t xml:space="preserve">The values in the two tables in </w:t>
            </w:r>
            <w:r>
              <w:rPr>
                <w:rFonts w:ascii="Arial" w:hAnsi="Arial"/>
              </w:rPr>
              <w:t>9.4.4.2.2.2</w:t>
            </w:r>
            <w:r>
              <w:rPr>
                <w:rFonts w:hint="eastAsia" w:eastAsia="宋体"/>
                <w:lang w:val="en-US" w:eastAsia="zh-CN"/>
              </w:rPr>
              <w:t xml:space="preserve"> are the minimum numbers of ACK/NACK transmissions. The header of the two tables are wrong currently. Number of transmissions and minimum number of transmissions are two totally different concepts.</w:t>
            </w:r>
          </w:p>
          <w:p>
            <w:pPr>
              <w:pStyle w:val="83"/>
              <w:numPr>
                <w:ilvl w:val="0"/>
                <w:numId w:val="1"/>
              </w:numPr>
              <w:spacing w:after="0"/>
              <w:ind w:left="111" w:leftChars="0" w:firstLine="0" w:firstLineChars="0"/>
              <w:rPr>
                <w:rFonts w:hint="default"/>
                <w:lang w:val="en-US"/>
              </w:rPr>
            </w:pPr>
            <w:r>
              <w:rPr>
                <w:rFonts w:hint="eastAsia" w:eastAsia="宋体"/>
                <w:lang w:val="en-US" w:eastAsia="zh-CN"/>
              </w:rPr>
              <w:t xml:space="preserve">In 8.10.3, the reference to where </w:t>
            </w:r>
            <w:r>
              <w:rPr>
                <w:rFonts w:eastAsia="Malgun Gothic"/>
                <w:lang w:eastAsia="zh-CN"/>
              </w:rPr>
              <w:t>T</w:t>
            </w:r>
            <w:r>
              <w:rPr>
                <w:rFonts w:eastAsia="Malgun Gothic"/>
                <w:vertAlign w:val="subscript"/>
                <w:lang w:eastAsia="zh-CN"/>
              </w:rPr>
              <w:t>HARQ</w:t>
            </w:r>
            <w:r>
              <w:rPr>
                <w:rFonts w:hint="eastAsia" w:eastAsia="宋体"/>
                <w:lang w:val="en-US" w:eastAsia="zh-CN"/>
              </w:rPr>
              <w:t xml:space="preserve"> is specified is wrong, it</w:t>
            </w:r>
            <w:r>
              <w:rPr>
                <w:rFonts w:hint="default" w:eastAsia="宋体"/>
                <w:lang w:val="en-US" w:eastAsia="zh-CN"/>
              </w:rPr>
              <w:t>’</w:t>
            </w:r>
            <w:r>
              <w:rPr>
                <w:rFonts w:hint="eastAsia" w:eastAsia="宋体"/>
                <w:lang w:val="en-US" w:eastAsia="zh-CN"/>
              </w:rPr>
              <w:t>s specified in clause 9.2.3 in 38.213.</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sz w:val="8"/>
                <w:szCs w:val="8"/>
              </w:rPr>
            </w:pPr>
          </w:p>
        </w:tc>
        <w:tc>
          <w:tcPr>
            <w:tcW w:w="6946" w:type="dxa"/>
            <w:gridSpan w:val="9"/>
            <w:tcBorders>
              <w:right w:val="single" w:color="auto" w:sz="4" w:space="0"/>
            </w:tcBorders>
          </w:tcPr>
          <w:p>
            <w:pPr>
              <w:pStyle w:val="83"/>
              <w:spacing w:after="0"/>
              <w:rPr>
                <w:sz w:val="8"/>
                <w:szCs w:val="8"/>
              </w:rPr>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3"/>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3"/>
              <w:numPr>
                <w:ilvl w:val="0"/>
                <w:numId w:val="0"/>
              </w:numPr>
              <w:spacing w:after="0"/>
              <w:ind w:firstLine="200" w:firstLineChars="100"/>
              <w:rPr>
                <w:rFonts w:hint="default" w:eastAsia="宋体"/>
                <w:lang w:val="en-US" w:eastAsia="zh-CN"/>
              </w:rPr>
            </w:pPr>
            <w:r>
              <w:rPr>
                <w:rFonts w:hint="eastAsia" w:eastAsia="宋体"/>
                <w:lang w:val="en-US" w:eastAsia="zh-CN"/>
              </w:rPr>
              <w:t>Correct the above editorial errors.</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sz w:val="8"/>
                <w:szCs w:val="8"/>
              </w:rPr>
            </w:pPr>
          </w:p>
        </w:tc>
        <w:tc>
          <w:tcPr>
            <w:tcW w:w="6946" w:type="dxa"/>
            <w:gridSpan w:val="9"/>
            <w:tcBorders>
              <w:right w:val="single" w:color="auto" w:sz="4" w:space="0"/>
            </w:tcBorders>
          </w:tcPr>
          <w:p>
            <w:pPr>
              <w:pStyle w:val="83"/>
              <w:spacing w:after="0"/>
              <w:rPr>
                <w:sz w:val="8"/>
                <w:szCs w:val="8"/>
              </w:rPr>
            </w:pPr>
          </w:p>
        </w:tc>
      </w:tr>
      <w:tr>
        <w:tblPrEx>
          <w:tblLayout w:type="fixed"/>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3"/>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3"/>
              <w:spacing w:after="0"/>
              <w:ind w:left="100"/>
              <w:rPr>
                <w:rFonts w:hint="default" w:eastAsia="宋体"/>
                <w:lang w:val="en-US" w:eastAsia="zh-CN"/>
              </w:rPr>
            </w:pPr>
            <w:r>
              <w:rPr>
                <w:rFonts w:hint="eastAsia" w:eastAsia="宋体"/>
                <w:lang w:val="en-US" w:eastAsia="zh-CN"/>
              </w:rPr>
              <w:t>The above editorial errors remain wrong.</w:t>
            </w:r>
          </w:p>
        </w:tc>
      </w:tr>
      <w:tr>
        <w:tblPrEx>
          <w:tblLayout w:type="fixed"/>
          <w:tblCellMar>
            <w:top w:w="0" w:type="dxa"/>
            <w:left w:w="42" w:type="dxa"/>
            <w:bottom w:w="0" w:type="dxa"/>
            <w:right w:w="42" w:type="dxa"/>
          </w:tblCellMar>
        </w:tblPrEx>
        <w:tc>
          <w:tcPr>
            <w:tcW w:w="2694" w:type="dxa"/>
            <w:gridSpan w:val="2"/>
          </w:tcPr>
          <w:p>
            <w:pPr>
              <w:pStyle w:val="83"/>
              <w:spacing w:after="0"/>
              <w:rPr>
                <w:b/>
                <w:i/>
                <w:sz w:val="8"/>
                <w:szCs w:val="8"/>
              </w:rPr>
            </w:pPr>
          </w:p>
        </w:tc>
        <w:tc>
          <w:tcPr>
            <w:tcW w:w="6946" w:type="dxa"/>
            <w:gridSpan w:val="9"/>
          </w:tcPr>
          <w:p>
            <w:pPr>
              <w:pStyle w:val="83"/>
              <w:spacing w:after="0"/>
              <w:rPr>
                <w:sz w:val="8"/>
                <w:szCs w:val="8"/>
              </w:rPr>
            </w:pPr>
          </w:p>
        </w:tc>
      </w:tr>
      <w:tr>
        <w:tblPrEx>
          <w:tblLayout w:type="fixed"/>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3"/>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3"/>
              <w:spacing w:after="0"/>
              <w:ind w:left="100"/>
              <w:rPr>
                <w:rFonts w:hint="default" w:eastAsia="宋体"/>
                <w:lang w:val="en-US" w:eastAsia="zh-CN"/>
              </w:rPr>
            </w:pPr>
            <w:r>
              <w:rPr>
                <w:rFonts w:hint="eastAsia" w:eastAsia="宋体"/>
                <w:lang w:val="en-US" w:eastAsia="zh-CN"/>
              </w:rPr>
              <w:t xml:space="preserve">8.10.3, </w:t>
            </w:r>
            <w:r>
              <w:rPr>
                <w:rFonts w:ascii="Arial" w:hAnsi="Arial"/>
              </w:rPr>
              <w:t>9.</w:t>
            </w:r>
            <w:r>
              <w:rPr>
                <w:rFonts w:hint="eastAsia" w:eastAsia="宋体"/>
                <w:lang w:val="en-US" w:eastAsia="zh-CN"/>
              </w:rPr>
              <w:t xml:space="preserve">1.1, </w:t>
            </w:r>
            <w:r>
              <w:rPr>
                <w:rFonts w:ascii="Arial" w:hAnsi="Arial"/>
              </w:rPr>
              <w:t>9.4.4.2.2.2</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sz w:val="8"/>
                <w:szCs w:val="8"/>
              </w:rPr>
            </w:pPr>
          </w:p>
        </w:tc>
        <w:tc>
          <w:tcPr>
            <w:tcW w:w="6946" w:type="dxa"/>
            <w:gridSpan w:val="9"/>
            <w:tcBorders>
              <w:right w:val="single" w:color="auto" w:sz="4" w:space="0"/>
            </w:tcBorders>
          </w:tcPr>
          <w:p>
            <w:pPr>
              <w:pStyle w:val="83"/>
              <w:spacing w:after="0"/>
              <w:rPr>
                <w:sz w:val="8"/>
                <w:szCs w:val="8"/>
              </w:rPr>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3"/>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3"/>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3"/>
              <w:spacing w:after="0"/>
              <w:jc w:val="center"/>
              <w:rPr>
                <w:b/>
                <w:caps/>
              </w:rPr>
            </w:pPr>
            <w:r>
              <w:rPr>
                <w:b/>
                <w:caps/>
              </w:rPr>
              <w:t>N</w:t>
            </w:r>
          </w:p>
        </w:tc>
        <w:tc>
          <w:tcPr>
            <w:tcW w:w="2977" w:type="dxa"/>
            <w:gridSpan w:val="4"/>
          </w:tcPr>
          <w:p>
            <w:pPr>
              <w:pStyle w:val="83"/>
              <w:tabs>
                <w:tab w:val="right" w:pos="2893"/>
              </w:tabs>
              <w:spacing w:after="0"/>
            </w:pPr>
          </w:p>
        </w:tc>
        <w:tc>
          <w:tcPr>
            <w:tcW w:w="3401" w:type="dxa"/>
            <w:gridSpan w:val="3"/>
            <w:tcBorders>
              <w:right w:val="single" w:color="auto" w:sz="4" w:space="0"/>
            </w:tcBorders>
            <w:shd w:val="clear" w:color="FFFF00" w:fill="auto"/>
          </w:tcPr>
          <w:p>
            <w:pPr>
              <w:pStyle w:val="83"/>
              <w:spacing w:after="0"/>
              <w:ind w:left="99"/>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3"/>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3"/>
              <w:spacing w:after="0"/>
              <w:jc w:val="center"/>
              <w:rPr>
                <w:rFonts w:hint="default" w:eastAsia="宋体"/>
                <w:b/>
                <w:caps/>
                <w:lang w:val="en-US" w:eastAsia="zh-CN"/>
              </w:rPr>
            </w:pPr>
            <w:r>
              <w:rPr>
                <w:rFonts w:hint="eastAsia" w:eastAsia="宋体"/>
                <w:b/>
                <w:caps/>
                <w:lang w:val="en-US" w:eastAsia="zh-CN"/>
              </w:rPr>
              <w:t>x</w:t>
            </w:r>
          </w:p>
        </w:tc>
        <w:tc>
          <w:tcPr>
            <w:tcW w:w="2977" w:type="dxa"/>
            <w:gridSpan w:val="4"/>
          </w:tcPr>
          <w:p>
            <w:pPr>
              <w:pStyle w:val="83"/>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3"/>
              <w:spacing w:after="0"/>
              <w:ind w:left="99"/>
            </w:pPr>
            <w:r>
              <w:t>TS/TR ... CR ...</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3"/>
              <w:spacing w:after="0"/>
              <w:jc w:val="center"/>
              <w:rPr>
                <w:rFonts w:hint="eastAsia" w:eastAsia="宋体"/>
                <w:b/>
                <w:caps/>
                <w:lang w:val="en-US" w:eastAsia="zh-CN"/>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3"/>
              <w:spacing w:after="0"/>
              <w:jc w:val="center"/>
              <w:rPr>
                <w:rFonts w:hint="default" w:eastAsia="宋体"/>
                <w:b/>
                <w:caps/>
                <w:lang w:val="en-US" w:eastAsia="zh-CN"/>
              </w:rPr>
            </w:pPr>
            <w:r>
              <w:rPr>
                <w:rFonts w:hint="eastAsia" w:eastAsia="宋体"/>
                <w:b/>
                <w:caps/>
                <w:lang w:val="en-US" w:eastAsia="zh-CN"/>
              </w:rPr>
              <w:t>x</w:t>
            </w:r>
          </w:p>
        </w:tc>
        <w:tc>
          <w:tcPr>
            <w:tcW w:w="2977" w:type="dxa"/>
            <w:gridSpan w:val="4"/>
          </w:tcPr>
          <w:p>
            <w:pPr>
              <w:pStyle w:val="83"/>
              <w:spacing w:after="0"/>
            </w:pPr>
            <w:r>
              <w:t xml:space="preserve"> Test specifications</w:t>
            </w:r>
          </w:p>
        </w:tc>
        <w:tc>
          <w:tcPr>
            <w:tcW w:w="3401" w:type="dxa"/>
            <w:gridSpan w:val="3"/>
            <w:tcBorders>
              <w:right w:val="single" w:color="auto" w:sz="4" w:space="0"/>
            </w:tcBorders>
            <w:shd w:val="pct30" w:color="FFFF00" w:fill="auto"/>
          </w:tcPr>
          <w:p>
            <w:pPr>
              <w:pStyle w:val="83"/>
              <w:spacing w:after="0"/>
              <w:ind w:left="99"/>
              <w:rPr>
                <w:rFonts w:hint="eastAsia" w:eastAsia="宋体"/>
                <w:lang w:val="en-US" w:eastAsia="zh-CN"/>
              </w:rPr>
            </w:pPr>
            <w:r>
              <w:t>TS/TR ... CR ...</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3"/>
              <w:spacing w:after="0"/>
              <w:jc w:val="center"/>
              <w:rPr>
                <w:b/>
                <w:caps/>
              </w:rPr>
            </w:pPr>
            <w:r>
              <w:rPr>
                <w:b/>
                <w:caps/>
              </w:rPr>
              <w:t>x</w:t>
            </w:r>
          </w:p>
        </w:tc>
        <w:tc>
          <w:tcPr>
            <w:tcW w:w="2977" w:type="dxa"/>
            <w:gridSpan w:val="4"/>
          </w:tcPr>
          <w:p>
            <w:pPr>
              <w:pStyle w:val="83"/>
              <w:spacing w:after="0"/>
            </w:pPr>
            <w:r>
              <w:t xml:space="preserve"> O&amp;M Specifications</w:t>
            </w:r>
          </w:p>
        </w:tc>
        <w:tc>
          <w:tcPr>
            <w:tcW w:w="3401" w:type="dxa"/>
            <w:gridSpan w:val="3"/>
            <w:tcBorders>
              <w:right w:val="single" w:color="auto" w:sz="4" w:space="0"/>
            </w:tcBorders>
            <w:shd w:val="pct30" w:color="FFFF00" w:fill="auto"/>
          </w:tcPr>
          <w:p>
            <w:pPr>
              <w:pStyle w:val="83"/>
              <w:spacing w:after="0"/>
              <w:ind w:left="99"/>
            </w:pPr>
            <w:r>
              <w:t xml:space="preserve">TS/TR ... CR ... </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rPr>
            </w:pPr>
          </w:p>
        </w:tc>
        <w:tc>
          <w:tcPr>
            <w:tcW w:w="6946" w:type="dxa"/>
            <w:gridSpan w:val="9"/>
            <w:tcBorders>
              <w:right w:val="single" w:color="auto" w:sz="4" w:space="0"/>
            </w:tcBorders>
          </w:tcPr>
          <w:p>
            <w:pPr>
              <w:pStyle w:val="83"/>
              <w:spacing w:after="0"/>
            </w:pPr>
          </w:p>
        </w:tc>
      </w:tr>
      <w:tr>
        <w:tblPrEx>
          <w:tblLayout w:type="fixed"/>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3"/>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3"/>
              <w:spacing w:after="0"/>
              <w:ind w:left="100"/>
            </w:pPr>
          </w:p>
        </w:tc>
      </w:tr>
    </w:tbl>
    <w:p>
      <w:pPr>
        <w:pStyle w:val="83"/>
        <w:spacing w:after="0"/>
        <w:rPr>
          <w:sz w:val="8"/>
          <w:szCs w:val="8"/>
        </w:rPr>
      </w:pPr>
    </w:p>
    <w:tbl>
      <w:tblPr>
        <w:tblStyle w:val="48"/>
        <w:tblW w:w="9640" w:type="dxa"/>
        <w:tblInd w:w="42" w:type="dxa"/>
        <w:tblLayout w:type="fixed"/>
        <w:tblCellMar>
          <w:top w:w="0" w:type="dxa"/>
          <w:left w:w="42" w:type="dxa"/>
          <w:bottom w:w="0" w:type="dxa"/>
          <w:right w:w="42" w:type="dxa"/>
        </w:tblCellMar>
      </w:tblPr>
      <w:tblGrid>
        <w:gridCol w:w="2694"/>
        <w:gridCol w:w="6946"/>
      </w:tblGrid>
      <w:tr>
        <w:tblPrEx>
          <w:tblLayout w:type="fixed"/>
          <w:tblCellMar>
            <w:top w:w="0" w:type="dxa"/>
            <w:left w:w="42" w:type="dxa"/>
            <w:bottom w:w="0" w:type="dxa"/>
            <w:right w:w="42" w:type="dxa"/>
          </w:tblCellMar>
        </w:tblPrEx>
        <w:tc>
          <w:tcPr>
            <w:tcW w:w="2694" w:type="dxa"/>
            <w:tcBorders>
              <w:top w:val="single" w:color="auto" w:sz="4" w:space="0"/>
              <w:left w:val="single" w:color="auto" w:sz="4" w:space="0"/>
              <w:bottom w:val="single" w:color="auto" w:sz="4" w:space="0"/>
            </w:tcBorders>
          </w:tcPr>
          <w:p>
            <w:pPr>
              <w:pStyle w:val="83"/>
              <w:tabs>
                <w:tab w:val="right" w:pos="2184"/>
              </w:tabs>
              <w:spacing w:after="0"/>
              <w:rPr>
                <w:b/>
                <w:i/>
              </w:rPr>
            </w:pPr>
            <w:r>
              <w:rPr>
                <w:b/>
                <w:i/>
              </w:rPr>
              <w:t>This CR's revision history:</w:t>
            </w:r>
          </w:p>
        </w:tc>
        <w:tc>
          <w:tcPr>
            <w:tcW w:w="6946" w:type="dxa"/>
            <w:tcBorders>
              <w:top w:val="single" w:color="auto" w:sz="4" w:space="0"/>
              <w:bottom w:val="single" w:color="auto" w:sz="4" w:space="0"/>
              <w:right w:val="single" w:color="auto" w:sz="4" w:space="0"/>
            </w:tcBorders>
            <w:shd w:val="pct30" w:color="FFFF00" w:fill="auto"/>
          </w:tcPr>
          <w:p>
            <w:pPr>
              <w:pStyle w:val="83"/>
              <w:spacing w:after="0"/>
              <w:ind w:left="100"/>
            </w:pPr>
          </w:p>
        </w:tc>
      </w:tr>
    </w:tbl>
    <w:p/>
    <w:p/>
    <w:p/>
    <w:p>
      <w:pPr>
        <w:spacing w:after="0"/>
      </w:pPr>
      <w:r>
        <w:br w:type="page"/>
      </w:r>
    </w:p>
    <w:p>
      <w:pPr>
        <w:rPr>
          <w:i/>
          <w:color w:val="0000FF"/>
          <w:lang w:eastAsia="zh-CN"/>
        </w:rPr>
      </w:pPr>
      <w:r>
        <w:rPr>
          <w:i/>
          <w:color w:val="0000FF"/>
          <w:lang w:eastAsia="zh-CN"/>
        </w:rPr>
        <w:t>&lt;start of the change</w:t>
      </w:r>
      <w:r>
        <w:rPr>
          <w:rFonts w:hint="eastAsia"/>
          <w:i/>
          <w:color w:val="0000FF"/>
          <w:lang w:val="en-US" w:eastAsia="zh-CN"/>
        </w:rPr>
        <w:t xml:space="preserve"> 1</w:t>
      </w:r>
      <w:r>
        <w:rPr>
          <w:i/>
          <w:color w:val="0000FF"/>
          <w:lang w:eastAsia="zh-CN"/>
        </w:rPr>
        <w:t>&gt;</w:t>
      </w:r>
    </w:p>
    <w:p>
      <w:pPr>
        <w:pStyle w:val="4"/>
      </w:pPr>
      <w:r>
        <w:t>9.1.1</w:t>
      </w:r>
      <w:r>
        <w:tab/>
      </w:r>
      <w:r>
        <w:t>Introduction</w:t>
      </w:r>
    </w:p>
    <w:p>
      <w:pPr>
        <w:rPr>
          <w:rFonts w:cs="v4.2.0"/>
        </w:rPr>
      </w:pPr>
      <w:r>
        <w:rPr>
          <w:rFonts w:cs="v4.2.0"/>
        </w:rPr>
        <w:t xml:space="preserve">This clause contains general requirements on the UE regarding measurement reporting in RRC_CONNECTED state. The requirements are split in intra-frequency, inter-frequency, inter-RAT E-UTRAN FDD, inter-RAT E-UTRAN TDD, and L1-RSRP measurements requirements. These measurements may be used by the NG-RAN. The measurement quantities are defined in TS38.215 [4], the measurement model is defined in TS38.300 [10], TS37.340 [17] and measurement accuracies are specified in clause 10. Control of measurement reporting is specified in </w:t>
      </w:r>
      <w:r>
        <w:t>TS 3</w:t>
      </w:r>
      <w:del w:id="0" w:author="Richie Leo (ZTE)" w:date="2020-02-05T22:22:49Z">
        <w:r>
          <w:rPr>
            <w:rFonts w:hint="default"/>
            <w:lang w:val="en-US"/>
          </w:rPr>
          <w:delText>6</w:delText>
        </w:r>
      </w:del>
      <w:ins w:id="1" w:author="Richie Leo (ZTE)" w:date="2020-02-05T22:22:49Z">
        <w:r>
          <w:rPr>
            <w:rFonts w:hint="eastAsia" w:eastAsia="宋体"/>
            <w:lang w:val="en-US" w:eastAsia="zh-CN"/>
          </w:rPr>
          <w:t>8</w:t>
        </w:r>
      </w:ins>
      <w:r>
        <w:t>.331 </w:t>
      </w:r>
      <w:r>
        <w:rPr>
          <w:rFonts w:cs="v4.2.0"/>
        </w:rPr>
        <w:t>[</w:t>
      </w:r>
      <w:del w:id="2" w:author="Richie Leo (ZTE)" w:date="2020-02-05T22:23:06Z">
        <w:r>
          <w:rPr>
            <w:rFonts w:cs="v4.2.0"/>
          </w:rPr>
          <w:delText>16</w:delText>
        </w:r>
      </w:del>
      <w:ins w:id="3" w:author="Richie Leo (ZTE)" w:date="2020-02-05T22:23:06Z">
        <w:r>
          <w:rPr>
            <w:rFonts w:hint="eastAsia" w:eastAsia="宋体" w:cs="v4.2.0"/>
            <w:lang w:val="en-US" w:eastAsia="zh-CN"/>
          </w:rPr>
          <w:t>2</w:t>
        </w:r>
      </w:ins>
      <w:r>
        <w:rPr>
          <w:rFonts w:cs="v4.2.0"/>
        </w:rPr>
        <w:t>].</w:t>
      </w:r>
    </w:p>
    <w:p>
      <w:r>
        <w:t>In the requirements of clause 9, the exceptions for side conditions apply as follows:</w:t>
      </w:r>
    </w:p>
    <w:p>
      <w:pPr>
        <w:pStyle w:val="77"/>
      </w:pPr>
      <w:r>
        <w:t>-</w:t>
      </w:r>
      <w:r>
        <w:tab/>
      </w:r>
      <w:r>
        <w:t>for the UE capable of CA but not configured with any SCell, the applicable exceptions for side conditions are specified in Annex B, clause B.3.2.1 for UE supporting CA in FR1, and clause B.3.2.3 for UE supporting CA in FR2, respectively;</w:t>
      </w:r>
    </w:p>
    <w:p>
      <w:pPr>
        <w:pStyle w:val="77"/>
      </w:pPr>
      <w:r>
        <w:t>-</w:t>
      </w:r>
      <w:r>
        <w:tab/>
      </w:r>
      <w:r>
        <w:t xml:space="preserve">for the UE capable of CA and configured with </w:t>
      </w:r>
      <w:r>
        <w:rPr>
          <w:lang w:eastAsia="zh-CN"/>
        </w:rPr>
        <w:t xml:space="preserve">at least one </w:t>
      </w:r>
      <w:r>
        <w:t>SCell, the applicable exceptions for side conditions are specified in Annex B, clause B.3.2.2 for UE configured with CA in FR1, and clause B.3.2.4 for UE supporting CA in FR2, respectively;</w:t>
      </w:r>
    </w:p>
    <w:p>
      <w:pPr>
        <w:pStyle w:val="77"/>
      </w:pPr>
      <w:r>
        <w:t>-</w:t>
      </w:r>
      <w:r>
        <w:tab/>
      </w:r>
      <w:r>
        <w:t>for the UE capable of SUL but not configured with SUL, the applicable exceptions for side conditions are specified in Annex B, clause B.3.4.1 for UE supporting SUL in FR1;</w:t>
      </w:r>
    </w:p>
    <w:p>
      <w:pPr>
        <w:pStyle w:val="77"/>
        <w:rPr>
          <w:lang w:eastAsia="zh-CN"/>
        </w:rPr>
      </w:pPr>
      <w:r>
        <w:t>-</w:t>
      </w:r>
      <w:r>
        <w:tab/>
      </w:r>
      <w:r>
        <w:t>for the UE capable of SUL and configured with at least one SUL, the applicable exceptions for side conditions are specified in Annex B, clause B.3.4.2 for UE configured with SUL in FR1.</w:t>
      </w:r>
    </w:p>
    <w:p>
      <w:pPr>
        <w:rPr>
          <w:i/>
          <w:color w:val="0000FF"/>
          <w:lang w:eastAsia="zh-CN"/>
        </w:rPr>
      </w:pPr>
      <w:r>
        <w:rPr>
          <w:i/>
          <w:color w:val="0000FF"/>
          <w:lang w:eastAsia="zh-CN"/>
        </w:rPr>
        <w:t>&lt;end of the change</w:t>
      </w:r>
      <w:r>
        <w:rPr>
          <w:rFonts w:hint="eastAsia"/>
          <w:i/>
          <w:color w:val="0000FF"/>
          <w:lang w:val="en-US" w:eastAsia="zh-CN"/>
        </w:rPr>
        <w:t xml:space="preserve"> 1</w:t>
      </w:r>
      <w:r>
        <w:rPr>
          <w:i/>
          <w:color w:val="0000FF"/>
          <w:lang w:eastAsia="zh-CN"/>
        </w:rPr>
        <w:t>&gt;</w:t>
      </w:r>
    </w:p>
    <w:p>
      <w:pPr>
        <w:tabs>
          <w:tab w:val="left" w:pos="1920"/>
        </w:tabs>
      </w:pPr>
    </w:p>
    <w:p>
      <w:pPr>
        <w:rPr>
          <w:i/>
          <w:color w:val="0000FF"/>
          <w:lang w:eastAsia="zh-CN"/>
        </w:rPr>
      </w:pPr>
      <w:r>
        <w:rPr>
          <w:i/>
          <w:color w:val="0000FF"/>
          <w:lang w:eastAsia="zh-CN"/>
        </w:rPr>
        <w:t>&lt;start of the change</w:t>
      </w:r>
      <w:r>
        <w:rPr>
          <w:rFonts w:hint="eastAsia"/>
          <w:i/>
          <w:color w:val="0000FF"/>
          <w:lang w:val="en-US" w:eastAsia="zh-CN"/>
        </w:rPr>
        <w:t xml:space="preserve"> 2</w:t>
      </w:r>
      <w:r>
        <w:rPr>
          <w:i/>
          <w:color w:val="0000FF"/>
          <w:lang w:eastAsia="zh-CN"/>
        </w:rPr>
        <w:t>&gt;</w:t>
      </w:r>
    </w:p>
    <w:p>
      <w:pPr>
        <w:keepNext/>
        <w:keepLines/>
        <w:spacing w:before="120"/>
        <w:ind w:left="1985" w:hanging="1985"/>
        <w:outlineLvl w:val="5"/>
        <w:rPr>
          <w:rFonts w:ascii="Arial" w:hAnsi="Arial"/>
        </w:rPr>
      </w:pPr>
      <w:r>
        <w:rPr>
          <w:rFonts w:ascii="Arial" w:hAnsi="Arial"/>
        </w:rPr>
        <w:t>9.4.4.2.2.2</w:t>
      </w:r>
      <w:r>
        <w:rPr>
          <w:rFonts w:ascii="Arial" w:hAnsi="Arial"/>
          <w:lang w:eastAsia="zh-CN"/>
        </w:rPr>
        <w:tab/>
      </w:r>
      <w:r>
        <w:rPr>
          <w:rFonts w:ascii="Arial" w:hAnsi="Arial"/>
        </w:rPr>
        <w:t>Requirements for acquiring the timing of the E-UTRA OTDOA reference cell</w:t>
      </w:r>
    </w:p>
    <w:p>
      <w:r>
        <w:t>When the UE is not aware of the SFN of at least one LTE cell in the OTDOA assistance data</w:t>
      </w:r>
      <w:r>
        <w:rPr>
          <w:rFonts w:cs="v4.2.0"/>
        </w:rPr>
        <w:t>, t</w:t>
      </w:r>
      <w:r>
        <w:t>he UE supporting per-FR gaps may make autonomous gaps in downlink reception and uplink transmission of the PCell, PSCell, and each of the SCells in FR1 for acquiring SFN of the reference cell in the E-UTRA OTDOA assistance data, while no autonomous gaps in downlink reception or uplink transmission are allowed in any of the UE serving cells in FR2. The UE, which are only supporting per-UE gaps, may make autonomous gaps in downlink reception and uplink transmission of the PCell, PSCell, and each of the SCells for acquiring the SFN of the reference cell in the E-UTRA OTDOA assistance data.</w:t>
      </w:r>
    </w:p>
    <w:p>
      <w:r>
        <w:t>When the UE is not aware of and cannot derive the subframe timing difference between the NR serving cell and the OTDOA assistance data reference cell</w:t>
      </w:r>
      <w:r>
        <w:rPr>
          <w:rFonts w:cs="v4.2.0"/>
        </w:rPr>
        <w:t>, t</w:t>
      </w:r>
      <w:r>
        <w:t xml:space="preserve">he UE may need to request measurement gaps while indicating </w:t>
      </w:r>
      <w:r>
        <w:rPr>
          <w:i/>
          <w:lang w:eastAsia="zh-CN"/>
        </w:rPr>
        <w:t>eutra-</w:t>
      </w:r>
      <w:r>
        <w:rPr>
          <w:i/>
          <w:lang w:val="en-US" w:eastAsia="zh-CN"/>
        </w:rPr>
        <w:t>Fine</w:t>
      </w:r>
      <w:r>
        <w:rPr>
          <w:i/>
          <w:lang w:eastAsia="zh-CN"/>
        </w:rPr>
        <w:t>Timing</w:t>
      </w:r>
      <w:r>
        <w:rPr>
          <w:i/>
          <w:lang w:val="en-US" w:eastAsia="zh-CN"/>
        </w:rPr>
        <w:t>Detection</w:t>
      </w:r>
      <w:r>
        <w:t xml:space="preserve"> according to TS 38.331 [2] for detecting the reference cell in the E-UTRA OTDOA assistance data.</w:t>
      </w:r>
    </w:p>
    <w:p>
      <w:r>
        <w:t>When the UE is performning one or both of SFN acquisition or cell detection as specified above, the UE shall be able to determine the timing of the E-UTRA OTDOA assistance data reference cell during the time period</w:t>
      </w:r>
    </w:p>
    <w:p>
      <w:pPr>
        <w:pStyle w:val="64"/>
        <w:rPr>
          <w:lang w:val="sv-SE"/>
        </w:rPr>
      </w:pPr>
      <w:r>
        <w:rPr>
          <w:lang w:val="en-US"/>
        </w:rPr>
        <w:tab/>
      </w:r>
      <w:r>
        <w:rPr>
          <w:lang w:val="sv-SE"/>
        </w:rPr>
        <w:t>T</w:t>
      </w:r>
      <w:r>
        <w:rPr>
          <w:vertAlign w:val="subscript"/>
          <w:lang w:val="sv-SE"/>
        </w:rPr>
        <w:t>RefCell,E-UTRAN</w:t>
      </w:r>
      <w:r>
        <w:rPr>
          <w:lang w:val="sv-SE"/>
        </w:rPr>
        <w:t xml:space="preserve"> = T</w:t>
      </w:r>
      <w:r>
        <w:rPr>
          <w:vertAlign w:val="subscript"/>
          <w:lang w:val="sv-SE"/>
        </w:rPr>
        <w:t>Detect, E-UTRAN TDD</w:t>
      </w:r>
      <w:r>
        <w:rPr>
          <w:lang w:val="sv-SE"/>
        </w:rPr>
        <w:t xml:space="preserve"> + T</w:t>
      </w:r>
      <w:r>
        <w:rPr>
          <w:vertAlign w:val="subscript"/>
          <w:lang w:val="sv-SE"/>
        </w:rPr>
        <w:t>MIB</w:t>
      </w:r>
      <w:r>
        <w:rPr>
          <w:rFonts w:cs="v4.2.0"/>
          <w:lang w:val="sv-SE"/>
        </w:rPr>
        <w:t xml:space="preserve"> + T</w:t>
      </w:r>
      <w:r>
        <w:rPr>
          <w:rFonts w:cs="v4.2.0"/>
          <w:vertAlign w:val="subscript"/>
          <w:lang w:val="sv-SE"/>
        </w:rPr>
        <w:t>ECGI</w:t>
      </w:r>
      <w:r>
        <w:rPr>
          <w:lang w:val="sv-SE"/>
        </w:rPr>
        <w:t xml:space="preserve"> ,</w:t>
      </w:r>
    </w:p>
    <w:p>
      <w:pPr>
        <w:jc w:val="both"/>
        <w:rPr>
          <w:rFonts w:cs="v4.2.0"/>
        </w:rPr>
      </w:pPr>
      <w:r>
        <w:rPr>
          <w:rFonts w:cs="v4.2.0"/>
        </w:rPr>
        <w:t>where</w:t>
      </w:r>
    </w:p>
    <w:p>
      <w:r>
        <w:t>T</w:t>
      </w:r>
      <w:r>
        <w:rPr>
          <w:vertAlign w:val="subscript"/>
        </w:rPr>
        <w:t xml:space="preserve">Detect, E-UTRAN TDD </w:t>
      </w:r>
      <w:r>
        <w:rPr>
          <w:lang w:val="en-US"/>
        </w:rPr>
        <w:t xml:space="preserve">= </w:t>
      </w:r>
      <w:r>
        <w:rPr>
          <w:rFonts w:cs="v4.2.0"/>
        </w:rPr>
        <w:t xml:space="preserve"> T</w:t>
      </w:r>
      <w:r>
        <w:rPr>
          <w:rFonts w:cs="v4.2.0"/>
          <w:vertAlign w:val="subscript"/>
        </w:rPr>
        <w:t xml:space="preserve">Identify, E-UTRAN TDD  </w:t>
      </w:r>
      <w:r>
        <w:rPr>
          <w:rFonts w:cs="v4.2.0"/>
          <w:lang w:val="en-US"/>
        </w:rPr>
        <w:t xml:space="preserve">- </w:t>
      </w:r>
      <w:r>
        <w:rPr>
          <w:rFonts w:cs="v4.2.0"/>
        </w:rPr>
        <w:t>T</w:t>
      </w:r>
      <w:r>
        <w:rPr>
          <w:rFonts w:cs="v4.2.0"/>
          <w:vertAlign w:val="subscript"/>
        </w:rPr>
        <w:t xml:space="preserve">measure, E-UTRAN TDD </w:t>
      </w:r>
      <w:r>
        <w:rPr>
          <w:rFonts w:cs="v4.2.0"/>
        </w:rPr>
        <w:t>is according to clause 9.4.3 assuming CSSF</w:t>
      </w:r>
      <w:r>
        <w:rPr>
          <w:rFonts w:cs="v4.2.0"/>
          <w:vertAlign w:val="subscript"/>
        </w:rPr>
        <w:t>interRAT</w:t>
      </w:r>
      <w:r>
        <w:rPr>
          <w:rFonts w:cs="v4.2.0"/>
        </w:rPr>
        <w:t xml:space="preserve">=1 </w:t>
      </w:r>
      <w:r>
        <w:rPr>
          <w:lang w:val="en-US"/>
        </w:rPr>
        <w:t xml:space="preserve"> </w:t>
      </w:r>
      <w:r>
        <w:t>and it is the time needed to detect the E-UTRA OTDOA assistance data reference cell when the UE needs to acquire the subframe and slot timing of the cell</w:t>
      </w:r>
      <w:r>
        <w:rPr>
          <w:rFonts w:cs="v4.2.0"/>
        </w:rPr>
        <w:t>, provided the UE is configured with measurement gaps</w:t>
      </w:r>
      <w:r>
        <w:t xml:space="preserve"> (T</w:t>
      </w:r>
      <w:r>
        <w:rPr>
          <w:vertAlign w:val="subscript"/>
        </w:rPr>
        <w:t>Detect, E-UTRAN TDD</w:t>
      </w:r>
      <w:r>
        <w:t xml:space="preserve">=0 when both </w:t>
      </w:r>
      <w:r>
        <w:rPr>
          <w:i/>
        </w:rPr>
        <w:t>nr-LTE-SFN-Offset</w:t>
      </w:r>
      <w:r>
        <w:t xml:space="preserve"> and </w:t>
      </w:r>
      <w:r>
        <w:rPr>
          <w:i/>
        </w:rPr>
        <w:t>nr-LTE-fineTiming-Offset</w:t>
      </w:r>
      <w:r>
        <w:t xml:space="preserve"> are provided in the E-UTRA OTDOA assistance data</w:t>
      </w:r>
      <w:r>
        <w:rPr>
          <w:rFonts w:cs="v4.2.0"/>
        </w:rPr>
        <w:t xml:space="preserve"> or the E-UTRA OTDOA assistance data reference cell is known to the UE</w:t>
      </w:r>
      <w:r>
        <w:t>), and</w:t>
      </w:r>
    </w:p>
    <w:p>
      <w:pPr>
        <w:jc w:val="both"/>
        <w:rPr>
          <w:rFonts w:cs="v4.2.0"/>
        </w:rPr>
      </w:pPr>
      <w:r>
        <w:t>T</w:t>
      </w:r>
      <w:r>
        <w:rPr>
          <w:vertAlign w:val="subscript"/>
        </w:rPr>
        <w:t>MIB</w:t>
      </w:r>
      <w:r>
        <w:t xml:space="preserve"> = 50 ms is the time required to acquire SFN of the E-UTRA OTDOA assistance data reference cell provided the OTDOA assistance data reference cell is decodable and at least all E-UTRA subframes #0 during T</w:t>
      </w:r>
      <w:r>
        <w:rPr>
          <w:vertAlign w:val="subscript"/>
        </w:rPr>
        <w:t>MIB</w:t>
      </w:r>
      <w:r>
        <w:t xml:space="preserve"> are available at the UE receiver (T</w:t>
      </w:r>
      <w:r>
        <w:rPr>
          <w:vertAlign w:val="subscript"/>
        </w:rPr>
        <w:t>MIB</w:t>
      </w:r>
      <w:r>
        <w:t xml:space="preserve">=0 when </w:t>
      </w:r>
      <w:r>
        <w:rPr>
          <w:i/>
        </w:rPr>
        <w:t>nr-LTE-SFN-Offset</w:t>
      </w:r>
      <w:r>
        <w:t xml:space="preserve"> is provided in the E-UTRA OTDOA assistance data)</w:t>
      </w:r>
      <w:r>
        <w:rPr>
          <w:rFonts w:cs="v4.2.0"/>
        </w:rPr>
        <w:t>, and</w:t>
      </w:r>
    </w:p>
    <w:p>
      <w:r>
        <w:rPr>
          <w:rFonts w:cs="v4.2.0"/>
          <w:lang w:val="en-US"/>
        </w:rPr>
        <w:t>T</w:t>
      </w:r>
      <w:r>
        <w:rPr>
          <w:rFonts w:cs="v4.2.0"/>
          <w:vertAlign w:val="subscript"/>
          <w:lang w:val="en-US"/>
        </w:rPr>
        <w:t>ECGI</w:t>
      </w:r>
      <w:r>
        <w:rPr>
          <w:rFonts w:cs="v4.2.0"/>
          <w:lang w:val="en-US"/>
        </w:rPr>
        <w:t xml:space="preserve"> = 100 ms is the time required to acquire ECGI of the </w:t>
      </w:r>
      <w:r>
        <w:rPr>
          <w:rFonts w:cs="v4.2.0"/>
        </w:rPr>
        <w:t xml:space="preserve">E-UTRA OTDOA assistance data reference cell when </w:t>
      </w:r>
      <w:r>
        <w:rPr>
          <w:rFonts w:cs="v4.2.0"/>
          <w:i/>
        </w:rPr>
        <w:t>cellGlobalId</w:t>
      </w:r>
      <w:r>
        <w:rPr>
          <w:rFonts w:cs="v4.2.0"/>
        </w:rPr>
        <w:t xml:space="preserve"> is included in </w:t>
      </w:r>
      <w:r>
        <w:rPr>
          <w:i/>
        </w:rPr>
        <w:t xml:space="preserve">OTDOA-ReferenceCellInfo </w:t>
      </w:r>
      <w:r>
        <w:t>and the UE is not aware of the ECGI of this cell (</w:t>
      </w:r>
      <w:r>
        <w:rPr>
          <w:rFonts w:cs="v4.2.0"/>
          <w:lang w:val="en-US"/>
        </w:rPr>
        <w:t>T</w:t>
      </w:r>
      <w:r>
        <w:rPr>
          <w:rFonts w:cs="v4.2.0"/>
          <w:vertAlign w:val="subscript"/>
          <w:lang w:val="en-US"/>
        </w:rPr>
        <w:t>ECGI</w:t>
      </w:r>
      <w:r>
        <w:rPr>
          <w:rFonts w:cs="v4.2.0"/>
          <w:lang w:val="en-US"/>
        </w:rPr>
        <w:t xml:space="preserve"> = 0 when </w:t>
      </w:r>
      <w:r>
        <w:rPr>
          <w:rFonts w:cs="v4.2.0"/>
          <w:i/>
        </w:rPr>
        <w:t>cellGlobalId</w:t>
      </w:r>
      <w:r>
        <w:rPr>
          <w:rFonts w:cs="v4.2.0"/>
          <w:lang w:val="en-US"/>
        </w:rPr>
        <w:t xml:space="preserve"> is not included in </w:t>
      </w:r>
      <w:r>
        <w:rPr>
          <w:i/>
        </w:rPr>
        <w:t>OTDOA-ReferenceCellInfo</w:t>
      </w:r>
      <w:r>
        <w:rPr>
          <w:rFonts w:cs="v4.2.0"/>
          <w:lang w:val="en-US"/>
        </w:rPr>
        <w:t xml:space="preserve"> or the UE is aware of the ECGI of the </w:t>
      </w:r>
      <w:r>
        <w:rPr>
          <w:rFonts w:cs="v4.2.0"/>
        </w:rPr>
        <w:t>E-UTRA OTDOA assistance data reference cell</w:t>
      </w:r>
      <w:r>
        <w:t>).</w:t>
      </w:r>
    </w:p>
    <w:p>
      <w:r>
        <w:t>When detecting the E-UTRAN OTDOA reference cell, the requirements in this clause shall be met, provided the conditions for the detectable cell are fulfilled according to clause 9.4.3.1. In addition, the MIB of the E-UTRA OTDOA reference cell whose SFN is acquired shall be considered decodable by the UE provided the PBCH demodulation requirements are met according to TS 36.101 [25].</w:t>
      </w:r>
    </w:p>
    <w:p>
      <w:r>
        <w:t>The requirement for acquiring the timing of the E-UTRA OTDOA reference cell within T</w:t>
      </w:r>
      <w:r>
        <w:rPr>
          <w:vertAlign w:val="subscript"/>
          <w:lang w:val="en-US"/>
        </w:rPr>
        <w:t>RefCell,E-UTRAN</w:t>
      </w:r>
      <w:r>
        <w:t xml:space="preserve"> is applicable when no DRX is used as well as when any of the DRX cycles specified in TS 38.331 [2] is used.</w:t>
      </w:r>
    </w:p>
    <w:p>
      <w:r>
        <w:t xml:space="preserve">When </w:t>
      </w:r>
      <w:r>
        <w:rPr>
          <w:rFonts w:cs="v4.2.0"/>
        </w:rPr>
        <w:t>T</w:t>
      </w:r>
      <w:r>
        <w:rPr>
          <w:rFonts w:cs="v4.2.0"/>
          <w:vertAlign w:val="subscript"/>
        </w:rPr>
        <w:t>MIB</w:t>
      </w:r>
      <w:r>
        <w:rPr>
          <w:rFonts w:cs="v4.2.0"/>
        </w:rPr>
        <w:t xml:space="preserve">&gt;0 </w:t>
      </w:r>
      <w:r>
        <w:t xml:space="preserve">and UE is using autonomous gaps during </w:t>
      </w:r>
      <w:r>
        <w:rPr>
          <w:rFonts w:cs="v4.2.0"/>
        </w:rPr>
        <w:t>T</w:t>
      </w:r>
      <w:r>
        <w:rPr>
          <w:rFonts w:cs="v4.2.0"/>
          <w:vertAlign w:val="subscript"/>
        </w:rPr>
        <w:t>MIB</w:t>
      </w:r>
      <w:r>
        <w:t>, the UE shall transmit at least N</w:t>
      </w:r>
      <w:r>
        <w:rPr>
          <w:vertAlign w:val="subscript"/>
        </w:rPr>
        <w:t>ACK/NACK, MIB, TDD</w:t>
      </w:r>
      <w:r>
        <w:t xml:space="preserve"> ACK/NACKs </w:t>
      </w:r>
      <w:r>
        <w:rPr>
          <w:lang w:eastAsia="zh-CN"/>
        </w:rPr>
        <w:t xml:space="preserve">on PCell, PSCell, and each of activated SCell(s) in the frequency range where the autonomous gaps are created, specified in Table 9.4.4.2.2.2-1. </w:t>
      </w:r>
      <w:r>
        <w:t xml:space="preserve">When </w:t>
      </w:r>
      <w:r>
        <w:rPr>
          <w:rFonts w:cs="v4.2.0"/>
        </w:rPr>
        <w:t>T</w:t>
      </w:r>
      <w:r>
        <w:rPr>
          <w:rFonts w:cs="v4.2.0"/>
          <w:vertAlign w:val="subscript"/>
        </w:rPr>
        <w:t>ECGI</w:t>
      </w:r>
      <w:r>
        <w:rPr>
          <w:rFonts w:cs="v4.2.0"/>
        </w:rPr>
        <w:t xml:space="preserve">&gt;0 </w:t>
      </w:r>
      <w:r>
        <w:t xml:space="preserve">and UE is using autonomous gaps during </w:t>
      </w:r>
      <w:r>
        <w:rPr>
          <w:rFonts w:cs="v4.2.0"/>
        </w:rPr>
        <w:t>T</w:t>
      </w:r>
      <w:r>
        <w:rPr>
          <w:rFonts w:cs="v4.2.0"/>
          <w:vertAlign w:val="subscript"/>
        </w:rPr>
        <w:t>ECGI</w:t>
      </w:r>
      <w:r>
        <w:t>, the UE shall transmit at least N</w:t>
      </w:r>
      <w:r>
        <w:rPr>
          <w:vertAlign w:val="subscript"/>
        </w:rPr>
        <w:t>ACK/NACK, ECGI, TDD</w:t>
      </w:r>
      <w:r>
        <w:t xml:space="preserve"> ACK/NACKs </w:t>
      </w:r>
      <w:r>
        <w:rPr>
          <w:lang w:eastAsia="zh-CN"/>
        </w:rPr>
        <w:t xml:space="preserve">on PCell, PSCell, and each of activated SCell(s) in the frequency range where autonomous gaps are created, specified in Table 9.4.4.2.2.2-2. </w:t>
      </w:r>
      <w:r>
        <w:t xml:space="preserve">When both </w:t>
      </w:r>
      <w:r>
        <w:rPr>
          <w:rFonts w:cs="v4.2.0"/>
        </w:rPr>
        <w:t>T</w:t>
      </w:r>
      <w:r>
        <w:rPr>
          <w:rFonts w:cs="v4.2.0"/>
          <w:vertAlign w:val="subscript"/>
        </w:rPr>
        <w:t>MIB</w:t>
      </w:r>
      <w:r>
        <w:rPr>
          <w:rFonts w:cs="v4.2.0"/>
        </w:rPr>
        <w:t>&gt;0</w:t>
      </w:r>
      <w:r>
        <w:t xml:space="preserve"> and </w:t>
      </w:r>
      <w:r>
        <w:rPr>
          <w:rFonts w:cs="v4.2.0"/>
        </w:rPr>
        <w:t>T</w:t>
      </w:r>
      <w:r>
        <w:rPr>
          <w:rFonts w:cs="v4.2.0"/>
          <w:vertAlign w:val="subscript"/>
        </w:rPr>
        <w:t>ECGI</w:t>
      </w:r>
      <w:r>
        <w:rPr>
          <w:rFonts w:cs="v4.2.0"/>
        </w:rPr>
        <w:t xml:space="preserve">&gt;0 </w:t>
      </w:r>
      <w:r>
        <w:t xml:space="preserve">and UE is using autonomous gaps during </w:t>
      </w:r>
      <w:r>
        <w:rPr>
          <w:rFonts w:cs="v4.2.0"/>
        </w:rPr>
        <w:t>T</w:t>
      </w:r>
      <w:r>
        <w:rPr>
          <w:rFonts w:cs="v4.2.0"/>
          <w:vertAlign w:val="subscript"/>
        </w:rPr>
        <w:t>MIB</w:t>
      </w:r>
      <w:r>
        <w:rPr>
          <w:rFonts w:cs="v4.2.0"/>
        </w:rPr>
        <w:t>+T</w:t>
      </w:r>
      <w:r>
        <w:rPr>
          <w:rFonts w:cs="v4.2.0"/>
          <w:vertAlign w:val="subscript"/>
        </w:rPr>
        <w:t>ECGI</w:t>
      </w:r>
      <w:r>
        <w:t xml:space="preserve">, the UE shall transmit </w:t>
      </w:r>
      <w:r>
        <w:rPr>
          <w:lang w:eastAsia="zh-CN"/>
        </w:rPr>
        <w:t xml:space="preserve">on PCell, PSCell, and each of activated SCell(s) in the frequency range where autonomous gaps are created </w:t>
      </w:r>
      <w:r>
        <w:t>at least N</w:t>
      </w:r>
      <w:r>
        <w:rPr>
          <w:vertAlign w:val="subscript"/>
        </w:rPr>
        <w:t>ACK/NACK, MIB+ECGI, TDD</w:t>
      </w:r>
      <w:r>
        <w:t xml:space="preserve"> ACK/NACKs </w:t>
      </w:r>
      <w:r>
        <w:rPr>
          <w:lang w:eastAsia="zh-CN"/>
        </w:rPr>
        <w:t>specified in Table 9.4.4.2.2.2-3, provided the OTDOA reference cell bandwidth is configured in the OTDOA assistance data [22, 27]. The requirements in Tables 9.4.4.2.2.2-1, 9.4.4.2.2.2-2 and 9.4.4.2.2.2-3 apply,</w:t>
      </w:r>
      <w:r>
        <w:t xml:space="preserve"> provided that:</w:t>
      </w:r>
    </w:p>
    <w:p>
      <w:pPr>
        <w:pStyle w:val="77"/>
      </w:pPr>
      <w:r>
        <w:t>-</w:t>
      </w:r>
      <w:r>
        <w:tab/>
      </w:r>
      <w:r>
        <w:t>there is continuous DL data allocation,</w:t>
      </w:r>
    </w:p>
    <w:p>
      <w:pPr>
        <w:pStyle w:val="77"/>
      </w:pPr>
      <w:r>
        <w:t>-</w:t>
      </w:r>
      <w:r>
        <w:tab/>
      </w:r>
      <w:r>
        <w:t>no DRX cycle is used,</w:t>
      </w:r>
    </w:p>
    <w:p>
      <w:pPr>
        <w:pStyle w:val="77"/>
      </w:pPr>
      <w:r>
        <w:t>-</w:t>
      </w:r>
      <w:r>
        <w:tab/>
      </w:r>
      <w:r>
        <w:t>no measurement gaps are configured,</w:t>
      </w:r>
    </w:p>
    <w:p>
      <w:pPr>
        <w:pStyle w:val="77"/>
      </w:pPr>
      <w:r>
        <w:t>-</w:t>
      </w:r>
      <w:r>
        <w:tab/>
      </w:r>
      <w:r>
        <w:t>only one code word is transmitted in each slot,</w:t>
      </w:r>
    </w:p>
    <w:p>
      <w:pPr>
        <w:ind w:left="568" w:hanging="284"/>
      </w:pPr>
      <w:r>
        <w:t>-</w:t>
      </w:r>
      <w:r>
        <w:tab/>
      </w:r>
      <w:r>
        <w:t>2 slot ACK/NACK feedback is configured,</w:t>
      </w:r>
    </w:p>
    <w:p>
      <w:pPr>
        <w:ind w:left="568" w:hanging="284"/>
      </w:pPr>
      <w:r>
        <w:t>-</w:t>
      </w:r>
      <w:r>
        <w:tab/>
      </w:r>
      <w:r>
        <w:t>20 ms SMTC period is configured,</w:t>
      </w:r>
    </w:p>
    <w:p>
      <w:pPr>
        <w:pStyle w:val="77"/>
      </w:pPr>
      <w:r>
        <w:t>-</w:t>
      </w:r>
      <w:r>
        <w:tab/>
      </w:r>
      <w:r>
        <w:t>SSBs are transmitted in one slot within SMTC window.</w:t>
      </w:r>
    </w:p>
    <w:p>
      <w:pPr>
        <w:keepNext/>
        <w:keepLines/>
        <w:spacing w:before="60"/>
        <w:jc w:val="center"/>
        <w:rPr>
          <w:rFonts w:ascii="Arial" w:hAnsi="Arial"/>
          <w:b/>
          <w:lang w:val="en-US"/>
        </w:rPr>
      </w:pPr>
      <w:r>
        <w:rPr>
          <w:rFonts w:ascii="Arial" w:hAnsi="Arial"/>
          <w:b/>
        </w:rPr>
        <w:t xml:space="preserve">Table 9.4.4.2.2.2-1: Minimum number of ACK/NACKs transmitted by the UE during </w:t>
      </w:r>
      <w:r>
        <w:rPr>
          <w:rFonts w:ascii="Arial" w:hAnsi="Arial"/>
          <w:b/>
          <w:lang w:val="en-US"/>
        </w:rPr>
        <w:t>T</w:t>
      </w:r>
      <w:r>
        <w:rPr>
          <w:rFonts w:ascii="Arial" w:hAnsi="Arial"/>
          <w:b/>
          <w:vertAlign w:val="subscript"/>
          <w:lang w:val="en-US"/>
        </w:rPr>
        <w:t>MIB</w:t>
      </w:r>
    </w:p>
    <w:tbl>
      <w:tblPr>
        <w:tblStyle w:val="48"/>
        <w:tblW w:w="9103" w:type="dxa"/>
        <w:tblInd w:w="78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83"/>
        <w:gridCol w:w="3260"/>
        <w:gridCol w:w="32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5" w:hRule="atLeast"/>
        </w:trPr>
        <w:tc>
          <w:tcPr>
            <w:tcW w:w="2583" w:type="dxa"/>
            <w:vMerge w:val="restart"/>
            <w:shd w:val="clear" w:color="auto" w:fill="auto"/>
          </w:tcPr>
          <w:p>
            <w:pPr>
              <w:keepNext/>
              <w:keepLines/>
              <w:spacing w:after="0"/>
              <w:jc w:val="center"/>
              <w:rPr>
                <w:rFonts w:ascii="Arial" w:hAnsi="Arial"/>
                <w:b/>
                <w:sz w:val="18"/>
                <w:lang w:val="sv-SE"/>
              </w:rPr>
            </w:pPr>
            <w:r>
              <w:rPr>
                <w:rFonts w:ascii="Arial" w:hAnsi="Arial"/>
                <w:b/>
                <w:sz w:val="18"/>
                <w:lang w:val="sv-SE"/>
              </w:rPr>
              <w:t>N</w:t>
            </w:r>
            <w:r>
              <w:rPr>
                <w:rFonts w:ascii="Arial" w:hAnsi="Arial"/>
                <w:b/>
                <w:sz w:val="18"/>
                <w:vertAlign w:val="subscript"/>
                <w:lang w:val="sv-SE"/>
              </w:rPr>
              <w:t>ACK/NACK, MIB, TDD</w:t>
            </w:r>
          </w:p>
        </w:tc>
        <w:tc>
          <w:tcPr>
            <w:tcW w:w="6520" w:type="dxa"/>
            <w:gridSpan w:val="2"/>
          </w:tcPr>
          <w:p>
            <w:pPr>
              <w:keepNext/>
              <w:keepLines/>
              <w:spacing w:after="0"/>
              <w:jc w:val="center"/>
              <w:rPr>
                <w:rFonts w:ascii="Arial" w:hAnsi="Arial"/>
                <w:b/>
                <w:sz w:val="18"/>
              </w:rPr>
            </w:pPr>
            <w:r>
              <w:rPr>
                <w:rFonts w:ascii="Arial" w:hAnsi="Arial" w:cs="v4.2.0"/>
                <w:b/>
                <w:sz w:val="18"/>
                <w:lang w:val="en-US"/>
              </w:rPr>
              <w:t>Configuration of the serving cell in which the transmitted ACK/NACKs are counted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5" w:hRule="atLeast"/>
        </w:trPr>
        <w:tc>
          <w:tcPr>
            <w:tcW w:w="2583" w:type="dxa"/>
            <w:vMerge w:val="continue"/>
            <w:shd w:val="clear" w:color="auto" w:fill="auto"/>
          </w:tcPr>
          <w:p>
            <w:pPr>
              <w:keepNext/>
              <w:keepLines/>
              <w:spacing w:after="0"/>
              <w:jc w:val="center"/>
              <w:rPr>
                <w:rFonts w:ascii="Arial" w:hAnsi="Arial"/>
                <w:b/>
                <w:sz w:val="18"/>
              </w:rPr>
            </w:pPr>
          </w:p>
        </w:tc>
        <w:tc>
          <w:tcPr>
            <w:tcW w:w="3260" w:type="dxa"/>
          </w:tcPr>
          <w:p>
            <w:pPr>
              <w:keepNext/>
              <w:keepLines/>
              <w:spacing w:after="0"/>
              <w:jc w:val="center"/>
              <w:rPr>
                <w:rFonts w:ascii="Arial" w:hAnsi="Arial" w:cs="v4.2.0"/>
                <w:b/>
                <w:sz w:val="18"/>
                <w:lang w:val="en-US"/>
              </w:rPr>
            </w:pPr>
            <w:r>
              <w:rPr>
                <w:rFonts w:ascii="Arial" w:hAnsi="Arial" w:cs="v4.2.0"/>
                <w:b/>
                <w:sz w:val="18"/>
                <w:lang w:val="en-US"/>
              </w:rPr>
              <w:t>Duplex mode configuration</w:t>
            </w:r>
          </w:p>
        </w:tc>
        <w:tc>
          <w:tcPr>
            <w:tcW w:w="3260" w:type="dxa"/>
          </w:tcPr>
          <w:p>
            <w:pPr>
              <w:keepNext/>
              <w:keepLines/>
              <w:spacing w:after="0"/>
              <w:jc w:val="center"/>
              <w:rPr>
                <w:rFonts w:ascii="Arial" w:hAnsi="Arial" w:cs="v4.2.0"/>
                <w:b/>
                <w:sz w:val="18"/>
                <w:lang w:val="en-US"/>
              </w:rPr>
            </w:pPr>
            <w:r>
              <w:rPr>
                <w:rFonts w:ascii="Arial" w:hAnsi="Arial" w:cs="v4.2.0"/>
                <w:b/>
                <w:sz w:val="18"/>
                <w:lang w:val="en-US"/>
              </w:rPr>
              <w:t>SCS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583" w:type="dxa"/>
            <w:shd w:val="clear" w:color="auto" w:fill="auto"/>
            <w:vAlign w:val="center"/>
          </w:tcPr>
          <w:p>
            <w:pPr>
              <w:keepNext/>
              <w:keepLines/>
              <w:spacing w:after="0"/>
              <w:jc w:val="center"/>
              <w:rPr>
                <w:rFonts w:ascii="Arial" w:hAnsi="Arial"/>
                <w:sz w:val="18"/>
              </w:rPr>
            </w:pPr>
            <w:r>
              <w:rPr>
                <w:rFonts w:ascii="Arial" w:hAnsi="Arial" w:eastAsia="Calibri"/>
                <w:sz w:val="18"/>
                <w:szCs w:val="18"/>
              </w:rPr>
              <w:t>15</w:t>
            </w:r>
          </w:p>
        </w:tc>
        <w:tc>
          <w:tcPr>
            <w:tcW w:w="3260" w:type="dxa"/>
            <w:vAlign w:val="center"/>
          </w:tcPr>
          <w:p>
            <w:pPr>
              <w:keepNext/>
              <w:keepLines/>
              <w:spacing w:after="0"/>
              <w:jc w:val="center"/>
              <w:rPr>
                <w:rFonts w:ascii="Arial" w:hAnsi="Arial"/>
                <w:sz w:val="18"/>
                <w:lang w:val="sv-SE"/>
              </w:rPr>
            </w:pPr>
            <w:r>
              <w:rPr>
                <w:rFonts w:ascii="Arial" w:hAnsi="Arial"/>
                <w:sz w:val="18"/>
                <w:lang w:val="sv-SE"/>
              </w:rPr>
              <w:t>FDD</w:t>
            </w:r>
          </w:p>
        </w:tc>
        <w:tc>
          <w:tcPr>
            <w:tcW w:w="3260" w:type="dxa"/>
            <w:vAlign w:val="center"/>
          </w:tcPr>
          <w:p>
            <w:pPr>
              <w:keepNext/>
              <w:keepLines/>
              <w:spacing w:after="0"/>
              <w:jc w:val="center"/>
              <w:rPr>
                <w:rFonts w:ascii="Arial" w:hAnsi="Arial"/>
                <w:sz w:val="18"/>
                <w:lang w:val="sv-SE"/>
              </w:rPr>
            </w:pPr>
            <w:r>
              <w:rPr>
                <w:rFonts w:ascii="Arial" w:hAnsi="Arial"/>
                <w:sz w:val="18"/>
                <w:lang w:val="sv-SE"/>
              </w:rPr>
              <w:t>15 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583" w:type="dxa"/>
            <w:shd w:val="clear" w:color="auto" w:fill="auto"/>
            <w:vAlign w:val="center"/>
          </w:tcPr>
          <w:p>
            <w:pPr>
              <w:keepNext/>
              <w:keepLines/>
              <w:spacing w:after="0"/>
              <w:jc w:val="center"/>
              <w:rPr>
                <w:rFonts w:ascii="Arial" w:hAnsi="Arial"/>
                <w:sz w:val="18"/>
              </w:rPr>
            </w:pPr>
            <w:r>
              <w:rPr>
                <w:rFonts w:ascii="Arial" w:hAnsi="Arial" w:eastAsia="Calibri"/>
                <w:sz w:val="18"/>
                <w:szCs w:val="18"/>
              </w:rPr>
              <w:t>39</w:t>
            </w:r>
          </w:p>
        </w:tc>
        <w:tc>
          <w:tcPr>
            <w:tcW w:w="3260" w:type="dxa"/>
            <w:vAlign w:val="center"/>
          </w:tcPr>
          <w:p>
            <w:pPr>
              <w:keepNext/>
              <w:keepLines/>
              <w:spacing w:after="0"/>
              <w:jc w:val="center"/>
              <w:rPr>
                <w:rFonts w:ascii="Arial" w:hAnsi="Arial"/>
                <w:sz w:val="18"/>
                <w:lang w:val="sv-SE"/>
              </w:rPr>
            </w:pPr>
            <w:r>
              <w:rPr>
                <w:rFonts w:ascii="Arial" w:hAnsi="Arial"/>
                <w:sz w:val="18"/>
                <w:lang w:val="sv-SE"/>
              </w:rPr>
              <w:t>FDD</w:t>
            </w:r>
          </w:p>
        </w:tc>
        <w:tc>
          <w:tcPr>
            <w:tcW w:w="3260" w:type="dxa"/>
            <w:vAlign w:val="center"/>
          </w:tcPr>
          <w:p>
            <w:pPr>
              <w:keepNext/>
              <w:keepLines/>
              <w:spacing w:after="0"/>
              <w:jc w:val="center"/>
              <w:rPr>
                <w:rFonts w:ascii="Arial" w:hAnsi="Arial"/>
                <w:sz w:val="18"/>
                <w:lang w:val="sv-SE"/>
              </w:rPr>
            </w:pPr>
            <w:r>
              <w:rPr>
                <w:rFonts w:ascii="Arial" w:hAnsi="Arial"/>
                <w:sz w:val="18"/>
                <w:lang w:val="sv-SE"/>
              </w:rPr>
              <w:t>30 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583" w:type="dxa"/>
            <w:shd w:val="clear" w:color="auto" w:fill="auto"/>
            <w:vAlign w:val="center"/>
          </w:tcPr>
          <w:p>
            <w:pPr>
              <w:keepNext/>
              <w:keepLines/>
              <w:spacing w:after="0"/>
              <w:jc w:val="center"/>
              <w:rPr>
                <w:rFonts w:ascii="Arial" w:hAnsi="Arial"/>
                <w:sz w:val="18"/>
              </w:rPr>
            </w:pPr>
            <w:r>
              <w:rPr>
                <w:rFonts w:ascii="Arial" w:hAnsi="Arial" w:eastAsia="Calibri"/>
                <w:sz w:val="18"/>
                <w:szCs w:val="18"/>
              </w:rPr>
              <w:t>85</w:t>
            </w:r>
          </w:p>
        </w:tc>
        <w:tc>
          <w:tcPr>
            <w:tcW w:w="3260" w:type="dxa"/>
            <w:vAlign w:val="center"/>
          </w:tcPr>
          <w:p>
            <w:pPr>
              <w:keepNext/>
              <w:keepLines/>
              <w:spacing w:after="0"/>
              <w:jc w:val="center"/>
              <w:rPr>
                <w:rFonts w:ascii="Arial" w:hAnsi="Arial"/>
                <w:sz w:val="18"/>
                <w:lang w:val="sv-SE"/>
              </w:rPr>
            </w:pPr>
            <w:r>
              <w:rPr>
                <w:rFonts w:ascii="Arial" w:hAnsi="Arial"/>
                <w:sz w:val="18"/>
                <w:lang w:val="sv-SE"/>
              </w:rPr>
              <w:t>FDD</w:t>
            </w:r>
          </w:p>
        </w:tc>
        <w:tc>
          <w:tcPr>
            <w:tcW w:w="3260" w:type="dxa"/>
            <w:vAlign w:val="center"/>
          </w:tcPr>
          <w:p>
            <w:pPr>
              <w:keepNext/>
              <w:keepLines/>
              <w:spacing w:after="0"/>
              <w:jc w:val="center"/>
              <w:rPr>
                <w:rFonts w:ascii="Arial" w:hAnsi="Arial"/>
                <w:sz w:val="18"/>
                <w:lang w:val="sv-SE"/>
              </w:rPr>
            </w:pPr>
            <w:r>
              <w:rPr>
                <w:rFonts w:ascii="Arial" w:hAnsi="Arial"/>
                <w:sz w:val="18"/>
                <w:lang w:val="sv-SE"/>
              </w:rPr>
              <w:t>60 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583" w:type="dxa"/>
            <w:shd w:val="clear" w:color="auto" w:fill="auto"/>
            <w:vAlign w:val="center"/>
          </w:tcPr>
          <w:p>
            <w:pPr>
              <w:keepNext/>
              <w:keepLines/>
              <w:spacing w:after="0"/>
              <w:jc w:val="center"/>
              <w:rPr>
                <w:rFonts w:ascii="Arial" w:hAnsi="Arial"/>
                <w:sz w:val="18"/>
              </w:rPr>
            </w:pPr>
            <w:r>
              <w:rPr>
                <w:rFonts w:ascii="Arial" w:hAnsi="Arial" w:eastAsia="Calibri"/>
                <w:sz w:val="18"/>
                <w:szCs w:val="18"/>
                <w:lang w:val="sv-SE"/>
              </w:rPr>
              <w:t>0</w:t>
            </w:r>
          </w:p>
        </w:tc>
        <w:tc>
          <w:tcPr>
            <w:tcW w:w="3260" w:type="dxa"/>
            <w:vAlign w:val="center"/>
          </w:tcPr>
          <w:p>
            <w:pPr>
              <w:keepNext/>
              <w:keepLines/>
              <w:spacing w:after="0"/>
              <w:jc w:val="center"/>
              <w:rPr>
                <w:rFonts w:ascii="Arial" w:hAnsi="Arial"/>
                <w:sz w:val="18"/>
                <w:lang w:val="sv-SE"/>
              </w:rPr>
            </w:pPr>
            <w:r>
              <w:rPr>
                <w:rFonts w:ascii="Arial" w:hAnsi="Arial"/>
                <w:sz w:val="18"/>
                <w:lang w:val="sv-SE"/>
              </w:rPr>
              <w:t xml:space="preserve">TDD </w:t>
            </w:r>
            <w:r>
              <w:rPr>
                <w:rFonts w:ascii="Arial" w:hAnsi="Arial"/>
                <w:sz w:val="18"/>
                <w:vertAlign w:val="superscript"/>
                <w:lang w:val="sv-SE"/>
              </w:rPr>
              <w:t>Note 1</w:t>
            </w:r>
          </w:p>
        </w:tc>
        <w:tc>
          <w:tcPr>
            <w:tcW w:w="3260" w:type="dxa"/>
            <w:vAlign w:val="center"/>
          </w:tcPr>
          <w:p>
            <w:pPr>
              <w:keepNext/>
              <w:keepLines/>
              <w:spacing w:after="0"/>
              <w:jc w:val="center"/>
              <w:rPr>
                <w:rFonts w:ascii="Arial" w:hAnsi="Arial"/>
                <w:sz w:val="18"/>
                <w:lang w:val="sv-SE"/>
              </w:rPr>
            </w:pPr>
            <w:r>
              <w:rPr>
                <w:rFonts w:ascii="Arial" w:hAnsi="Arial"/>
                <w:sz w:val="18"/>
                <w:lang w:val="sv-SE"/>
              </w:rPr>
              <w:t>15 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583" w:type="dxa"/>
            <w:shd w:val="clear" w:color="auto" w:fill="auto"/>
            <w:vAlign w:val="center"/>
          </w:tcPr>
          <w:p>
            <w:pPr>
              <w:keepNext/>
              <w:keepLines/>
              <w:spacing w:after="0"/>
              <w:jc w:val="center"/>
              <w:rPr>
                <w:rFonts w:ascii="Arial" w:hAnsi="Arial"/>
                <w:sz w:val="18"/>
              </w:rPr>
            </w:pPr>
            <w:r>
              <w:rPr>
                <w:rFonts w:ascii="Arial" w:hAnsi="Arial" w:eastAsia="Calibri"/>
                <w:sz w:val="18"/>
                <w:szCs w:val="18"/>
                <w:lang w:val="sv-SE"/>
              </w:rPr>
              <w:t>4</w:t>
            </w:r>
          </w:p>
        </w:tc>
        <w:tc>
          <w:tcPr>
            <w:tcW w:w="3260" w:type="dxa"/>
            <w:vAlign w:val="center"/>
          </w:tcPr>
          <w:p>
            <w:pPr>
              <w:keepNext/>
              <w:keepLines/>
              <w:spacing w:after="0"/>
              <w:jc w:val="center"/>
              <w:rPr>
                <w:rFonts w:ascii="Arial" w:hAnsi="Arial"/>
                <w:sz w:val="18"/>
                <w:lang w:val="sv-SE"/>
              </w:rPr>
            </w:pPr>
            <w:r>
              <w:rPr>
                <w:rFonts w:ascii="Arial" w:hAnsi="Arial"/>
                <w:sz w:val="18"/>
                <w:lang w:val="sv-SE"/>
              </w:rPr>
              <w:t xml:space="preserve">TDD </w:t>
            </w:r>
            <w:r>
              <w:rPr>
                <w:rFonts w:ascii="Arial" w:hAnsi="Arial"/>
                <w:sz w:val="18"/>
                <w:vertAlign w:val="superscript"/>
                <w:lang w:val="sv-SE"/>
              </w:rPr>
              <w:t>Note 1</w:t>
            </w:r>
          </w:p>
        </w:tc>
        <w:tc>
          <w:tcPr>
            <w:tcW w:w="3260" w:type="dxa"/>
            <w:vAlign w:val="center"/>
          </w:tcPr>
          <w:p>
            <w:pPr>
              <w:keepNext/>
              <w:keepLines/>
              <w:spacing w:after="0"/>
              <w:jc w:val="center"/>
              <w:rPr>
                <w:rFonts w:ascii="Arial" w:hAnsi="Arial"/>
                <w:sz w:val="18"/>
                <w:lang w:val="sv-SE"/>
              </w:rPr>
            </w:pPr>
            <w:r>
              <w:rPr>
                <w:rFonts w:ascii="Arial" w:hAnsi="Arial"/>
                <w:sz w:val="18"/>
                <w:lang w:val="sv-SE"/>
              </w:rPr>
              <w:t>30 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583" w:type="dxa"/>
            <w:shd w:val="clear" w:color="auto" w:fill="auto"/>
            <w:vAlign w:val="center"/>
          </w:tcPr>
          <w:p>
            <w:pPr>
              <w:keepNext/>
              <w:keepLines/>
              <w:spacing w:after="0"/>
              <w:jc w:val="center"/>
              <w:rPr>
                <w:rFonts w:ascii="Arial" w:hAnsi="Arial"/>
                <w:sz w:val="18"/>
              </w:rPr>
            </w:pPr>
            <w:r>
              <w:rPr>
                <w:rFonts w:ascii="Arial" w:hAnsi="Arial" w:eastAsia="Calibri"/>
                <w:sz w:val="18"/>
                <w:szCs w:val="18"/>
                <w:lang w:val="sv-SE"/>
              </w:rPr>
              <w:t>12</w:t>
            </w:r>
          </w:p>
        </w:tc>
        <w:tc>
          <w:tcPr>
            <w:tcW w:w="3260" w:type="dxa"/>
            <w:vAlign w:val="center"/>
          </w:tcPr>
          <w:p>
            <w:pPr>
              <w:keepNext/>
              <w:keepLines/>
              <w:spacing w:after="0"/>
              <w:jc w:val="center"/>
              <w:rPr>
                <w:rFonts w:ascii="Arial" w:hAnsi="Arial"/>
                <w:sz w:val="18"/>
                <w:lang w:val="sv-SE"/>
              </w:rPr>
            </w:pPr>
            <w:r>
              <w:rPr>
                <w:rFonts w:ascii="Arial" w:hAnsi="Arial"/>
                <w:sz w:val="18"/>
                <w:lang w:val="sv-SE"/>
              </w:rPr>
              <w:t xml:space="preserve">TDD </w:t>
            </w:r>
            <w:r>
              <w:rPr>
                <w:rFonts w:ascii="Arial" w:hAnsi="Arial"/>
                <w:sz w:val="18"/>
                <w:vertAlign w:val="superscript"/>
                <w:lang w:val="sv-SE"/>
              </w:rPr>
              <w:t>Note 1</w:t>
            </w:r>
          </w:p>
        </w:tc>
        <w:tc>
          <w:tcPr>
            <w:tcW w:w="3260" w:type="dxa"/>
            <w:vAlign w:val="center"/>
          </w:tcPr>
          <w:p>
            <w:pPr>
              <w:keepNext/>
              <w:keepLines/>
              <w:spacing w:after="0"/>
              <w:jc w:val="center"/>
              <w:rPr>
                <w:rFonts w:ascii="Arial" w:hAnsi="Arial"/>
                <w:sz w:val="18"/>
                <w:lang w:val="sv-SE"/>
              </w:rPr>
            </w:pPr>
            <w:r>
              <w:rPr>
                <w:rFonts w:ascii="Arial" w:hAnsi="Arial"/>
                <w:sz w:val="18"/>
                <w:lang w:val="sv-SE"/>
              </w:rPr>
              <w:t>60 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583" w:type="dxa"/>
            <w:shd w:val="clear" w:color="auto" w:fill="auto"/>
            <w:vAlign w:val="center"/>
          </w:tcPr>
          <w:p>
            <w:pPr>
              <w:keepNext/>
              <w:keepLines/>
              <w:spacing w:after="0"/>
              <w:jc w:val="center"/>
              <w:rPr>
                <w:rFonts w:ascii="Arial" w:hAnsi="Arial" w:eastAsia="Malgun Gothic"/>
                <w:sz w:val="18"/>
                <w:szCs w:val="18"/>
                <w:lang w:val="sv-SE" w:eastAsia="zh-CN"/>
              </w:rPr>
            </w:pPr>
            <w:r>
              <w:rPr>
                <w:rFonts w:ascii="Arial" w:hAnsi="Arial" w:eastAsia="Calibri"/>
                <w:sz w:val="18"/>
                <w:szCs w:val="18"/>
                <w:lang w:val="sv-SE"/>
              </w:rPr>
              <w:t>46</w:t>
            </w:r>
          </w:p>
        </w:tc>
        <w:tc>
          <w:tcPr>
            <w:tcW w:w="3260" w:type="dxa"/>
            <w:vAlign w:val="center"/>
          </w:tcPr>
          <w:p>
            <w:pPr>
              <w:keepNext/>
              <w:keepLines/>
              <w:spacing w:after="0"/>
              <w:jc w:val="center"/>
              <w:rPr>
                <w:rFonts w:ascii="Arial" w:hAnsi="Arial"/>
                <w:sz w:val="18"/>
                <w:lang w:val="sv-SE" w:eastAsia="zh-CN"/>
              </w:rPr>
            </w:pPr>
            <w:r>
              <w:rPr>
                <w:rFonts w:ascii="Arial" w:hAnsi="Arial"/>
                <w:sz w:val="18"/>
                <w:lang w:val="sv-SE"/>
              </w:rPr>
              <w:t xml:space="preserve">TDD </w:t>
            </w:r>
            <w:r>
              <w:rPr>
                <w:rFonts w:ascii="Arial" w:hAnsi="Arial"/>
                <w:sz w:val="18"/>
                <w:vertAlign w:val="superscript"/>
                <w:lang w:val="sv-SE"/>
              </w:rPr>
              <w:t>Note 2</w:t>
            </w:r>
          </w:p>
        </w:tc>
        <w:tc>
          <w:tcPr>
            <w:tcW w:w="3260" w:type="dxa"/>
            <w:vAlign w:val="center"/>
          </w:tcPr>
          <w:p>
            <w:pPr>
              <w:keepNext/>
              <w:keepLines/>
              <w:spacing w:after="0"/>
              <w:jc w:val="center"/>
              <w:rPr>
                <w:rFonts w:ascii="Arial" w:hAnsi="Arial"/>
                <w:sz w:val="18"/>
                <w:lang w:val="sv-SE"/>
              </w:rPr>
            </w:pPr>
            <w:r>
              <w:rPr>
                <w:rFonts w:ascii="Arial" w:hAnsi="Arial"/>
                <w:sz w:val="18"/>
                <w:lang w:val="sv-SE"/>
              </w:rPr>
              <w:t>60 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583" w:type="dxa"/>
            <w:shd w:val="clear" w:color="auto" w:fill="auto"/>
            <w:vAlign w:val="center"/>
          </w:tcPr>
          <w:p>
            <w:pPr>
              <w:keepNext/>
              <w:keepLines/>
              <w:spacing w:after="0"/>
              <w:jc w:val="center"/>
              <w:rPr>
                <w:rFonts w:ascii="Arial" w:hAnsi="Arial" w:eastAsia="Calibri"/>
                <w:sz w:val="18"/>
                <w:szCs w:val="18"/>
                <w:lang w:val="sv-SE"/>
              </w:rPr>
            </w:pPr>
            <w:r>
              <w:rPr>
                <w:rFonts w:ascii="Arial" w:hAnsi="Arial" w:eastAsia="Calibri"/>
                <w:sz w:val="18"/>
                <w:szCs w:val="18"/>
                <w:lang w:val="sv-SE"/>
              </w:rPr>
              <w:t>104</w:t>
            </w:r>
          </w:p>
        </w:tc>
        <w:tc>
          <w:tcPr>
            <w:tcW w:w="3260" w:type="dxa"/>
            <w:vAlign w:val="center"/>
          </w:tcPr>
          <w:p>
            <w:pPr>
              <w:keepNext/>
              <w:keepLines/>
              <w:spacing w:after="0"/>
              <w:jc w:val="center"/>
              <w:rPr>
                <w:rFonts w:ascii="Arial" w:hAnsi="Arial"/>
                <w:sz w:val="18"/>
                <w:lang w:val="sv-SE"/>
              </w:rPr>
            </w:pPr>
            <w:r>
              <w:rPr>
                <w:rFonts w:ascii="Arial" w:hAnsi="Arial"/>
                <w:sz w:val="18"/>
                <w:lang w:val="sv-SE"/>
              </w:rPr>
              <w:t xml:space="preserve">TDD </w:t>
            </w:r>
            <w:r>
              <w:rPr>
                <w:rFonts w:ascii="Arial" w:hAnsi="Arial"/>
                <w:sz w:val="18"/>
                <w:vertAlign w:val="superscript"/>
                <w:lang w:val="sv-SE"/>
              </w:rPr>
              <w:t>Note 2</w:t>
            </w:r>
          </w:p>
        </w:tc>
        <w:tc>
          <w:tcPr>
            <w:tcW w:w="3260" w:type="dxa"/>
            <w:vAlign w:val="center"/>
          </w:tcPr>
          <w:p>
            <w:pPr>
              <w:keepNext/>
              <w:keepLines/>
              <w:spacing w:after="0"/>
              <w:jc w:val="center"/>
              <w:rPr>
                <w:rFonts w:ascii="Arial" w:hAnsi="Arial"/>
                <w:sz w:val="18"/>
                <w:lang w:val="sv-SE"/>
              </w:rPr>
            </w:pPr>
            <w:r>
              <w:rPr>
                <w:rFonts w:ascii="Arial" w:hAnsi="Arial"/>
                <w:sz w:val="18"/>
                <w:lang w:val="sv-SE"/>
              </w:rPr>
              <w:t>120 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103" w:type="dxa"/>
            <w:gridSpan w:val="3"/>
            <w:shd w:val="clear" w:color="auto" w:fill="auto"/>
            <w:vAlign w:val="center"/>
          </w:tcPr>
          <w:p>
            <w:pPr>
              <w:keepNext/>
              <w:keepLines/>
              <w:spacing w:after="0"/>
              <w:ind w:left="851" w:hanging="851"/>
              <w:rPr>
                <w:rFonts w:ascii="Arial" w:hAnsi="Arial"/>
                <w:sz w:val="18"/>
                <w:lang w:val="en-US"/>
              </w:rPr>
            </w:pPr>
            <w:r>
              <w:rPr>
                <w:rFonts w:ascii="Arial" w:hAnsi="Arial"/>
                <w:sz w:val="18"/>
                <w:lang w:val="en-US"/>
              </w:rPr>
              <w:t>NOTE 1:</w:t>
            </w:r>
            <w:r>
              <w:rPr>
                <w:rFonts w:ascii="Arial" w:hAnsi="Arial"/>
                <w:sz w:val="24"/>
                <w:lang w:val="en-US"/>
              </w:rPr>
              <w:tab/>
            </w:r>
            <w:r>
              <w:rPr>
                <w:rFonts w:ascii="Arial" w:hAnsi="Arial"/>
                <w:sz w:val="18"/>
                <w:lang w:val="en-US"/>
              </w:rPr>
              <w:t>TDD UL-DL configuration is as specified in Table A.3.3.1-1 of TS 38.101-1 [18].</w:t>
            </w:r>
          </w:p>
          <w:p>
            <w:pPr>
              <w:keepNext/>
              <w:keepLines/>
              <w:spacing w:after="0"/>
              <w:ind w:left="851" w:hanging="851"/>
              <w:rPr>
                <w:rFonts w:ascii="Arial" w:hAnsi="Arial"/>
                <w:sz w:val="18"/>
                <w:lang w:val="en-US"/>
              </w:rPr>
            </w:pPr>
            <w:r>
              <w:rPr>
                <w:rFonts w:ascii="Arial" w:hAnsi="Arial"/>
                <w:sz w:val="18"/>
                <w:lang w:val="en-US"/>
              </w:rPr>
              <w:t>NOTE 2:</w:t>
            </w:r>
            <w:r>
              <w:rPr>
                <w:rFonts w:ascii="Arial" w:hAnsi="Arial"/>
                <w:sz w:val="18"/>
                <w:lang w:val="en-US"/>
              </w:rPr>
              <w:tab/>
            </w:r>
            <w:r>
              <w:rPr>
                <w:rFonts w:ascii="Arial" w:hAnsi="Arial"/>
                <w:sz w:val="18"/>
                <w:lang w:val="en-US"/>
              </w:rPr>
              <w:t>TDD UL-DL configuration is as specified in Table A.3.3.1-1 of TS 38.101-2 [19].</w:t>
            </w:r>
          </w:p>
        </w:tc>
      </w:tr>
    </w:tbl>
    <w:p/>
    <w:p>
      <w:pPr>
        <w:ind w:left="568" w:hanging="284"/>
        <w:jc w:val="center"/>
        <w:rPr>
          <w:rFonts w:ascii="Arial" w:hAnsi="Arial" w:cs="Arial"/>
          <w:b/>
          <w:vertAlign w:val="subscript"/>
          <w:lang w:val="en-US"/>
        </w:rPr>
      </w:pPr>
      <w:r>
        <w:rPr>
          <w:rFonts w:ascii="Arial" w:hAnsi="Arial" w:cs="Arial"/>
          <w:b/>
        </w:rPr>
        <w:t xml:space="preserve">Table 9.4.4.2.2.2-2: </w:t>
      </w:r>
      <w:ins w:id="4" w:author="Richie Leo (ZTE)" w:date="2020-01-16T17:26:40Z">
        <w:r>
          <w:rPr>
            <w:rFonts w:ascii="Arial" w:hAnsi="Arial"/>
            <w:b/>
          </w:rPr>
          <w:t>Minimum number</w:t>
        </w:r>
      </w:ins>
      <w:del w:id="5" w:author="Richie Leo (ZTE)" w:date="2020-01-16T17:26:40Z">
        <w:r>
          <w:rPr>
            <w:rFonts w:ascii="Arial" w:hAnsi="Arial" w:cs="Arial"/>
            <w:b/>
          </w:rPr>
          <w:delText>Number</w:delText>
        </w:r>
      </w:del>
      <w:r>
        <w:rPr>
          <w:rFonts w:ascii="Arial" w:hAnsi="Arial" w:cs="Arial"/>
          <w:b/>
        </w:rPr>
        <w:t xml:space="preserve"> of ACK/NACKs transmitted by the UE during </w:t>
      </w:r>
      <w:r>
        <w:rPr>
          <w:rFonts w:ascii="Arial" w:hAnsi="Arial" w:cs="Arial"/>
          <w:b/>
          <w:lang w:val="en-US"/>
        </w:rPr>
        <w:t>T</w:t>
      </w:r>
      <w:r>
        <w:rPr>
          <w:rFonts w:ascii="Arial" w:hAnsi="Arial" w:cs="Arial"/>
          <w:b/>
          <w:vertAlign w:val="subscript"/>
          <w:lang w:val="en-US"/>
        </w:rPr>
        <w:t>ECGI</w:t>
      </w:r>
    </w:p>
    <w:tbl>
      <w:tblPr>
        <w:tblStyle w:val="48"/>
        <w:tblW w:w="9103" w:type="dxa"/>
        <w:tblInd w:w="78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83"/>
        <w:gridCol w:w="3260"/>
        <w:gridCol w:w="32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5" w:hRule="atLeast"/>
        </w:trPr>
        <w:tc>
          <w:tcPr>
            <w:tcW w:w="2583" w:type="dxa"/>
            <w:vMerge w:val="restart"/>
            <w:shd w:val="clear" w:color="auto" w:fill="auto"/>
          </w:tcPr>
          <w:p>
            <w:pPr>
              <w:keepNext/>
              <w:keepLines/>
              <w:spacing w:after="0"/>
              <w:jc w:val="center"/>
              <w:rPr>
                <w:rFonts w:ascii="Arial" w:hAnsi="Arial"/>
                <w:b/>
                <w:sz w:val="18"/>
                <w:lang w:val="sv-SE"/>
              </w:rPr>
            </w:pPr>
            <w:r>
              <w:rPr>
                <w:rFonts w:ascii="Arial" w:hAnsi="Arial"/>
                <w:b/>
                <w:sz w:val="18"/>
                <w:lang w:val="sv-SE"/>
              </w:rPr>
              <w:t>N</w:t>
            </w:r>
            <w:r>
              <w:rPr>
                <w:rFonts w:ascii="Arial" w:hAnsi="Arial"/>
                <w:b/>
                <w:sz w:val="18"/>
                <w:vertAlign w:val="subscript"/>
                <w:lang w:val="sv-SE"/>
              </w:rPr>
              <w:t>ACK/NACK, ECGI, TDD</w:t>
            </w:r>
          </w:p>
        </w:tc>
        <w:tc>
          <w:tcPr>
            <w:tcW w:w="6520" w:type="dxa"/>
            <w:gridSpan w:val="2"/>
          </w:tcPr>
          <w:p>
            <w:pPr>
              <w:keepNext/>
              <w:keepLines/>
              <w:spacing w:after="0"/>
              <w:jc w:val="center"/>
              <w:rPr>
                <w:rFonts w:ascii="Arial" w:hAnsi="Arial"/>
                <w:b/>
                <w:sz w:val="18"/>
              </w:rPr>
            </w:pPr>
            <w:r>
              <w:rPr>
                <w:rFonts w:ascii="Arial" w:hAnsi="Arial" w:cs="v4.2.0"/>
                <w:b/>
                <w:sz w:val="18"/>
                <w:lang w:val="en-US"/>
              </w:rPr>
              <w:t>Configuration of the serving cell in which the transmitted ACK/NACKs are counted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5" w:hRule="atLeast"/>
        </w:trPr>
        <w:tc>
          <w:tcPr>
            <w:tcW w:w="2583" w:type="dxa"/>
            <w:vMerge w:val="continue"/>
            <w:shd w:val="clear" w:color="auto" w:fill="auto"/>
          </w:tcPr>
          <w:p>
            <w:pPr>
              <w:keepNext/>
              <w:keepLines/>
              <w:spacing w:after="0"/>
              <w:jc w:val="center"/>
              <w:rPr>
                <w:rFonts w:ascii="Arial" w:hAnsi="Arial"/>
                <w:b/>
                <w:sz w:val="18"/>
              </w:rPr>
            </w:pPr>
          </w:p>
        </w:tc>
        <w:tc>
          <w:tcPr>
            <w:tcW w:w="3260" w:type="dxa"/>
          </w:tcPr>
          <w:p>
            <w:pPr>
              <w:keepNext/>
              <w:keepLines/>
              <w:spacing w:after="0"/>
              <w:jc w:val="center"/>
              <w:rPr>
                <w:rFonts w:ascii="Arial" w:hAnsi="Arial" w:cs="v4.2.0"/>
                <w:b/>
                <w:sz w:val="18"/>
                <w:lang w:val="en-US"/>
              </w:rPr>
            </w:pPr>
            <w:r>
              <w:rPr>
                <w:rFonts w:ascii="Arial" w:hAnsi="Arial" w:cs="v4.2.0"/>
                <w:b/>
                <w:sz w:val="18"/>
                <w:lang w:val="en-US"/>
              </w:rPr>
              <w:t>Duplex mode configuration</w:t>
            </w:r>
          </w:p>
        </w:tc>
        <w:tc>
          <w:tcPr>
            <w:tcW w:w="3260" w:type="dxa"/>
          </w:tcPr>
          <w:p>
            <w:pPr>
              <w:keepNext/>
              <w:keepLines/>
              <w:spacing w:after="0"/>
              <w:jc w:val="center"/>
              <w:rPr>
                <w:rFonts w:ascii="Arial" w:hAnsi="Arial" w:cs="v4.2.0"/>
                <w:b/>
                <w:sz w:val="18"/>
                <w:lang w:val="en-US"/>
              </w:rPr>
            </w:pPr>
            <w:r>
              <w:rPr>
                <w:rFonts w:ascii="Arial" w:hAnsi="Arial" w:cs="v4.2.0"/>
                <w:b/>
                <w:sz w:val="18"/>
                <w:lang w:val="en-US"/>
              </w:rPr>
              <w:t>SCS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583" w:type="dxa"/>
            <w:shd w:val="clear" w:color="auto" w:fill="auto"/>
            <w:vAlign w:val="center"/>
          </w:tcPr>
          <w:p>
            <w:pPr>
              <w:keepNext/>
              <w:keepLines/>
              <w:spacing w:after="0"/>
              <w:jc w:val="center"/>
              <w:rPr>
                <w:rFonts w:ascii="Arial" w:hAnsi="Arial"/>
                <w:sz w:val="18"/>
              </w:rPr>
            </w:pPr>
            <w:r>
              <w:rPr>
                <w:rFonts w:ascii="Arial" w:hAnsi="Arial" w:eastAsia="Calibri"/>
                <w:sz w:val="18"/>
                <w:szCs w:val="18"/>
              </w:rPr>
              <w:t>66</w:t>
            </w:r>
          </w:p>
        </w:tc>
        <w:tc>
          <w:tcPr>
            <w:tcW w:w="3260" w:type="dxa"/>
            <w:vAlign w:val="center"/>
          </w:tcPr>
          <w:p>
            <w:pPr>
              <w:keepNext/>
              <w:keepLines/>
              <w:spacing w:after="0"/>
              <w:jc w:val="center"/>
              <w:rPr>
                <w:rFonts w:ascii="Arial" w:hAnsi="Arial"/>
                <w:sz w:val="18"/>
                <w:lang w:val="sv-SE"/>
              </w:rPr>
            </w:pPr>
            <w:r>
              <w:rPr>
                <w:rFonts w:ascii="Arial" w:hAnsi="Arial"/>
                <w:sz w:val="18"/>
                <w:lang w:val="sv-SE"/>
              </w:rPr>
              <w:t>FDD</w:t>
            </w:r>
          </w:p>
        </w:tc>
        <w:tc>
          <w:tcPr>
            <w:tcW w:w="3260" w:type="dxa"/>
            <w:vAlign w:val="center"/>
          </w:tcPr>
          <w:p>
            <w:pPr>
              <w:keepNext/>
              <w:keepLines/>
              <w:spacing w:after="0"/>
              <w:jc w:val="center"/>
              <w:rPr>
                <w:rFonts w:ascii="Arial" w:hAnsi="Arial"/>
                <w:sz w:val="18"/>
                <w:lang w:val="sv-SE"/>
              </w:rPr>
            </w:pPr>
            <w:r>
              <w:rPr>
                <w:rFonts w:ascii="Arial" w:hAnsi="Arial"/>
                <w:sz w:val="18"/>
                <w:lang w:val="sv-SE"/>
              </w:rPr>
              <w:t>15 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583" w:type="dxa"/>
            <w:shd w:val="clear" w:color="auto" w:fill="auto"/>
            <w:vAlign w:val="center"/>
          </w:tcPr>
          <w:p>
            <w:pPr>
              <w:keepNext/>
              <w:keepLines/>
              <w:spacing w:after="0"/>
              <w:jc w:val="center"/>
              <w:rPr>
                <w:rFonts w:ascii="Arial" w:hAnsi="Arial"/>
                <w:sz w:val="18"/>
              </w:rPr>
            </w:pPr>
            <w:r>
              <w:rPr>
                <w:rFonts w:ascii="Arial" w:hAnsi="Arial" w:eastAsia="Calibri"/>
                <w:sz w:val="18"/>
                <w:szCs w:val="18"/>
              </w:rPr>
              <w:t>145</w:t>
            </w:r>
          </w:p>
        </w:tc>
        <w:tc>
          <w:tcPr>
            <w:tcW w:w="3260" w:type="dxa"/>
            <w:vAlign w:val="center"/>
          </w:tcPr>
          <w:p>
            <w:pPr>
              <w:keepNext/>
              <w:keepLines/>
              <w:spacing w:after="0"/>
              <w:jc w:val="center"/>
              <w:rPr>
                <w:rFonts w:ascii="Arial" w:hAnsi="Arial"/>
                <w:sz w:val="18"/>
                <w:lang w:val="sv-SE"/>
              </w:rPr>
            </w:pPr>
            <w:r>
              <w:rPr>
                <w:rFonts w:ascii="Arial" w:hAnsi="Arial"/>
                <w:sz w:val="18"/>
                <w:lang w:val="sv-SE"/>
              </w:rPr>
              <w:t>FDD</w:t>
            </w:r>
          </w:p>
        </w:tc>
        <w:tc>
          <w:tcPr>
            <w:tcW w:w="3260" w:type="dxa"/>
            <w:vAlign w:val="center"/>
          </w:tcPr>
          <w:p>
            <w:pPr>
              <w:keepNext/>
              <w:keepLines/>
              <w:spacing w:after="0"/>
              <w:jc w:val="center"/>
              <w:rPr>
                <w:rFonts w:ascii="Arial" w:hAnsi="Arial"/>
                <w:sz w:val="18"/>
                <w:lang w:val="sv-SE"/>
              </w:rPr>
            </w:pPr>
            <w:r>
              <w:rPr>
                <w:rFonts w:ascii="Arial" w:hAnsi="Arial"/>
                <w:sz w:val="18"/>
                <w:lang w:val="sv-SE"/>
              </w:rPr>
              <w:t>30 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583" w:type="dxa"/>
            <w:shd w:val="clear" w:color="auto" w:fill="auto"/>
            <w:vAlign w:val="center"/>
          </w:tcPr>
          <w:p>
            <w:pPr>
              <w:keepNext/>
              <w:keepLines/>
              <w:spacing w:after="0"/>
              <w:jc w:val="center"/>
              <w:rPr>
                <w:rFonts w:ascii="Arial" w:hAnsi="Arial"/>
                <w:sz w:val="18"/>
              </w:rPr>
            </w:pPr>
            <w:r>
              <w:rPr>
                <w:rFonts w:ascii="Arial" w:hAnsi="Arial" w:eastAsia="Calibri"/>
                <w:sz w:val="18"/>
                <w:szCs w:val="18"/>
              </w:rPr>
              <w:t>298</w:t>
            </w:r>
          </w:p>
        </w:tc>
        <w:tc>
          <w:tcPr>
            <w:tcW w:w="3260" w:type="dxa"/>
            <w:vAlign w:val="center"/>
          </w:tcPr>
          <w:p>
            <w:pPr>
              <w:keepNext/>
              <w:keepLines/>
              <w:spacing w:after="0"/>
              <w:jc w:val="center"/>
              <w:rPr>
                <w:rFonts w:ascii="Arial" w:hAnsi="Arial"/>
                <w:sz w:val="18"/>
                <w:lang w:val="sv-SE"/>
              </w:rPr>
            </w:pPr>
            <w:r>
              <w:rPr>
                <w:rFonts w:ascii="Arial" w:hAnsi="Arial"/>
                <w:sz w:val="18"/>
                <w:lang w:val="sv-SE"/>
              </w:rPr>
              <w:t>FDD</w:t>
            </w:r>
          </w:p>
        </w:tc>
        <w:tc>
          <w:tcPr>
            <w:tcW w:w="3260" w:type="dxa"/>
            <w:vAlign w:val="center"/>
          </w:tcPr>
          <w:p>
            <w:pPr>
              <w:keepNext/>
              <w:keepLines/>
              <w:spacing w:after="0"/>
              <w:jc w:val="center"/>
              <w:rPr>
                <w:rFonts w:ascii="Arial" w:hAnsi="Arial"/>
                <w:sz w:val="18"/>
                <w:lang w:val="sv-SE"/>
              </w:rPr>
            </w:pPr>
            <w:r>
              <w:rPr>
                <w:rFonts w:ascii="Arial" w:hAnsi="Arial"/>
                <w:sz w:val="18"/>
                <w:lang w:val="sv-SE"/>
              </w:rPr>
              <w:t>60 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583" w:type="dxa"/>
            <w:shd w:val="clear" w:color="auto" w:fill="auto"/>
            <w:vAlign w:val="center"/>
          </w:tcPr>
          <w:p>
            <w:pPr>
              <w:keepNext/>
              <w:keepLines/>
              <w:spacing w:after="0"/>
              <w:jc w:val="center"/>
              <w:rPr>
                <w:rFonts w:ascii="Arial" w:hAnsi="Arial"/>
                <w:sz w:val="18"/>
              </w:rPr>
            </w:pPr>
            <w:r>
              <w:rPr>
                <w:rFonts w:ascii="Arial" w:hAnsi="Arial" w:eastAsia="Calibri"/>
                <w:sz w:val="18"/>
                <w:szCs w:val="18"/>
                <w:lang w:val="sv-SE"/>
              </w:rPr>
              <w:t>28</w:t>
            </w:r>
          </w:p>
        </w:tc>
        <w:tc>
          <w:tcPr>
            <w:tcW w:w="3260" w:type="dxa"/>
            <w:vAlign w:val="center"/>
          </w:tcPr>
          <w:p>
            <w:pPr>
              <w:keepNext/>
              <w:keepLines/>
              <w:spacing w:after="0"/>
              <w:jc w:val="center"/>
              <w:rPr>
                <w:rFonts w:ascii="Arial" w:hAnsi="Arial"/>
                <w:sz w:val="18"/>
                <w:lang w:val="sv-SE"/>
              </w:rPr>
            </w:pPr>
            <w:r>
              <w:rPr>
                <w:rFonts w:ascii="Arial" w:hAnsi="Arial"/>
                <w:sz w:val="18"/>
                <w:lang w:val="sv-SE"/>
              </w:rPr>
              <w:t xml:space="preserve">TDD </w:t>
            </w:r>
            <w:r>
              <w:rPr>
                <w:rFonts w:ascii="Arial" w:hAnsi="Arial"/>
                <w:sz w:val="18"/>
                <w:vertAlign w:val="superscript"/>
                <w:lang w:val="sv-SE"/>
              </w:rPr>
              <w:t>Note 1</w:t>
            </w:r>
          </w:p>
        </w:tc>
        <w:tc>
          <w:tcPr>
            <w:tcW w:w="3260" w:type="dxa"/>
            <w:vAlign w:val="center"/>
          </w:tcPr>
          <w:p>
            <w:pPr>
              <w:keepNext/>
              <w:keepLines/>
              <w:spacing w:after="0"/>
              <w:jc w:val="center"/>
              <w:rPr>
                <w:rFonts w:ascii="Arial" w:hAnsi="Arial"/>
                <w:sz w:val="18"/>
                <w:lang w:val="sv-SE"/>
              </w:rPr>
            </w:pPr>
            <w:r>
              <w:rPr>
                <w:rFonts w:ascii="Arial" w:hAnsi="Arial"/>
                <w:sz w:val="18"/>
                <w:lang w:val="sv-SE"/>
              </w:rPr>
              <w:t>15 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583" w:type="dxa"/>
            <w:shd w:val="clear" w:color="auto" w:fill="auto"/>
            <w:vAlign w:val="center"/>
          </w:tcPr>
          <w:p>
            <w:pPr>
              <w:keepNext/>
              <w:keepLines/>
              <w:spacing w:after="0"/>
              <w:jc w:val="center"/>
              <w:rPr>
                <w:rFonts w:ascii="Arial" w:hAnsi="Arial"/>
                <w:sz w:val="18"/>
              </w:rPr>
            </w:pPr>
            <w:r>
              <w:rPr>
                <w:rFonts w:ascii="Arial" w:hAnsi="Arial" w:eastAsia="Calibri"/>
                <w:sz w:val="18"/>
                <w:szCs w:val="18"/>
                <w:lang w:val="sv-SE"/>
              </w:rPr>
              <w:t>67</w:t>
            </w:r>
          </w:p>
        </w:tc>
        <w:tc>
          <w:tcPr>
            <w:tcW w:w="3260" w:type="dxa"/>
            <w:vAlign w:val="center"/>
          </w:tcPr>
          <w:p>
            <w:pPr>
              <w:keepNext/>
              <w:keepLines/>
              <w:spacing w:after="0"/>
              <w:jc w:val="center"/>
              <w:rPr>
                <w:rFonts w:ascii="Arial" w:hAnsi="Arial"/>
                <w:sz w:val="18"/>
                <w:lang w:val="sv-SE"/>
              </w:rPr>
            </w:pPr>
            <w:r>
              <w:rPr>
                <w:rFonts w:ascii="Arial" w:hAnsi="Arial"/>
                <w:sz w:val="18"/>
                <w:lang w:val="sv-SE"/>
              </w:rPr>
              <w:t xml:space="preserve">TDD </w:t>
            </w:r>
            <w:r>
              <w:rPr>
                <w:rFonts w:ascii="Arial" w:hAnsi="Arial"/>
                <w:sz w:val="18"/>
                <w:vertAlign w:val="superscript"/>
                <w:lang w:val="sv-SE"/>
              </w:rPr>
              <w:t>Note 1</w:t>
            </w:r>
          </w:p>
        </w:tc>
        <w:tc>
          <w:tcPr>
            <w:tcW w:w="3260" w:type="dxa"/>
            <w:vAlign w:val="center"/>
          </w:tcPr>
          <w:p>
            <w:pPr>
              <w:keepNext/>
              <w:keepLines/>
              <w:spacing w:after="0"/>
              <w:jc w:val="center"/>
              <w:rPr>
                <w:rFonts w:ascii="Arial" w:hAnsi="Arial"/>
                <w:sz w:val="18"/>
                <w:lang w:val="sv-SE"/>
              </w:rPr>
            </w:pPr>
            <w:r>
              <w:rPr>
                <w:rFonts w:ascii="Arial" w:hAnsi="Arial"/>
                <w:sz w:val="18"/>
                <w:lang w:val="sv-SE"/>
              </w:rPr>
              <w:t>30 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583" w:type="dxa"/>
            <w:shd w:val="clear" w:color="auto" w:fill="auto"/>
            <w:vAlign w:val="center"/>
          </w:tcPr>
          <w:p>
            <w:pPr>
              <w:keepNext/>
              <w:keepLines/>
              <w:spacing w:after="0"/>
              <w:jc w:val="center"/>
              <w:rPr>
                <w:rFonts w:ascii="Arial" w:hAnsi="Arial"/>
                <w:sz w:val="18"/>
              </w:rPr>
            </w:pPr>
            <w:r>
              <w:rPr>
                <w:rFonts w:ascii="Arial" w:hAnsi="Arial" w:eastAsia="Calibri"/>
                <w:sz w:val="18"/>
                <w:szCs w:val="18"/>
                <w:lang w:val="sv-SE"/>
              </w:rPr>
              <w:t>144</w:t>
            </w:r>
          </w:p>
        </w:tc>
        <w:tc>
          <w:tcPr>
            <w:tcW w:w="3260" w:type="dxa"/>
            <w:vAlign w:val="center"/>
          </w:tcPr>
          <w:p>
            <w:pPr>
              <w:keepNext/>
              <w:keepLines/>
              <w:spacing w:after="0"/>
              <w:jc w:val="center"/>
              <w:rPr>
                <w:rFonts w:ascii="Arial" w:hAnsi="Arial"/>
                <w:sz w:val="18"/>
                <w:lang w:val="sv-SE"/>
              </w:rPr>
            </w:pPr>
            <w:r>
              <w:rPr>
                <w:rFonts w:ascii="Arial" w:hAnsi="Arial"/>
                <w:sz w:val="18"/>
                <w:lang w:val="sv-SE"/>
              </w:rPr>
              <w:t xml:space="preserve">TDD </w:t>
            </w:r>
            <w:r>
              <w:rPr>
                <w:rFonts w:ascii="Arial" w:hAnsi="Arial"/>
                <w:sz w:val="18"/>
                <w:vertAlign w:val="superscript"/>
                <w:lang w:val="sv-SE"/>
              </w:rPr>
              <w:t>Note 1</w:t>
            </w:r>
          </w:p>
        </w:tc>
        <w:tc>
          <w:tcPr>
            <w:tcW w:w="3260" w:type="dxa"/>
            <w:vAlign w:val="center"/>
          </w:tcPr>
          <w:p>
            <w:pPr>
              <w:keepNext/>
              <w:keepLines/>
              <w:spacing w:after="0"/>
              <w:jc w:val="center"/>
              <w:rPr>
                <w:rFonts w:ascii="Arial" w:hAnsi="Arial"/>
                <w:sz w:val="18"/>
                <w:lang w:val="sv-SE"/>
              </w:rPr>
            </w:pPr>
            <w:r>
              <w:rPr>
                <w:rFonts w:ascii="Arial" w:hAnsi="Arial"/>
                <w:sz w:val="18"/>
                <w:lang w:val="sv-SE"/>
              </w:rPr>
              <w:t>60 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583" w:type="dxa"/>
            <w:shd w:val="clear" w:color="auto" w:fill="auto"/>
            <w:vAlign w:val="center"/>
          </w:tcPr>
          <w:p>
            <w:pPr>
              <w:keepNext/>
              <w:keepLines/>
              <w:spacing w:after="0"/>
              <w:jc w:val="center"/>
              <w:rPr>
                <w:rFonts w:ascii="Arial" w:hAnsi="Arial" w:eastAsia="Calibri"/>
                <w:sz w:val="18"/>
                <w:szCs w:val="18"/>
              </w:rPr>
            </w:pPr>
            <w:r>
              <w:rPr>
                <w:rFonts w:ascii="Arial" w:hAnsi="Arial" w:eastAsia="Calibri"/>
                <w:sz w:val="18"/>
                <w:szCs w:val="18"/>
                <w:lang w:val="sv-SE"/>
              </w:rPr>
              <w:t>175</w:t>
            </w:r>
          </w:p>
        </w:tc>
        <w:tc>
          <w:tcPr>
            <w:tcW w:w="3260" w:type="dxa"/>
            <w:vAlign w:val="center"/>
          </w:tcPr>
          <w:p>
            <w:pPr>
              <w:keepNext/>
              <w:keepLines/>
              <w:spacing w:after="0"/>
              <w:jc w:val="center"/>
              <w:rPr>
                <w:rFonts w:ascii="Arial" w:hAnsi="Arial"/>
                <w:sz w:val="18"/>
                <w:lang w:val="sv-SE"/>
              </w:rPr>
            </w:pPr>
            <w:r>
              <w:rPr>
                <w:rFonts w:ascii="Arial" w:hAnsi="Arial"/>
                <w:sz w:val="18"/>
                <w:lang w:val="sv-SE"/>
              </w:rPr>
              <w:t xml:space="preserve">TDD </w:t>
            </w:r>
            <w:r>
              <w:rPr>
                <w:rFonts w:ascii="Arial" w:hAnsi="Arial"/>
                <w:sz w:val="18"/>
                <w:vertAlign w:val="superscript"/>
                <w:lang w:val="sv-SE"/>
              </w:rPr>
              <w:t>Note 2</w:t>
            </w:r>
          </w:p>
        </w:tc>
        <w:tc>
          <w:tcPr>
            <w:tcW w:w="3260" w:type="dxa"/>
            <w:vAlign w:val="center"/>
          </w:tcPr>
          <w:p>
            <w:pPr>
              <w:keepNext/>
              <w:keepLines/>
              <w:spacing w:after="0"/>
              <w:jc w:val="center"/>
              <w:rPr>
                <w:rFonts w:ascii="Arial" w:hAnsi="Arial"/>
                <w:sz w:val="18"/>
                <w:lang w:val="sv-SE"/>
              </w:rPr>
            </w:pPr>
            <w:r>
              <w:rPr>
                <w:rFonts w:ascii="Arial" w:hAnsi="Arial"/>
                <w:sz w:val="18"/>
                <w:lang w:val="sv-SE"/>
              </w:rPr>
              <w:t>60 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583" w:type="dxa"/>
            <w:shd w:val="clear" w:color="auto" w:fill="auto"/>
            <w:vAlign w:val="center"/>
          </w:tcPr>
          <w:p>
            <w:pPr>
              <w:keepNext/>
              <w:keepLines/>
              <w:spacing w:after="0"/>
              <w:jc w:val="center"/>
              <w:rPr>
                <w:rFonts w:ascii="Arial" w:hAnsi="Arial" w:eastAsia="Calibri"/>
                <w:sz w:val="18"/>
                <w:szCs w:val="18"/>
              </w:rPr>
            </w:pPr>
            <w:r>
              <w:rPr>
                <w:rFonts w:ascii="Arial" w:hAnsi="Arial" w:eastAsia="Calibri"/>
                <w:sz w:val="18"/>
                <w:szCs w:val="18"/>
                <w:lang w:val="sv-SE"/>
              </w:rPr>
              <w:t>363</w:t>
            </w:r>
          </w:p>
        </w:tc>
        <w:tc>
          <w:tcPr>
            <w:tcW w:w="3260" w:type="dxa"/>
            <w:vAlign w:val="center"/>
          </w:tcPr>
          <w:p>
            <w:pPr>
              <w:keepNext/>
              <w:keepLines/>
              <w:spacing w:after="0"/>
              <w:jc w:val="center"/>
              <w:rPr>
                <w:rFonts w:ascii="Arial" w:hAnsi="Arial"/>
                <w:sz w:val="18"/>
                <w:lang w:val="sv-SE"/>
              </w:rPr>
            </w:pPr>
            <w:r>
              <w:rPr>
                <w:rFonts w:ascii="Arial" w:hAnsi="Arial"/>
                <w:sz w:val="18"/>
                <w:lang w:val="sv-SE"/>
              </w:rPr>
              <w:t xml:space="preserve">TDD </w:t>
            </w:r>
            <w:r>
              <w:rPr>
                <w:rFonts w:ascii="Arial" w:hAnsi="Arial"/>
                <w:sz w:val="18"/>
                <w:vertAlign w:val="superscript"/>
                <w:lang w:val="sv-SE"/>
              </w:rPr>
              <w:t>Note 2</w:t>
            </w:r>
          </w:p>
        </w:tc>
        <w:tc>
          <w:tcPr>
            <w:tcW w:w="3260" w:type="dxa"/>
            <w:vAlign w:val="center"/>
          </w:tcPr>
          <w:p>
            <w:pPr>
              <w:keepNext/>
              <w:keepLines/>
              <w:spacing w:after="0"/>
              <w:jc w:val="center"/>
              <w:rPr>
                <w:rFonts w:ascii="Arial" w:hAnsi="Arial"/>
                <w:sz w:val="18"/>
                <w:lang w:val="sv-SE"/>
              </w:rPr>
            </w:pPr>
            <w:r>
              <w:rPr>
                <w:rFonts w:ascii="Arial" w:hAnsi="Arial"/>
                <w:sz w:val="18"/>
                <w:lang w:val="sv-SE"/>
              </w:rPr>
              <w:t>120 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103" w:type="dxa"/>
            <w:gridSpan w:val="3"/>
            <w:shd w:val="clear" w:color="auto" w:fill="auto"/>
            <w:vAlign w:val="center"/>
          </w:tcPr>
          <w:p>
            <w:pPr>
              <w:keepNext/>
              <w:keepLines/>
              <w:spacing w:after="0"/>
              <w:ind w:left="851" w:hanging="851"/>
              <w:rPr>
                <w:rFonts w:ascii="Arial" w:hAnsi="Arial"/>
                <w:sz w:val="18"/>
                <w:lang w:val="en-US"/>
              </w:rPr>
            </w:pPr>
            <w:r>
              <w:rPr>
                <w:rFonts w:ascii="Arial" w:hAnsi="Arial"/>
                <w:sz w:val="18"/>
                <w:lang w:val="en-US"/>
              </w:rPr>
              <w:t>NOTE 1:</w:t>
            </w:r>
            <w:r>
              <w:rPr>
                <w:rFonts w:ascii="Arial" w:hAnsi="Arial"/>
                <w:sz w:val="24"/>
                <w:lang w:val="en-US"/>
              </w:rPr>
              <w:tab/>
            </w:r>
            <w:r>
              <w:rPr>
                <w:rFonts w:ascii="Arial" w:hAnsi="Arial"/>
                <w:sz w:val="18"/>
                <w:lang w:val="en-US"/>
              </w:rPr>
              <w:t>TDD UL-DL configuration is as specified in Table A.3.3.1-1 of TS 38.101-1 [18].</w:t>
            </w:r>
          </w:p>
          <w:p>
            <w:pPr>
              <w:keepNext/>
              <w:keepLines/>
              <w:spacing w:after="0"/>
              <w:ind w:left="851" w:hanging="851"/>
              <w:rPr>
                <w:rFonts w:ascii="Arial" w:hAnsi="Arial"/>
                <w:sz w:val="18"/>
                <w:lang w:val="en-US"/>
              </w:rPr>
            </w:pPr>
            <w:r>
              <w:rPr>
                <w:rFonts w:ascii="Arial" w:hAnsi="Arial"/>
                <w:sz w:val="18"/>
                <w:lang w:val="en-US"/>
              </w:rPr>
              <w:t>NOTE 2:</w:t>
            </w:r>
            <w:r>
              <w:rPr>
                <w:rFonts w:ascii="Arial" w:hAnsi="Arial"/>
                <w:sz w:val="18"/>
                <w:lang w:val="en-US"/>
              </w:rPr>
              <w:tab/>
            </w:r>
            <w:r>
              <w:rPr>
                <w:rFonts w:ascii="Arial" w:hAnsi="Arial"/>
                <w:sz w:val="18"/>
                <w:lang w:val="en-US"/>
              </w:rPr>
              <w:t>TDD UL-DL configuration is as specified in Table A.3.3.1-1 of TS 38.101-2 [19].</w:t>
            </w:r>
          </w:p>
        </w:tc>
      </w:tr>
    </w:tbl>
    <w:p>
      <w:pPr>
        <w:rPr>
          <w:i/>
        </w:rPr>
      </w:pPr>
    </w:p>
    <w:p>
      <w:pPr>
        <w:keepNext/>
        <w:keepLines/>
        <w:spacing w:before="60"/>
        <w:jc w:val="center"/>
        <w:rPr>
          <w:rFonts w:ascii="Arial" w:hAnsi="Arial"/>
          <w:b/>
          <w:vertAlign w:val="subscript"/>
          <w:lang w:val="en-US"/>
        </w:rPr>
      </w:pPr>
      <w:r>
        <w:rPr>
          <w:rFonts w:ascii="Arial" w:hAnsi="Arial"/>
          <w:b/>
        </w:rPr>
        <w:t xml:space="preserve">Table 9.4.4.2.2.2-3: </w:t>
      </w:r>
      <w:ins w:id="6" w:author="Richie Leo (ZTE)" w:date="2020-01-16T17:26:44Z">
        <w:r>
          <w:rPr>
            <w:rFonts w:ascii="Arial" w:hAnsi="Arial"/>
            <w:b/>
          </w:rPr>
          <w:t>Minimum number</w:t>
        </w:r>
      </w:ins>
      <w:del w:id="7" w:author="Richie Leo (ZTE)" w:date="2020-01-16T17:26:43Z">
        <w:r>
          <w:rPr>
            <w:rFonts w:ascii="Arial" w:hAnsi="Arial"/>
            <w:b/>
          </w:rPr>
          <w:delText>Number</w:delText>
        </w:r>
      </w:del>
      <w:r>
        <w:rPr>
          <w:rFonts w:ascii="Arial" w:hAnsi="Arial"/>
          <w:b/>
        </w:rPr>
        <w:t xml:space="preserve"> of ACK/NACKs transmitted by the UE during </w:t>
      </w:r>
      <w:r>
        <w:rPr>
          <w:rFonts w:ascii="Arial" w:hAnsi="Arial"/>
          <w:b/>
          <w:lang w:val="en-US"/>
        </w:rPr>
        <w:t>T</w:t>
      </w:r>
      <w:r>
        <w:rPr>
          <w:rFonts w:ascii="Arial" w:hAnsi="Arial"/>
          <w:b/>
          <w:vertAlign w:val="subscript"/>
          <w:lang w:val="en-US"/>
        </w:rPr>
        <w:t>MIB</w:t>
      </w:r>
      <w:r>
        <w:rPr>
          <w:rFonts w:ascii="Arial" w:hAnsi="Arial"/>
          <w:b/>
        </w:rPr>
        <w:t>+</w:t>
      </w:r>
      <w:r>
        <w:rPr>
          <w:rFonts w:ascii="Arial" w:hAnsi="Arial"/>
          <w:b/>
          <w:lang w:val="en-US"/>
        </w:rPr>
        <w:t>T</w:t>
      </w:r>
      <w:r>
        <w:rPr>
          <w:rFonts w:ascii="Arial" w:hAnsi="Arial"/>
          <w:b/>
          <w:vertAlign w:val="subscript"/>
          <w:lang w:val="en-US"/>
        </w:rPr>
        <w:t>ECGI</w:t>
      </w:r>
    </w:p>
    <w:tbl>
      <w:tblPr>
        <w:tblStyle w:val="48"/>
        <w:tblW w:w="9103" w:type="dxa"/>
        <w:tblInd w:w="78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83"/>
        <w:gridCol w:w="3260"/>
        <w:gridCol w:w="32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5" w:hRule="atLeast"/>
        </w:trPr>
        <w:tc>
          <w:tcPr>
            <w:tcW w:w="2583" w:type="dxa"/>
            <w:vMerge w:val="restart"/>
            <w:shd w:val="clear" w:color="auto" w:fill="auto"/>
          </w:tcPr>
          <w:p>
            <w:pPr>
              <w:keepNext/>
              <w:keepLines/>
              <w:spacing w:after="0"/>
              <w:jc w:val="center"/>
              <w:rPr>
                <w:rFonts w:ascii="Arial" w:hAnsi="Arial"/>
                <w:b/>
                <w:sz w:val="18"/>
                <w:lang w:val="sv-SE"/>
              </w:rPr>
            </w:pPr>
            <w:r>
              <w:rPr>
                <w:rFonts w:ascii="Arial" w:hAnsi="Arial"/>
                <w:b/>
                <w:sz w:val="18"/>
                <w:lang w:val="sv-SE"/>
              </w:rPr>
              <w:t>N</w:t>
            </w:r>
            <w:r>
              <w:rPr>
                <w:rFonts w:ascii="Arial" w:hAnsi="Arial"/>
                <w:b/>
                <w:sz w:val="18"/>
                <w:vertAlign w:val="subscript"/>
                <w:lang w:val="sv-SE"/>
              </w:rPr>
              <w:t>ACK/NACK, MIB+ECGI, TDD</w:t>
            </w:r>
          </w:p>
        </w:tc>
        <w:tc>
          <w:tcPr>
            <w:tcW w:w="6520" w:type="dxa"/>
            <w:gridSpan w:val="2"/>
          </w:tcPr>
          <w:p>
            <w:pPr>
              <w:keepNext/>
              <w:keepLines/>
              <w:spacing w:after="0"/>
              <w:jc w:val="center"/>
              <w:rPr>
                <w:rFonts w:ascii="Arial" w:hAnsi="Arial"/>
                <w:b/>
                <w:sz w:val="18"/>
              </w:rPr>
            </w:pPr>
            <w:r>
              <w:rPr>
                <w:rFonts w:ascii="Arial" w:hAnsi="Arial" w:cs="v4.2.0"/>
                <w:b/>
                <w:sz w:val="18"/>
                <w:lang w:val="en-US"/>
              </w:rPr>
              <w:t>Configuration of the serving cell in which the transmitted ACK/NACKs are counted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5" w:hRule="atLeast"/>
        </w:trPr>
        <w:tc>
          <w:tcPr>
            <w:tcW w:w="2583" w:type="dxa"/>
            <w:vMerge w:val="continue"/>
            <w:shd w:val="clear" w:color="auto" w:fill="auto"/>
          </w:tcPr>
          <w:p>
            <w:pPr>
              <w:keepNext/>
              <w:keepLines/>
              <w:spacing w:after="0"/>
              <w:jc w:val="center"/>
              <w:rPr>
                <w:rFonts w:ascii="Arial" w:hAnsi="Arial"/>
                <w:b/>
                <w:sz w:val="18"/>
              </w:rPr>
            </w:pPr>
          </w:p>
        </w:tc>
        <w:tc>
          <w:tcPr>
            <w:tcW w:w="3260" w:type="dxa"/>
          </w:tcPr>
          <w:p>
            <w:pPr>
              <w:keepNext/>
              <w:keepLines/>
              <w:spacing w:after="0"/>
              <w:jc w:val="center"/>
              <w:rPr>
                <w:rFonts w:ascii="Arial" w:hAnsi="Arial" w:cs="v4.2.0"/>
                <w:b/>
                <w:sz w:val="18"/>
                <w:lang w:val="en-US"/>
              </w:rPr>
            </w:pPr>
            <w:r>
              <w:rPr>
                <w:rFonts w:ascii="Arial" w:hAnsi="Arial" w:cs="v4.2.0"/>
                <w:b/>
                <w:sz w:val="18"/>
                <w:lang w:val="en-US"/>
              </w:rPr>
              <w:t>Duplex mode configuration</w:t>
            </w:r>
          </w:p>
        </w:tc>
        <w:tc>
          <w:tcPr>
            <w:tcW w:w="3260" w:type="dxa"/>
          </w:tcPr>
          <w:p>
            <w:pPr>
              <w:keepNext/>
              <w:keepLines/>
              <w:spacing w:after="0"/>
              <w:jc w:val="center"/>
              <w:rPr>
                <w:rFonts w:ascii="Arial" w:hAnsi="Arial" w:cs="v4.2.0"/>
                <w:b/>
                <w:sz w:val="18"/>
                <w:lang w:val="en-US"/>
              </w:rPr>
            </w:pPr>
            <w:r>
              <w:rPr>
                <w:rFonts w:ascii="Arial" w:hAnsi="Arial" w:cs="v4.2.0"/>
                <w:b/>
                <w:sz w:val="18"/>
                <w:lang w:val="en-US"/>
              </w:rPr>
              <w:t>SCS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583" w:type="dxa"/>
            <w:shd w:val="clear" w:color="auto" w:fill="auto"/>
          </w:tcPr>
          <w:p>
            <w:pPr>
              <w:keepNext/>
              <w:keepLines/>
              <w:spacing w:after="0"/>
              <w:jc w:val="center"/>
              <w:rPr>
                <w:rFonts w:ascii="Arial" w:hAnsi="Arial"/>
                <w:sz w:val="18"/>
              </w:rPr>
            </w:pPr>
            <w:r>
              <w:rPr>
                <w:rFonts w:ascii="Arial" w:hAnsi="Arial" w:eastAsia="Calibri"/>
                <w:sz w:val="18"/>
                <w:szCs w:val="18"/>
              </w:rPr>
              <w:t>84</w:t>
            </w:r>
          </w:p>
        </w:tc>
        <w:tc>
          <w:tcPr>
            <w:tcW w:w="3260" w:type="dxa"/>
            <w:vAlign w:val="center"/>
          </w:tcPr>
          <w:p>
            <w:pPr>
              <w:keepNext/>
              <w:keepLines/>
              <w:spacing w:after="0"/>
              <w:jc w:val="center"/>
              <w:rPr>
                <w:rFonts w:ascii="Arial" w:hAnsi="Arial"/>
                <w:sz w:val="18"/>
                <w:lang w:val="sv-SE"/>
              </w:rPr>
            </w:pPr>
            <w:r>
              <w:rPr>
                <w:rFonts w:ascii="Arial" w:hAnsi="Arial"/>
                <w:sz w:val="18"/>
                <w:lang w:val="sv-SE"/>
              </w:rPr>
              <w:t>FDD</w:t>
            </w:r>
          </w:p>
        </w:tc>
        <w:tc>
          <w:tcPr>
            <w:tcW w:w="3260" w:type="dxa"/>
            <w:vAlign w:val="center"/>
          </w:tcPr>
          <w:p>
            <w:pPr>
              <w:keepNext/>
              <w:keepLines/>
              <w:spacing w:after="0"/>
              <w:jc w:val="center"/>
              <w:rPr>
                <w:rFonts w:ascii="Arial" w:hAnsi="Arial"/>
                <w:sz w:val="18"/>
                <w:lang w:val="sv-SE"/>
              </w:rPr>
            </w:pPr>
            <w:r>
              <w:rPr>
                <w:rFonts w:ascii="Arial" w:hAnsi="Arial"/>
                <w:sz w:val="18"/>
                <w:lang w:val="sv-SE"/>
              </w:rPr>
              <w:t>15 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583" w:type="dxa"/>
            <w:shd w:val="clear" w:color="auto" w:fill="auto"/>
          </w:tcPr>
          <w:p>
            <w:pPr>
              <w:keepNext/>
              <w:keepLines/>
              <w:spacing w:after="0"/>
              <w:jc w:val="center"/>
              <w:rPr>
                <w:rFonts w:ascii="Arial" w:hAnsi="Arial"/>
                <w:sz w:val="18"/>
              </w:rPr>
            </w:pPr>
            <w:r>
              <w:rPr>
                <w:rFonts w:ascii="Arial" w:hAnsi="Arial" w:eastAsia="Calibri"/>
                <w:sz w:val="18"/>
                <w:szCs w:val="18"/>
              </w:rPr>
              <w:t>193</w:t>
            </w:r>
          </w:p>
        </w:tc>
        <w:tc>
          <w:tcPr>
            <w:tcW w:w="3260" w:type="dxa"/>
            <w:vAlign w:val="center"/>
          </w:tcPr>
          <w:p>
            <w:pPr>
              <w:keepNext/>
              <w:keepLines/>
              <w:spacing w:after="0"/>
              <w:jc w:val="center"/>
              <w:rPr>
                <w:rFonts w:ascii="Arial" w:hAnsi="Arial"/>
                <w:sz w:val="18"/>
                <w:lang w:val="sv-SE"/>
              </w:rPr>
            </w:pPr>
            <w:r>
              <w:rPr>
                <w:rFonts w:ascii="Arial" w:hAnsi="Arial"/>
                <w:sz w:val="18"/>
                <w:lang w:val="sv-SE"/>
              </w:rPr>
              <w:t>FDD</w:t>
            </w:r>
          </w:p>
        </w:tc>
        <w:tc>
          <w:tcPr>
            <w:tcW w:w="3260" w:type="dxa"/>
            <w:vAlign w:val="center"/>
          </w:tcPr>
          <w:p>
            <w:pPr>
              <w:keepNext/>
              <w:keepLines/>
              <w:spacing w:after="0"/>
              <w:jc w:val="center"/>
              <w:rPr>
                <w:rFonts w:ascii="Arial" w:hAnsi="Arial"/>
                <w:sz w:val="18"/>
                <w:lang w:val="sv-SE"/>
              </w:rPr>
            </w:pPr>
            <w:r>
              <w:rPr>
                <w:rFonts w:ascii="Arial" w:hAnsi="Arial"/>
                <w:sz w:val="18"/>
                <w:lang w:val="sv-SE"/>
              </w:rPr>
              <w:t>30 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583" w:type="dxa"/>
            <w:shd w:val="clear" w:color="auto" w:fill="auto"/>
          </w:tcPr>
          <w:p>
            <w:pPr>
              <w:keepNext/>
              <w:keepLines/>
              <w:spacing w:after="0"/>
              <w:jc w:val="center"/>
              <w:rPr>
                <w:rFonts w:ascii="Arial" w:hAnsi="Arial"/>
                <w:sz w:val="18"/>
              </w:rPr>
            </w:pPr>
            <w:r>
              <w:rPr>
                <w:rFonts w:ascii="Arial" w:hAnsi="Arial" w:eastAsia="Calibri"/>
                <w:sz w:val="18"/>
                <w:szCs w:val="18"/>
              </w:rPr>
              <w:t xml:space="preserve"> 402</w:t>
            </w:r>
          </w:p>
        </w:tc>
        <w:tc>
          <w:tcPr>
            <w:tcW w:w="3260" w:type="dxa"/>
            <w:vAlign w:val="center"/>
          </w:tcPr>
          <w:p>
            <w:pPr>
              <w:keepNext/>
              <w:keepLines/>
              <w:spacing w:after="0"/>
              <w:jc w:val="center"/>
              <w:rPr>
                <w:rFonts w:ascii="Arial" w:hAnsi="Arial"/>
                <w:sz w:val="18"/>
                <w:lang w:val="sv-SE"/>
              </w:rPr>
            </w:pPr>
            <w:r>
              <w:rPr>
                <w:rFonts w:ascii="Arial" w:hAnsi="Arial"/>
                <w:sz w:val="18"/>
                <w:lang w:val="sv-SE"/>
              </w:rPr>
              <w:t>FDD</w:t>
            </w:r>
          </w:p>
        </w:tc>
        <w:tc>
          <w:tcPr>
            <w:tcW w:w="3260" w:type="dxa"/>
            <w:vAlign w:val="center"/>
          </w:tcPr>
          <w:p>
            <w:pPr>
              <w:keepNext/>
              <w:keepLines/>
              <w:spacing w:after="0"/>
              <w:jc w:val="center"/>
              <w:rPr>
                <w:rFonts w:ascii="Arial" w:hAnsi="Arial"/>
                <w:sz w:val="18"/>
                <w:lang w:val="sv-SE"/>
              </w:rPr>
            </w:pPr>
            <w:r>
              <w:rPr>
                <w:rFonts w:ascii="Arial" w:hAnsi="Arial"/>
                <w:sz w:val="18"/>
                <w:lang w:val="sv-SE"/>
              </w:rPr>
              <w:t>60 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583" w:type="dxa"/>
            <w:shd w:val="clear" w:color="auto" w:fill="auto"/>
          </w:tcPr>
          <w:p>
            <w:pPr>
              <w:keepNext/>
              <w:keepLines/>
              <w:spacing w:after="0"/>
              <w:jc w:val="center"/>
              <w:rPr>
                <w:rFonts w:ascii="Arial" w:hAnsi="Arial"/>
                <w:sz w:val="18"/>
              </w:rPr>
            </w:pPr>
            <w:r>
              <w:rPr>
                <w:rFonts w:ascii="Arial" w:hAnsi="Arial" w:eastAsia="Calibri"/>
                <w:sz w:val="18"/>
                <w:szCs w:val="18"/>
              </w:rPr>
              <w:t>28</w:t>
            </w:r>
          </w:p>
        </w:tc>
        <w:tc>
          <w:tcPr>
            <w:tcW w:w="3260" w:type="dxa"/>
            <w:vAlign w:val="center"/>
          </w:tcPr>
          <w:p>
            <w:pPr>
              <w:keepNext/>
              <w:keepLines/>
              <w:spacing w:after="0"/>
              <w:jc w:val="center"/>
              <w:rPr>
                <w:rFonts w:ascii="Arial" w:hAnsi="Arial"/>
                <w:sz w:val="18"/>
                <w:lang w:val="sv-SE"/>
              </w:rPr>
            </w:pPr>
            <w:r>
              <w:rPr>
                <w:rFonts w:ascii="Arial" w:hAnsi="Arial"/>
                <w:sz w:val="18"/>
                <w:lang w:val="sv-SE"/>
              </w:rPr>
              <w:t xml:space="preserve">TDD </w:t>
            </w:r>
            <w:r>
              <w:rPr>
                <w:rFonts w:ascii="Arial" w:hAnsi="Arial"/>
                <w:sz w:val="18"/>
                <w:vertAlign w:val="superscript"/>
                <w:lang w:val="sv-SE"/>
              </w:rPr>
              <w:t>Note 1</w:t>
            </w:r>
          </w:p>
        </w:tc>
        <w:tc>
          <w:tcPr>
            <w:tcW w:w="3260" w:type="dxa"/>
            <w:vAlign w:val="center"/>
          </w:tcPr>
          <w:p>
            <w:pPr>
              <w:keepNext/>
              <w:keepLines/>
              <w:spacing w:after="0"/>
              <w:jc w:val="center"/>
              <w:rPr>
                <w:rFonts w:ascii="Arial" w:hAnsi="Arial"/>
                <w:sz w:val="18"/>
                <w:lang w:val="sv-SE"/>
              </w:rPr>
            </w:pPr>
            <w:r>
              <w:rPr>
                <w:rFonts w:ascii="Arial" w:hAnsi="Arial"/>
                <w:sz w:val="18"/>
                <w:lang w:val="sv-SE"/>
              </w:rPr>
              <w:t>15 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583" w:type="dxa"/>
            <w:shd w:val="clear" w:color="auto" w:fill="auto"/>
          </w:tcPr>
          <w:p>
            <w:pPr>
              <w:keepNext/>
              <w:keepLines/>
              <w:spacing w:after="0"/>
              <w:jc w:val="center"/>
              <w:rPr>
                <w:rFonts w:ascii="Arial" w:hAnsi="Arial"/>
                <w:sz w:val="18"/>
              </w:rPr>
            </w:pPr>
            <w:r>
              <w:rPr>
                <w:rFonts w:ascii="Arial" w:hAnsi="Arial" w:eastAsia="Calibri"/>
                <w:sz w:val="18"/>
                <w:szCs w:val="18"/>
              </w:rPr>
              <w:t>81</w:t>
            </w:r>
          </w:p>
        </w:tc>
        <w:tc>
          <w:tcPr>
            <w:tcW w:w="3260" w:type="dxa"/>
            <w:vAlign w:val="center"/>
          </w:tcPr>
          <w:p>
            <w:pPr>
              <w:keepNext/>
              <w:keepLines/>
              <w:spacing w:after="0"/>
              <w:jc w:val="center"/>
              <w:rPr>
                <w:rFonts w:ascii="Arial" w:hAnsi="Arial"/>
                <w:sz w:val="18"/>
                <w:lang w:val="sv-SE"/>
              </w:rPr>
            </w:pPr>
            <w:r>
              <w:rPr>
                <w:rFonts w:ascii="Arial" w:hAnsi="Arial"/>
                <w:sz w:val="18"/>
                <w:lang w:val="sv-SE"/>
              </w:rPr>
              <w:t xml:space="preserve">TDD </w:t>
            </w:r>
            <w:r>
              <w:rPr>
                <w:rFonts w:ascii="Arial" w:hAnsi="Arial"/>
                <w:sz w:val="18"/>
                <w:vertAlign w:val="superscript"/>
                <w:lang w:val="sv-SE"/>
              </w:rPr>
              <w:t>Note 1</w:t>
            </w:r>
          </w:p>
        </w:tc>
        <w:tc>
          <w:tcPr>
            <w:tcW w:w="3260" w:type="dxa"/>
            <w:vAlign w:val="center"/>
          </w:tcPr>
          <w:p>
            <w:pPr>
              <w:keepNext/>
              <w:keepLines/>
              <w:spacing w:after="0"/>
              <w:jc w:val="center"/>
              <w:rPr>
                <w:rFonts w:ascii="Arial" w:hAnsi="Arial"/>
                <w:sz w:val="18"/>
                <w:lang w:val="sv-SE"/>
              </w:rPr>
            </w:pPr>
            <w:r>
              <w:rPr>
                <w:rFonts w:ascii="Arial" w:hAnsi="Arial"/>
                <w:sz w:val="18"/>
                <w:lang w:val="sv-SE"/>
              </w:rPr>
              <w:t>30 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583" w:type="dxa"/>
            <w:shd w:val="clear" w:color="auto" w:fill="auto"/>
          </w:tcPr>
          <w:p>
            <w:pPr>
              <w:keepNext/>
              <w:keepLines/>
              <w:spacing w:after="0"/>
              <w:jc w:val="center"/>
              <w:rPr>
                <w:rFonts w:ascii="Arial" w:hAnsi="Arial"/>
                <w:sz w:val="18"/>
              </w:rPr>
            </w:pPr>
            <w:r>
              <w:rPr>
                <w:rFonts w:ascii="Arial" w:hAnsi="Arial" w:eastAsia="Calibri"/>
                <w:sz w:val="18"/>
                <w:szCs w:val="18"/>
              </w:rPr>
              <w:t>159</w:t>
            </w:r>
          </w:p>
        </w:tc>
        <w:tc>
          <w:tcPr>
            <w:tcW w:w="3260" w:type="dxa"/>
            <w:vAlign w:val="center"/>
          </w:tcPr>
          <w:p>
            <w:pPr>
              <w:keepNext/>
              <w:keepLines/>
              <w:spacing w:after="0"/>
              <w:jc w:val="center"/>
              <w:rPr>
                <w:rFonts w:ascii="Arial" w:hAnsi="Arial"/>
                <w:sz w:val="18"/>
                <w:lang w:val="sv-SE"/>
              </w:rPr>
            </w:pPr>
            <w:r>
              <w:rPr>
                <w:rFonts w:ascii="Arial" w:hAnsi="Arial"/>
                <w:sz w:val="18"/>
                <w:lang w:val="sv-SE"/>
              </w:rPr>
              <w:t xml:space="preserve">TDD </w:t>
            </w:r>
            <w:r>
              <w:rPr>
                <w:rFonts w:ascii="Arial" w:hAnsi="Arial"/>
                <w:sz w:val="18"/>
                <w:vertAlign w:val="superscript"/>
                <w:lang w:val="sv-SE"/>
              </w:rPr>
              <w:t>Note 1</w:t>
            </w:r>
          </w:p>
        </w:tc>
        <w:tc>
          <w:tcPr>
            <w:tcW w:w="3260" w:type="dxa"/>
            <w:vAlign w:val="center"/>
          </w:tcPr>
          <w:p>
            <w:pPr>
              <w:keepNext/>
              <w:keepLines/>
              <w:spacing w:after="0"/>
              <w:jc w:val="center"/>
              <w:rPr>
                <w:rFonts w:ascii="Arial" w:hAnsi="Arial"/>
                <w:sz w:val="18"/>
                <w:lang w:val="sv-SE"/>
              </w:rPr>
            </w:pPr>
            <w:r>
              <w:rPr>
                <w:rFonts w:ascii="Arial" w:hAnsi="Arial"/>
                <w:sz w:val="18"/>
                <w:lang w:val="sv-SE"/>
              </w:rPr>
              <w:t>60 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583" w:type="dxa"/>
            <w:shd w:val="clear" w:color="auto" w:fill="auto"/>
            <w:vAlign w:val="center"/>
          </w:tcPr>
          <w:p>
            <w:pPr>
              <w:keepNext/>
              <w:keepLines/>
              <w:spacing w:after="0"/>
              <w:jc w:val="center"/>
              <w:rPr>
                <w:rFonts w:ascii="Arial" w:hAnsi="Arial" w:eastAsia="Calibri"/>
                <w:sz w:val="18"/>
                <w:szCs w:val="18"/>
              </w:rPr>
            </w:pPr>
            <w:r>
              <w:rPr>
                <w:rFonts w:ascii="Arial" w:hAnsi="Arial" w:eastAsia="Calibri"/>
                <w:sz w:val="18"/>
                <w:szCs w:val="18"/>
              </w:rPr>
              <w:t>233</w:t>
            </w:r>
          </w:p>
        </w:tc>
        <w:tc>
          <w:tcPr>
            <w:tcW w:w="3260" w:type="dxa"/>
            <w:vAlign w:val="center"/>
          </w:tcPr>
          <w:p>
            <w:pPr>
              <w:keepNext/>
              <w:keepLines/>
              <w:spacing w:after="0"/>
              <w:jc w:val="center"/>
              <w:rPr>
                <w:rFonts w:ascii="Arial" w:hAnsi="Arial"/>
                <w:sz w:val="18"/>
                <w:lang w:val="sv-SE"/>
              </w:rPr>
            </w:pPr>
            <w:r>
              <w:rPr>
                <w:rFonts w:ascii="Arial" w:hAnsi="Arial"/>
                <w:sz w:val="18"/>
                <w:lang w:val="sv-SE"/>
              </w:rPr>
              <w:t xml:space="preserve">TDD </w:t>
            </w:r>
            <w:r>
              <w:rPr>
                <w:rFonts w:ascii="Arial" w:hAnsi="Arial"/>
                <w:sz w:val="18"/>
                <w:vertAlign w:val="superscript"/>
                <w:lang w:val="sv-SE"/>
              </w:rPr>
              <w:t>Note 2</w:t>
            </w:r>
          </w:p>
        </w:tc>
        <w:tc>
          <w:tcPr>
            <w:tcW w:w="3260" w:type="dxa"/>
            <w:vAlign w:val="center"/>
          </w:tcPr>
          <w:p>
            <w:pPr>
              <w:keepNext/>
              <w:keepLines/>
              <w:spacing w:after="0"/>
              <w:jc w:val="center"/>
              <w:rPr>
                <w:rFonts w:ascii="Arial" w:hAnsi="Arial"/>
                <w:sz w:val="18"/>
                <w:lang w:val="sv-SE"/>
              </w:rPr>
            </w:pPr>
            <w:r>
              <w:rPr>
                <w:rFonts w:ascii="Arial" w:hAnsi="Arial"/>
                <w:sz w:val="18"/>
                <w:lang w:val="sv-SE"/>
              </w:rPr>
              <w:t>60 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583" w:type="dxa"/>
            <w:shd w:val="clear" w:color="auto" w:fill="auto"/>
            <w:vAlign w:val="center"/>
          </w:tcPr>
          <w:p>
            <w:pPr>
              <w:keepNext/>
              <w:keepLines/>
              <w:spacing w:after="0"/>
              <w:jc w:val="center"/>
              <w:rPr>
                <w:rFonts w:ascii="Arial" w:hAnsi="Arial" w:eastAsia="Calibri"/>
                <w:sz w:val="18"/>
                <w:szCs w:val="18"/>
              </w:rPr>
            </w:pPr>
            <w:r>
              <w:rPr>
                <w:rFonts w:ascii="Arial" w:hAnsi="Arial" w:eastAsia="Calibri"/>
                <w:sz w:val="18"/>
                <w:szCs w:val="18"/>
              </w:rPr>
              <w:t>491</w:t>
            </w:r>
          </w:p>
        </w:tc>
        <w:tc>
          <w:tcPr>
            <w:tcW w:w="3260" w:type="dxa"/>
            <w:vAlign w:val="center"/>
          </w:tcPr>
          <w:p>
            <w:pPr>
              <w:keepNext/>
              <w:keepLines/>
              <w:spacing w:after="0"/>
              <w:jc w:val="center"/>
              <w:rPr>
                <w:rFonts w:ascii="Arial" w:hAnsi="Arial"/>
                <w:sz w:val="18"/>
                <w:lang w:val="sv-SE"/>
              </w:rPr>
            </w:pPr>
            <w:r>
              <w:rPr>
                <w:rFonts w:ascii="Arial" w:hAnsi="Arial"/>
                <w:sz w:val="18"/>
                <w:lang w:val="sv-SE"/>
              </w:rPr>
              <w:t xml:space="preserve">TDD </w:t>
            </w:r>
            <w:r>
              <w:rPr>
                <w:rFonts w:ascii="Arial" w:hAnsi="Arial"/>
                <w:sz w:val="18"/>
                <w:vertAlign w:val="superscript"/>
                <w:lang w:val="sv-SE"/>
              </w:rPr>
              <w:t>Note 2</w:t>
            </w:r>
          </w:p>
        </w:tc>
        <w:tc>
          <w:tcPr>
            <w:tcW w:w="3260" w:type="dxa"/>
            <w:vAlign w:val="center"/>
          </w:tcPr>
          <w:p>
            <w:pPr>
              <w:keepNext/>
              <w:keepLines/>
              <w:spacing w:after="0"/>
              <w:jc w:val="center"/>
              <w:rPr>
                <w:rFonts w:ascii="Arial" w:hAnsi="Arial"/>
                <w:sz w:val="18"/>
                <w:lang w:val="sv-SE"/>
              </w:rPr>
            </w:pPr>
            <w:r>
              <w:rPr>
                <w:rFonts w:ascii="Arial" w:hAnsi="Arial"/>
                <w:sz w:val="18"/>
                <w:lang w:val="sv-SE"/>
              </w:rPr>
              <w:t>120 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103" w:type="dxa"/>
            <w:gridSpan w:val="3"/>
            <w:shd w:val="clear" w:color="auto" w:fill="auto"/>
            <w:vAlign w:val="center"/>
          </w:tcPr>
          <w:p>
            <w:pPr>
              <w:keepNext/>
              <w:keepLines/>
              <w:spacing w:after="0"/>
              <w:ind w:left="851" w:hanging="851"/>
              <w:rPr>
                <w:rFonts w:ascii="Arial" w:hAnsi="Arial"/>
                <w:sz w:val="18"/>
                <w:lang w:val="en-US"/>
              </w:rPr>
            </w:pPr>
            <w:r>
              <w:rPr>
                <w:rFonts w:ascii="Arial" w:hAnsi="Arial"/>
                <w:sz w:val="18"/>
                <w:lang w:val="en-US"/>
              </w:rPr>
              <w:t>NOTE 1:</w:t>
            </w:r>
            <w:r>
              <w:rPr>
                <w:rFonts w:ascii="Arial" w:hAnsi="Arial"/>
                <w:sz w:val="24"/>
                <w:lang w:val="en-US"/>
              </w:rPr>
              <w:tab/>
            </w:r>
            <w:r>
              <w:rPr>
                <w:rFonts w:ascii="Arial" w:hAnsi="Arial"/>
                <w:sz w:val="18"/>
                <w:lang w:val="en-US"/>
              </w:rPr>
              <w:t>TDD UL-DL configuration is as specified in Table A.3.3.1-1 of TS 38.101-1 [18].</w:t>
            </w:r>
          </w:p>
          <w:p>
            <w:pPr>
              <w:keepNext/>
              <w:keepLines/>
              <w:spacing w:after="0"/>
              <w:ind w:left="851" w:hanging="851"/>
              <w:rPr>
                <w:rFonts w:ascii="Arial" w:hAnsi="Arial"/>
                <w:sz w:val="18"/>
                <w:lang w:val="en-US"/>
              </w:rPr>
            </w:pPr>
            <w:r>
              <w:rPr>
                <w:rFonts w:ascii="Arial" w:hAnsi="Arial"/>
                <w:sz w:val="18"/>
                <w:lang w:val="en-US"/>
              </w:rPr>
              <w:t>NOTE 2:</w:t>
            </w:r>
            <w:r>
              <w:rPr>
                <w:rFonts w:ascii="Arial" w:hAnsi="Arial"/>
                <w:sz w:val="24"/>
                <w:lang w:val="en-US"/>
              </w:rPr>
              <w:tab/>
            </w:r>
            <w:r>
              <w:rPr>
                <w:rFonts w:ascii="Arial" w:hAnsi="Arial"/>
                <w:sz w:val="18"/>
                <w:lang w:val="en-US"/>
              </w:rPr>
              <w:t>TDD UL-DL configuration is as specified in Table A.3.3.1-1 of TS 38.101-2 [19].</w:t>
            </w:r>
          </w:p>
        </w:tc>
      </w:tr>
    </w:tbl>
    <w:p>
      <w:pPr>
        <w:tabs>
          <w:tab w:val="left" w:pos="1920"/>
        </w:tabs>
      </w:pPr>
    </w:p>
    <w:p>
      <w:pPr>
        <w:rPr>
          <w:i/>
          <w:color w:val="0000FF"/>
          <w:lang w:eastAsia="zh-CN"/>
        </w:rPr>
      </w:pPr>
      <w:r>
        <w:rPr>
          <w:i/>
          <w:color w:val="0000FF"/>
          <w:lang w:eastAsia="zh-CN"/>
        </w:rPr>
        <w:t>&lt;end of the change</w:t>
      </w:r>
      <w:r>
        <w:rPr>
          <w:rFonts w:hint="eastAsia"/>
          <w:i/>
          <w:color w:val="0000FF"/>
          <w:lang w:val="en-US" w:eastAsia="zh-CN"/>
        </w:rPr>
        <w:t xml:space="preserve"> 2</w:t>
      </w:r>
      <w:r>
        <w:rPr>
          <w:i/>
          <w:color w:val="0000FF"/>
          <w:lang w:eastAsia="zh-CN"/>
        </w:rPr>
        <w:t>&gt;</w:t>
      </w:r>
    </w:p>
    <w:p>
      <w:pPr>
        <w:tabs>
          <w:tab w:val="left" w:pos="1920"/>
        </w:tabs>
      </w:pPr>
    </w:p>
    <w:p>
      <w:pPr>
        <w:tabs>
          <w:tab w:val="left" w:pos="1920"/>
        </w:tabs>
      </w:pPr>
    </w:p>
    <w:p>
      <w:pPr>
        <w:rPr>
          <w:i/>
          <w:color w:val="0000FF"/>
          <w:lang w:eastAsia="zh-CN"/>
        </w:rPr>
      </w:pPr>
      <w:r>
        <w:rPr>
          <w:i/>
          <w:color w:val="0000FF"/>
          <w:lang w:eastAsia="zh-CN"/>
        </w:rPr>
        <w:t>&lt;start of the change</w:t>
      </w:r>
      <w:r>
        <w:rPr>
          <w:rFonts w:hint="eastAsia"/>
          <w:i/>
          <w:color w:val="0000FF"/>
          <w:lang w:val="en-US" w:eastAsia="zh-CN"/>
        </w:rPr>
        <w:t xml:space="preserve"> 3</w:t>
      </w:r>
      <w:r>
        <w:rPr>
          <w:i/>
          <w:color w:val="0000FF"/>
          <w:lang w:eastAsia="zh-CN"/>
        </w:rPr>
        <w:t>&gt;</w:t>
      </w:r>
    </w:p>
    <w:p>
      <w:pPr>
        <w:keepNext/>
        <w:keepLines/>
        <w:spacing w:before="120"/>
        <w:ind w:left="1134" w:hanging="1134"/>
        <w:outlineLvl w:val="2"/>
        <w:rPr>
          <w:rFonts w:ascii="Arial" w:hAnsi="Arial"/>
          <w:sz w:val="28"/>
          <w:lang w:val="en-US"/>
        </w:rPr>
      </w:pPr>
      <w:r>
        <w:rPr>
          <w:rFonts w:ascii="Arial" w:hAnsi="Arial"/>
          <w:sz w:val="28"/>
          <w:lang w:val="en-US"/>
        </w:rPr>
        <w:t>8.10.3</w:t>
      </w:r>
      <w:r>
        <w:rPr>
          <w:rFonts w:ascii="Arial" w:hAnsi="Arial"/>
          <w:sz w:val="28"/>
          <w:lang w:val="en-US"/>
        </w:rPr>
        <w:tab/>
      </w:r>
      <w:r>
        <w:rPr>
          <w:rFonts w:ascii="Arial" w:hAnsi="Arial"/>
          <w:sz w:val="28"/>
          <w:lang w:val="en-US"/>
        </w:rPr>
        <w:t>MAC-CE based TCI state switch delay</w:t>
      </w:r>
    </w:p>
    <w:p>
      <w:pPr>
        <w:rPr>
          <w:lang w:val="en-US" w:eastAsia="zh-CN"/>
        </w:rPr>
      </w:pPr>
      <w:r>
        <w:rPr>
          <w:rFonts w:eastAsia="Malgun Gothic"/>
          <w:lang w:val="en-US" w:eastAsia="zh-CN"/>
        </w:rPr>
        <w:t>If the target TCI state is known, upon</w:t>
      </w:r>
      <w:r>
        <w:rPr>
          <w:lang w:val="en-US" w:eastAsia="zh-CN"/>
        </w:rPr>
        <w:t xml:space="preserve"> receiv</w:t>
      </w:r>
      <w:r>
        <w:rPr>
          <w:rFonts w:eastAsia="Malgun Gothic"/>
          <w:lang w:val="en-US" w:eastAsia="zh-CN"/>
        </w:rPr>
        <w:t>ing PDSCH carrying</w:t>
      </w:r>
      <w:r>
        <w:rPr>
          <w:lang w:val="en-US" w:eastAsia="zh-CN"/>
        </w:rPr>
        <w:t xml:space="preserve"> </w:t>
      </w:r>
      <w:r>
        <w:rPr>
          <w:rFonts w:eastAsia="Malgun Gothic"/>
          <w:lang w:val="en-US" w:eastAsia="zh-CN"/>
        </w:rPr>
        <w:t>MAC-CE activation command in slot n</w:t>
      </w:r>
      <w:r>
        <w:rPr>
          <w:lang w:val="en-US" w:eastAsia="zh-CN"/>
        </w:rPr>
        <w:t>, UE shall be able to receive PD</w:t>
      </w:r>
      <w:r>
        <w:rPr>
          <w:rFonts w:eastAsia="Malgun Gothic"/>
          <w:lang w:val="en-US" w:eastAsia="zh-CN"/>
        </w:rPr>
        <w:t>C</w:t>
      </w:r>
      <w:r>
        <w:rPr>
          <w:lang w:val="en-US" w:eastAsia="zh-CN"/>
        </w:rPr>
        <w:t xml:space="preserve">CH with target </w:t>
      </w:r>
      <w:r>
        <w:rPr>
          <w:rFonts w:eastAsia="Malgun Gothic"/>
          <w:lang w:val="en-US" w:eastAsia="zh-CN"/>
        </w:rPr>
        <w:t>TCI state</w:t>
      </w:r>
      <w:r>
        <w:rPr>
          <w:lang w:val="en-US" w:eastAsia="zh-CN"/>
        </w:rPr>
        <w:t xml:space="preserve"> </w:t>
      </w:r>
      <w:r>
        <w:rPr>
          <w:rFonts w:eastAsia="Malgun Gothic"/>
          <w:lang w:val="en-US" w:eastAsia="zh-CN"/>
        </w:rPr>
        <w:t>of</w:t>
      </w:r>
      <w:r>
        <w:rPr>
          <w:lang w:val="en-US" w:eastAsia="zh-CN"/>
        </w:rPr>
        <w:t xml:space="preserve"> the serving cell on which </w:t>
      </w:r>
      <w:r>
        <w:rPr>
          <w:rFonts w:eastAsia="Malgun Gothic"/>
          <w:lang w:val="en-US" w:eastAsia="zh-CN"/>
        </w:rPr>
        <w:t>TCI state</w:t>
      </w:r>
      <w:r>
        <w:rPr>
          <w:lang w:val="en-US" w:eastAsia="zh-CN"/>
        </w:rPr>
        <w:t xml:space="preserve"> switch occurs no later than at slot n+</w:t>
      </w:r>
      <w:r>
        <w:rPr>
          <w:rFonts w:eastAsia="Malgun Gothic"/>
          <w:lang w:eastAsia="zh-CN"/>
        </w:rPr>
        <w:t xml:space="preserve"> T</w:t>
      </w:r>
      <w:r>
        <w:rPr>
          <w:rFonts w:eastAsia="Malgun Gothic"/>
          <w:vertAlign w:val="subscript"/>
          <w:lang w:eastAsia="zh-CN"/>
        </w:rPr>
        <w:t>HARQ</w:t>
      </w:r>
      <w:r>
        <w:rPr>
          <w:rFonts w:eastAsia="Malgun Gothic"/>
          <w:lang w:eastAsia="zh-CN"/>
        </w:rPr>
        <w:t xml:space="preserve"> +(</w:t>
      </w:r>
      <w:r>
        <w:rPr>
          <w:rFonts w:eastAsia="Malgun Gothic"/>
          <w:lang w:val="en-US" w:eastAsia="zh-CN"/>
        </w:rPr>
        <w:t>3 ms +TO</w:t>
      </w:r>
      <w:r>
        <w:rPr>
          <w:rFonts w:eastAsia="Malgun Gothic"/>
          <w:vertAlign w:val="subscript"/>
          <w:lang w:val="en-US" w:eastAsia="zh-CN"/>
        </w:rPr>
        <w:t>k</w:t>
      </w:r>
      <w:r>
        <w:rPr>
          <w:rFonts w:eastAsia="Malgun Gothic"/>
          <w:lang w:val="en-US" w:eastAsia="zh-CN"/>
        </w:rPr>
        <w:t>*(T</w:t>
      </w:r>
      <w:r>
        <w:rPr>
          <w:rFonts w:eastAsia="Malgun Gothic"/>
          <w:vertAlign w:val="subscript"/>
          <w:lang w:val="en-US" w:eastAsia="zh-CN"/>
        </w:rPr>
        <w:t xml:space="preserve">first-SSB </w:t>
      </w:r>
      <w:r>
        <w:rPr>
          <w:rFonts w:eastAsia="Malgun Gothic"/>
          <w:lang w:val="en-US" w:eastAsia="zh-CN"/>
        </w:rPr>
        <w:t>+ T</w:t>
      </w:r>
      <w:r>
        <w:rPr>
          <w:rFonts w:eastAsia="Malgun Gothic"/>
          <w:vertAlign w:val="subscript"/>
          <w:lang w:val="en-US" w:eastAsia="zh-CN"/>
        </w:rPr>
        <w:t>SSB-proc</w:t>
      </w:r>
      <w:r>
        <w:rPr>
          <w:rFonts w:eastAsia="Malgun Gothic"/>
          <w:lang w:val="en-US" w:eastAsia="zh-CN"/>
        </w:rPr>
        <w:t>))</w:t>
      </w:r>
      <w:r>
        <w:rPr>
          <w:lang w:val="en-US" w:eastAsia="zh-CN"/>
        </w:rPr>
        <w:t xml:space="preserve"> / </w:t>
      </w:r>
      <w:r>
        <w:rPr>
          <w:i/>
          <w:lang w:val="en-US" w:eastAsia="zh-CN"/>
        </w:rPr>
        <w:t>NR slot length</w:t>
      </w:r>
      <w:r>
        <w:rPr>
          <w:lang w:val="en-US" w:eastAsia="zh-CN"/>
        </w:rPr>
        <w:t>. The UE shall be able to receive PDCCH with  the old TCI state until slot n+</w:t>
      </w:r>
      <w:r>
        <w:rPr>
          <w:rFonts w:eastAsia="Malgun Gothic"/>
          <w:lang w:eastAsia="zh-CN"/>
        </w:rPr>
        <w:t xml:space="preserve"> T</w:t>
      </w:r>
      <w:r>
        <w:rPr>
          <w:rFonts w:eastAsia="Malgun Gothic"/>
          <w:vertAlign w:val="subscript"/>
          <w:lang w:eastAsia="zh-CN"/>
        </w:rPr>
        <w:t>HARQ</w:t>
      </w:r>
      <w:r>
        <w:rPr>
          <w:rFonts w:eastAsia="Malgun Gothic"/>
          <w:lang w:eastAsia="zh-CN"/>
        </w:rPr>
        <w:t xml:space="preserve"> +(</w:t>
      </w:r>
      <w:r>
        <w:rPr>
          <w:rFonts w:eastAsia="Malgun Gothic"/>
          <w:lang w:val="en-US" w:eastAsia="zh-CN"/>
        </w:rPr>
        <w:t>3 ms +TO</w:t>
      </w:r>
      <w:r>
        <w:rPr>
          <w:rFonts w:eastAsia="Malgun Gothic"/>
          <w:vertAlign w:val="subscript"/>
          <w:lang w:val="en-US" w:eastAsia="zh-CN"/>
        </w:rPr>
        <w:t>k</w:t>
      </w:r>
      <w:r>
        <w:rPr>
          <w:rFonts w:eastAsia="Malgun Gothic"/>
          <w:lang w:val="en-US" w:eastAsia="zh-CN"/>
        </w:rPr>
        <w:t>*(T</w:t>
      </w:r>
      <w:r>
        <w:rPr>
          <w:rFonts w:eastAsia="Malgun Gothic"/>
          <w:vertAlign w:val="subscript"/>
          <w:lang w:val="en-US" w:eastAsia="zh-CN"/>
        </w:rPr>
        <w:t>first-SSB</w:t>
      </w:r>
      <w:r>
        <w:rPr>
          <w:lang w:val="en-US" w:eastAsia="zh-CN"/>
        </w:rPr>
        <w:t xml:space="preserve">)) / </w:t>
      </w:r>
      <w:r>
        <w:rPr>
          <w:i/>
          <w:lang w:val="en-US" w:eastAsia="zh-CN"/>
        </w:rPr>
        <w:t>NR slot length</w:t>
      </w:r>
      <w:r>
        <w:rPr>
          <w:lang w:val="en-US" w:eastAsia="zh-CN"/>
        </w:rPr>
        <w:t>.</w:t>
      </w:r>
    </w:p>
    <w:p>
      <w:pPr>
        <w:rPr>
          <w:rFonts w:eastAsia="Malgun Gothic"/>
          <w:lang w:val="en-US" w:eastAsia="zh-CN"/>
        </w:rPr>
      </w:pPr>
      <w:r>
        <w:rPr>
          <w:lang w:val="en-US" w:eastAsia="zh-CN"/>
        </w:rPr>
        <w:t xml:space="preserve">Where </w:t>
      </w:r>
      <w:r>
        <w:t>T</w:t>
      </w:r>
      <w:r>
        <w:rPr>
          <w:vertAlign w:val="subscript"/>
        </w:rPr>
        <w:t>HARQ</w:t>
      </w:r>
      <w:r>
        <w:t xml:space="preserve"> is the timing between DL data transmission and acknowledgement as specified in TS 38.</w:t>
      </w:r>
      <w:ins w:id="8" w:author="Richie Leo (ZTE)" w:date="2020-02-02T16:21:38Z">
        <w:r>
          <w:rPr>
            <w:rFonts w:hint="eastAsia" w:eastAsia="宋体"/>
            <w:lang w:val="en-US" w:eastAsia="zh-CN"/>
          </w:rPr>
          <w:t>213</w:t>
        </w:r>
      </w:ins>
      <w:del w:id="9" w:author="Richie Leo (ZTE)" w:date="2020-02-02T16:21:37Z">
        <w:r>
          <w:rPr/>
          <w:delText>321</w:delText>
        </w:r>
      </w:del>
      <w:r>
        <w:t> [</w:t>
      </w:r>
      <w:ins w:id="10" w:author="Richie Leo (ZTE)" w:date="2020-02-02T16:21:50Z">
        <w:r>
          <w:rPr>
            <w:rFonts w:hint="eastAsia" w:eastAsia="宋体"/>
            <w:lang w:val="en-US" w:eastAsia="zh-CN"/>
          </w:rPr>
          <w:t>3</w:t>
        </w:r>
      </w:ins>
      <w:del w:id="11" w:author="Richie Leo (ZTE)" w:date="2020-02-02T16:21:50Z">
        <w:r>
          <w:rPr/>
          <w:delText>7</w:delText>
        </w:r>
      </w:del>
      <w:r>
        <w:t>]</w:t>
      </w:r>
      <w:r>
        <w:rPr>
          <w:rFonts w:eastAsia="Malgun Gothic"/>
          <w:lang w:val="en-US" w:eastAsia="zh-CN"/>
        </w:rPr>
        <w:t xml:space="preserve">; </w:t>
      </w:r>
    </w:p>
    <w:p>
      <w:pPr>
        <w:ind w:left="568" w:firstLine="152"/>
        <w:rPr>
          <w:lang w:val="en-US" w:eastAsia="zh-CN"/>
        </w:rPr>
      </w:pPr>
      <w:r>
        <w:rPr>
          <w:lang w:val="en-US" w:eastAsia="zh-CN"/>
        </w:rPr>
        <w:t>T</w:t>
      </w:r>
      <w:r>
        <w:rPr>
          <w:vertAlign w:val="subscript"/>
          <w:lang w:val="en-US" w:eastAsia="zh-CN"/>
        </w:rPr>
        <w:t xml:space="preserve">first-SSB </w:t>
      </w:r>
      <w:r>
        <w:rPr>
          <w:lang w:val="en-US" w:eastAsia="zh-CN"/>
        </w:rPr>
        <w:t xml:space="preserve">is time to first SSB transmission after MAC CE command is decoded by the UE; </w:t>
      </w:r>
    </w:p>
    <w:p>
      <w:pPr>
        <w:ind w:firstLine="720"/>
        <w:rPr>
          <w:rFonts w:eastAsia="Malgun Gothic"/>
          <w:lang w:val="en-US" w:eastAsia="zh-CN"/>
        </w:rPr>
      </w:pPr>
      <w:r>
        <w:rPr>
          <w:rFonts w:eastAsia="Malgun Gothic"/>
          <w:lang w:val="en-US" w:eastAsia="zh-CN"/>
        </w:rPr>
        <w:t xml:space="preserve"> T</w:t>
      </w:r>
      <w:r>
        <w:rPr>
          <w:rFonts w:eastAsia="Malgun Gothic"/>
          <w:vertAlign w:val="subscript"/>
          <w:lang w:val="en-US" w:eastAsia="zh-CN"/>
        </w:rPr>
        <w:t xml:space="preserve">SSB-proc </w:t>
      </w:r>
      <w:r>
        <w:rPr>
          <w:rFonts w:eastAsia="Malgun Gothic"/>
          <w:lang w:val="en-US" w:eastAsia="zh-CN"/>
        </w:rPr>
        <w:t xml:space="preserve">= 2 ms; </w:t>
      </w:r>
    </w:p>
    <w:p>
      <w:pPr>
        <w:ind w:firstLine="720"/>
        <w:rPr>
          <w:rFonts w:eastAsia="Malgun Gothic"/>
          <w:lang w:val="en-US" w:eastAsia="zh-CN"/>
        </w:rPr>
      </w:pPr>
      <w:r>
        <w:rPr>
          <w:rFonts w:eastAsia="Malgun Gothic"/>
          <w:lang w:val="en-US" w:eastAsia="zh-CN"/>
        </w:rPr>
        <w:t>TO</w:t>
      </w:r>
      <w:r>
        <w:rPr>
          <w:rFonts w:eastAsia="Malgun Gothic"/>
          <w:vertAlign w:val="subscript"/>
          <w:lang w:val="en-US" w:eastAsia="zh-CN"/>
        </w:rPr>
        <w:t>k</w:t>
      </w:r>
      <w:r>
        <w:rPr>
          <w:rFonts w:eastAsia="Malgun Gothic"/>
          <w:lang w:val="en-US" w:eastAsia="zh-CN"/>
        </w:rPr>
        <w:t xml:space="preserve"> = 1 if target TCI state is not in the active TCI state list for PDSCH, 0 otherwise.</w:t>
      </w:r>
    </w:p>
    <w:p>
      <w:pPr>
        <w:rPr>
          <w:lang w:val="en-US" w:eastAsia="zh-CN"/>
        </w:rPr>
      </w:pPr>
      <w:r>
        <w:rPr>
          <w:rFonts w:eastAsia="Malgun Gothic"/>
          <w:lang w:val="en-US" w:eastAsia="zh-CN"/>
        </w:rPr>
        <w:t>If the target TCI state is unknown, upon</w:t>
      </w:r>
      <w:r>
        <w:rPr>
          <w:lang w:val="en-US" w:eastAsia="zh-CN"/>
        </w:rPr>
        <w:t xml:space="preserve"> receiv</w:t>
      </w:r>
      <w:r>
        <w:rPr>
          <w:rFonts w:eastAsia="Malgun Gothic"/>
          <w:lang w:val="en-US" w:eastAsia="zh-CN"/>
        </w:rPr>
        <w:t>ing PDSCH carrying</w:t>
      </w:r>
      <w:r>
        <w:rPr>
          <w:lang w:val="en-US" w:eastAsia="zh-CN"/>
        </w:rPr>
        <w:t xml:space="preserve"> </w:t>
      </w:r>
      <w:r>
        <w:rPr>
          <w:rFonts w:eastAsia="Malgun Gothic"/>
          <w:lang w:val="en-US" w:eastAsia="zh-CN"/>
        </w:rPr>
        <w:t>MAC-CE activation command in slot n</w:t>
      </w:r>
      <w:r>
        <w:rPr>
          <w:lang w:val="en-US" w:eastAsia="zh-CN"/>
        </w:rPr>
        <w:t>, UE shall be able to receive PD</w:t>
      </w:r>
      <w:r>
        <w:rPr>
          <w:rFonts w:eastAsia="Malgun Gothic"/>
          <w:lang w:val="en-US" w:eastAsia="zh-CN"/>
        </w:rPr>
        <w:t>C</w:t>
      </w:r>
      <w:r>
        <w:rPr>
          <w:lang w:val="en-US" w:eastAsia="zh-CN"/>
        </w:rPr>
        <w:t xml:space="preserve">CH with target </w:t>
      </w:r>
      <w:r>
        <w:rPr>
          <w:rFonts w:eastAsia="Malgun Gothic"/>
          <w:lang w:val="en-US" w:eastAsia="zh-CN"/>
        </w:rPr>
        <w:t>TCI state</w:t>
      </w:r>
      <w:r>
        <w:rPr>
          <w:lang w:val="en-US" w:eastAsia="zh-CN"/>
        </w:rPr>
        <w:t xml:space="preserve"> </w:t>
      </w:r>
      <w:r>
        <w:rPr>
          <w:rFonts w:eastAsia="Malgun Gothic"/>
          <w:lang w:val="en-US" w:eastAsia="zh-CN"/>
        </w:rPr>
        <w:t>of</w:t>
      </w:r>
      <w:r>
        <w:rPr>
          <w:lang w:val="en-US" w:eastAsia="zh-CN"/>
        </w:rPr>
        <w:t xml:space="preserve"> the serving cell on which </w:t>
      </w:r>
      <w:r>
        <w:rPr>
          <w:rFonts w:eastAsia="Malgun Gothic"/>
          <w:lang w:val="en-US" w:eastAsia="zh-CN"/>
        </w:rPr>
        <w:t>TCI state</w:t>
      </w:r>
      <w:r>
        <w:rPr>
          <w:lang w:val="en-US" w:eastAsia="zh-CN"/>
        </w:rPr>
        <w:t xml:space="preserve"> switch occurs no later than at slot n+</w:t>
      </w:r>
      <w:r>
        <w:rPr>
          <w:rFonts w:eastAsia="Malgun Gothic"/>
          <w:lang w:eastAsia="zh-CN"/>
        </w:rPr>
        <w:t xml:space="preserve"> T</w:t>
      </w:r>
      <w:r>
        <w:rPr>
          <w:rFonts w:eastAsia="Malgun Gothic"/>
          <w:vertAlign w:val="subscript"/>
          <w:lang w:eastAsia="zh-CN"/>
        </w:rPr>
        <w:t>HARQ</w:t>
      </w:r>
      <w:r>
        <w:rPr>
          <w:rFonts w:eastAsia="Malgun Gothic"/>
          <w:lang w:eastAsia="zh-CN"/>
        </w:rPr>
        <w:t xml:space="preserve"> +(</w:t>
      </w:r>
      <w:r>
        <w:rPr>
          <w:rFonts w:eastAsia="Malgun Gothic"/>
          <w:lang w:val="en-US" w:eastAsia="zh-CN"/>
        </w:rPr>
        <w:t xml:space="preserve">3 ms + </w:t>
      </w:r>
      <w:r>
        <w:rPr>
          <w:lang w:eastAsia="en-GB"/>
        </w:rPr>
        <w:t>T</w:t>
      </w:r>
      <w:r>
        <w:rPr>
          <w:vertAlign w:val="subscript"/>
          <w:lang w:eastAsia="en-GB"/>
        </w:rPr>
        <w:t xml:space="preserve">L1-RSRP </w:t>
      </w:r>
      <w:r>
        <w:rPr>
          <w:rFonts w:eastAsia="Malgun Gothic"/>
          <w:lang w:val="en-US" w:eastAsia="zh-CN"/>
        </w:rPr>
        <w:t>+TO</w:t>
      </w:r>
      <w:r>
        <w:rPr>
          <w:rFonts w:eastAsia="Malgun Gothic"/>
          <w:vertAlign w:val="subscript"/>
          <w:lang w:val="en-US" w:eastAsia="zh-CN"/>
        </w:rPr>
        <w:t>uk</w:t>
      </w:r>
      <w:r>
        <w:rPr>
          <w:rFonts w:eastAsia="Malgun Gothic"/>
          <w:lang w:val="en-US" w:eastAsia="zh-CN"/>
        </w:rPr>
        <w:t>*(T</w:t>
      </w:r>
      <w:r>
        <w:rPr>
          <w:rFonts w:eastAsia="Malgun Gothic"/>
          <w:vertAlign w:val="subscript"/>
          <w:lang w:val="en-US" w:eastAsia="zh-CN"/>
        </w:rPr>
        <w:t>first-SSB</w:t>
      </w:r>
      <w:r>
        <w:rPr>
          <w:rFonts w:eastAsia="Malgun Gothic"/>
          <w:lang w:val="en-US" w:eastAsia="zh-CN"/>
        </w:rPr>
        <w:t>+ T</w:t>
      </w:r>
      <w:r>
        <w:rPr>
          <w:rFonts w:eastAsia="Malgun Gothic"/>
          <w:vertAlign w:val="subscript"/>
          <w:lang w:val="en-US" w:eastAsia="zh-CN"/>
        </w:rPr>
        <w:t>SSB-proc</w:t>
      </w:r>
      <w:r>
        <w:rPr>
          <w:rFonts w:eastAsia="Malgun Gothic"/>
          <w:lang w:val="en-US" w:eastAsia="zh-CN"/>
        </w:rPr>
        <w:t>))</w:t>
      </w:r>
      <w:r>
        <w:rPr>
          <w:lang w:val="en-US" w:eastAsia="zh-CN"/>
        </w:rPr>
        <w:t xml:space="preserve"> / </w:t>
      </w:r>
      <w:r>
        <w:rPr>
          <w:i/>
          <w:lang w:val="en-US" w:eastAsia="zh-CN"/>
        </w:rPr>
        <w:t>NR slot length</w:t>
      </w:r>
      <w:r>
        <w:rPr>
          <w:lang w:val="en-US" w:eastAsia="zh-CN"/>
        </w:rPr>
        <w:t>. The UE shall be able to receive PDCCH with the old TCI state until slot n+</w:t>
      </w:r>
      <w:r>
        <w:rPr>
          <w:rFonts w:eastAsia="Malgun Gothic"/>
          <w:lang w:eastAsia="zh-CN"/>
        </w:rPr>
        <w:t xml:space="preserve"> T</w:t>
      </w:r>
      <w:r>
        <w:rPr>
          <w:rFonts w:eastAsia="Malgun Gothic"/>
          <w:vertAlign w:val="subscript"/>
          <w:lang w:eastAsia="zh-CN"/>
        </w:rPr>
        <w:t>HARQ</w:t>
      </w:r>
      <w:r>
        <w:rPr>
          <w:rFonts w:eastAsia="Malgun Gothic"/>
          <w:lang w:eastAsia="zh-CN"/>
        </w:rPr>
        <w:t xml:space="preserve"> +(</w:t>
      </w:r>
      <w:r>
        <w:rPr>
          <w:rFonts w:eastAsia="Malgun Gothic"/>
          <w:lang w:val="en-US" w:eastAsia="zh-CN"/>
        </w:rPr>
        <w:t xml:space="preserve">3 ms+ </w:t>
      </w:r>
      <w:r>
        <w:rPr>
          <w:lang w:eastAsia="en-GB"/>
        </w:rPr>
        <w:t>T</w:t>
      </w:r>
      <w:r>
        <w:rPr>
          <w:vertAlign w:val="subscript"/>
          <w:lang w:eastAsia="en-GB"/>
        </w:rPr>
        <w:t>L1-RSRP</w:t>
      </w:r>
      <w:r>
        <w:rPr>
          <w:rFonts w:eastAsia="Malgun Gothic"/>
          <w:lang w:val="en-US" w:eastAsia="zh-CN"/>
        </w:rPr>
        <w:t xml:space="preserve"> +TO</w:t>
      </w:r>
      <w:r>
        <w:rPr>
          <w:rFonts w:eastAsia="Malgun Gothic"/>
          <w:vertAlign w:val="subscript"/>
          <w:lang w:val="en-US" w:eastAsia="zh-CN"/>
        </w:rPr>
        <w:t>uk</w:t>
      </w:r>
      <w:r>
        <w:rPr>
          <w:rFonts w:eastAsia="Malgun Gothic"/>
          <w:lang w:val="en-US" w:eastAsia="zh-CN"/>
        </w:rPr>
        <w:t>*(T</w:t>
      </w:r>
      <w:r>
        <w:rPr>
          <w:rFonts w:eastAsia="Malgun Gothic"/>
          <w:vertAlign w:val="subscript"/>
          <w:lang w:val="en-US" w:eastAsia="zh-CN"/>
        </w:rPr>
        <w:t>first-SSB</w:t>
      </w:r>
      <w:r>
        <w:rPr>
          <w:lang w:val="en-US" w:eastAsia="zh-CN"/>
        </w:rPr>
        <w:t xml:space="preserve">)) / </w:t>
      </w:r>
      <w:r>
        <w:rPr>
          <w:i/>
          <w:lang w:val="en-US" w:eastAsia="zh-CN"/>
        </w:rPr>
        <w:t>NR slot length</w:t>
      </w:r>
      <w:r>
        <w:rPr>
          <w:lang w:val="en-US" w:eastAsia="zh-CN"/>
        </w:rPr>
        <w:t>.</w:t>
      </w:r>
    </w:p>
    <w:p>
      <w:pPr>
        <w:rPr>
          <w:lang w:eastAsia="en-GB"/>
        </w:rPr>
      </w:pPr>
      <w:r>
        <w:rPr>
          <w:lang w:eastAsia="en-GB"/>
        </w:rPr>
        <w:t>Where T</w:t>
      </w:r>
      <w:r>
        <w:rPr>
          <w:vertAlign w:val="subscript"/>
          <w:lang w:eastAsia="en-GB"/>
        </w:rPr>
        <w:t xml:space="preserve"> L1-RSRP</w:t>
      </w:r>
      <w:r>
        <w:rPr>
          <w:lang w:eastAsia="en-GB"/>
        </w:rPr>
        <w:t xml:space="preserve"> is the time for L1-RSRP measurement for Rx beam refinement, defined as</w:t>
      </w:r>
    </w:p>
    <w:p>
      <w:pPr>
        <w:pStyle w:val="77"/>
        <w:rPr>
          <w:lang w:eastAsia="en-GB"/>
        </w:rPr>
      </w:pPr>
      <w:r>
        <w:rPr>
          <w:lang w:eastAsia="zh-CN"/>
        </w:rPr>
        <w:t>-</w:t>
      </w:r>
      <w:r>
        <w:rPr>
          <w:lang w:eastAsia="zh-CN"/>
        </w:rPr>
        <w:tab/>
      </w:r>
      <w:r>
        <w:rPr>
          <w:lang w:eastAsia="en-GB"/>
        </w:rPr>
        <w:t>T</w:t>
      </w:r>
      <w:r>
        <w:rPr>
          <w:vertAlign w:val="subscript"/>
          <w:lang w:eastAsia="en-GB"/>
        </w:rPr>
        <w:t>L1-RSRP_Measurement_Period_SSB</w:t>
      </w:r>
      <w:r>
        <w:rPr>
          <w:lang w:eastAsia="en-GB"/>
        </w:rPr>
        <w:t xml:space="preserve"> for SSB</w:t>
      </w:r>
      <w:r>
        <w:t xml:space="preserve"> </w:t>
      </w:r>
      <w:r>
        <w:rPr>
          <w:lang w:eastAsia="en-GB"/>
        </w:rPr>
        <w:t xml:space="preserve">as specified in </w:t>
      </w:r>
      <w:r>
        <w:rPr>
          <w:lang w:val="en-US" w:eastAsia="ko-KR"/>
        </w:rPr>
        <w:t>clause</w:t>
      </w:r>
      <w:r>
        <w:rPr>
          <w:lang w:eastAsia="en-GB"/>
        </w:rPr>
        <w:t xml:space="preserve"> 9.5.4.1,</w:t>
      </w:r>
    </w:p>
    <w:p>
      <w:pPr>
        <w:ind w:left="568"/>
        <w:rPr>
          <w:lang w:eastAsia="en-GB"/>
        </w:rPr>
      </w:pPr>
      <w:r>
        <w:rPr>
          <w:lang w:eastAsia="en-GB"/>
        </w:rPr>
        <w:t>-</w:t>
      </w:r>
      <w:r>
        <w:rPr>
          <w:lang w:eastAsia="en-GB"/>
        </w:rPr>
        <w:tab/>
      </w:r>
      <w:r>
        <w:rPr>
          <w:lang w:eastAsia="en-GB"/>
        </w:rPr>
        <w:t>with the assumption of M=1</w:t>
      </w:r>
    </w:p>
    <w:p>
      <w:pPr>
        <w:ind w:left="852" w:hanging="284"/>
        <w:rPr>
          <w:lang w:eastAsia="en-GB"/>
        </w:rPr>
      </w:pPr>
      <w:r>
        <w:rPr>
          <w:lang w:eastAsia="en-GB"/>
        </w:rPr>
        <w:t>-</w:t>
      </w:r>
      <w:r>
        <w:rPr>
          <w:lang w:eastAsia="en-GB"/>
        </w:rPr>
        <w:tab/>
      </w:r>
      <w:r>
        <w:rPr>
          <w:lang w:eastAsia="en-GB"/>
        </w:rPr>
        <w:t>with T</w:t>
      </w:r>
      <w:r>
        <w:rPr>
          <w:vertAlign w:val="subscript"/>
          <w:lang w:eastAsia="en-GB"/>
        </w:rPr>
        <w:t>Report</w:t>
      </w:r>
      <w:r>
        <w:rPr>
          <w:lang w:eastAsia="en-GB"/>
        </w:rPr>
        <w:t xml:space="preserve"> = 0</w:t>
      </w:r>
    </w:p>
    <w:p>
      <w:pPr>
        <w:ind w:left="568" w:hanging="284"/>
        <w:rPr>
          <w:lang w:eastAsia="en-GB"/>
        </w:rPr>
      </w:pPr>
      <w:r>
        <w:rPr>
          <w:lang w:eastAsia="zh-CN"/>
        </w:rPr>
        <w:t>-</w:t>
      </w:r>
      <w:r>
        <w:rPr>
          <w:lang w:eastAsia="zh-CN"/>
        </w:rPr>
        <w:tab/>
      </w:r>
      <w:r>
        <w:t>T</w:t>
      </w:r>
      <w:r>
        <w:rPr>
          <w:vertAlign w:val="subscript"/>
        </w:rPr>
        <w:t xml:space="preserve">L1-RSRP_Measurement_Period_CSI-RS </w:t>
      </w:r>
      <w:r>
        <w:t xml:space="preserve">for CSI-RS </w:t>
      </w:r>
      <w:r>
        <w:rPr>
          <w:lang w:eastAsia="en-GB"/>
        </w:rPr>
        <w:t xml:space="preserve">as specified in </w:t>
      </w:r>
      <w:r>
        <w:rPr>
          <w:lang w:val="en-US" w:eastAsia="ko-KR"/>
        </w:rPr>
        <w:t>clause</w:t>
      </w:r>
      <w:r>
        <w:rPr>
          <w:lang w:eastAsia="en-GB"/>
        </w:rPr>
        <w:t xml:space="preserve"> 9.5.4.2</w:t>
      </w:r>
    </w:p>
    <w:p>
      <w:pPr>
        <w:ind w:left="851" w:hanging="284"/>
        <w:rPr>
          <w:lang w:eastAsia="en-GB"/>
        </w:rPr>
      </w:pPr>
      <w:r>
        <w:rPr>
          <w:lang w:eastAsia="zh-CN"/>
        </w:rPr>
        <w:t>-</w:t>
      </w:r>
      <w:r>
        <w:rPr>
          <w:lang w:eastAsia="zh-CN"/>
        </w:rPr>
        <w:tab/>
      </w:r>
      <w:r>
        <w:rPr>
          <w:lang w:eastAsia="en-GB"/>
        </w:rPr>
        <w:t>with the assumption of M=1 for periodic CSI-RS</w:t>
      </w:r>
    </w:p>
    <w:p>
      <w:pPr>
        <w:pStyle w:val="78"/>
        <w:rPr>
          <w:i/>
        </w:rPr>
      </w:pPr>
      <w:r>
        <w:rPr>
          <w:lang w:eastAsia="zh-CN"/>
        </w:rPr>
        <w:t>-</w:t>
      </w:r>
      <w:r>
        <w:rPr>
          <w:lang w:eastAsia="zh-CN"/>
        </w:rPr>
        <w:tab/>
      </w:r>
      <w:r>
        <w:rPr>
          <w:lang w:eastAsia="en-GB"/>
        </w:rPr>
        <w:t xml:space="preserve">for aperiodic CSI-RS if number of resources in resource set at least equal to </w:t>
      </w:r>
      <w:r>
        <w:rPr>
          <w:i/>
          <w:lang w:eastAsia="en-GB"/>
        </w:rPr>
        <w:t>MaxNumberRxBeam</w:t>
      </w:r>
    </w:p>
    <w:p>
      <w:pPr>
        <w:ind w:left="851" w:hanging="284"/>
        <w:rPr>
          <w:lang w:eastAsia="en-GB"/>
        </w:rPr>
      </w:pPr>
      <w:r>
        <w:rPr>
          <w:lang w:eastAsia="en-GB"/>
        </w:rPr>
        <w:t>-</w:t>
      </w:r>
      <w:r>
        <w:rPr>
          <w:lang w:eastAsia="en-GB"/>
        </w:rPr>
        <w:tab/>
      </w:r>
      <w:r>
        <w:rPr>
          <w:lang w:eastAsia="en-GB"/>
        </w:rPr>
        <w:t>with T</w:t>
      </w:r>
      <w:r>
        <w:rPr>
          <w:vertAlign w:val="subscript"/>
          <w:lang w:eastAsia="en-GB"/>
        </w:rPr>
        <w:t>Report</w:t>
      </w:r>
      <w:r>
        <w:rPr>
          <w:lang w:eastAsia="en-GB"/>
        </w:rPr>
        <w:t xml:space="preserve"> = 0</w:t>
      </w:r>
    </w:p>
    <w:p>
      <w:pPr>
        <w:pStyle w:val="77"/>
        <w:rPr>
          <w:lang w:val="en-US" w:eastAsia="zh-CN"/>
        </w:rPr>
      </w:pPr>
      <w:r>
        <w:rPr>
          <w:lang w:val="en-US" w:eastAsia="zh-CN"/>
        </w:rPr>
        <w:t>TO</w:t>
      </w:r>
      <w:r>
        <w:rPr>
          <w:vertAlign w:val="subscript"/>
          <w:lang w:val="en-US" w:eastAsia="zh-CN"/>
        </w:rPr>
        <w:t>uk</w:t>
      </w:r>
      <w:r>
        <w:rPr>
          <w:lang w:val="en-US" w:eastAsia="zh-CN"/>
        </w:rPr>
        <w:t xml:space="preserve"> = 1 for CSI-RS based L1-RSRP measurement, and 0 for SSB based L1-RSRP measurement when TCI state switching involves QCL-TypeD</w:t>
      </w:r>
    </w:p>
    <w:p>
      <w:pPr>
        <w:ind w:left="568" w:hanging="284"/>
        <w:rPr>
          <w:lang w:val="en-US" w:eastAsia="zh-CN"/>
        </w:rPr>
      </w:pPr>
      <w:r>
        <w:rPr>
          <w:lang w:val="en-US" w:eastAsia="zh-CN"/>
        </w:rPr>
        <w:t>TO</w:t>
      </w:r>
      <w:r>
        <w:rPr>
          <w:vertAlign w:val="subscript"/>
          <w:lang w:val="en-US" w:eastAsia="zh-CN"/>
        </w:rPr>
        <w:t>uk</w:t>
      </w:r>
      <w:r>
        <w:rPr>
          <w:lang w:val="en-US" w:eastAsia="zh-CN"/>
        </w:rPr>
        <w:t xml:space="preserve"> = 1 when TCI state switching involves other QCL types</w:t>
      </w:r>
    </w:p>
    <w:p>
      <w:pPr>
        <w:rPr>
          <w:lang w:val="en-US" w:eastAsia="zh-CN"/>
        </w:rPr>
      </w:pPr>
      <w:r>
        <w:rPr>
          <w:lang w:eastAsia="en-GB"/>
        </w:rPr>
        <w:t>T</w:t>
      </w:r>
      <w:r>
        <w:rPr>
          <w:vertAlign w:val="subscript"/>
          <w:lang w:eastAsia="en-GB"/>
        </w:rPr>
        <w:t>L1-RSRP_Measurement_Period_SSB</w:t>
      </w:r>
      <w:r>
        <w:rPr>
          <w:lang w:eastAsia="en-GB"/>
        </w:rPr>
        <w:t xml:space="preserve"> = 0 for SSB</w:t>
      </w:r>
      <w:r>
        <w:rPr>
          <w:vertAlign w:val="subscript"/>
          <w:lang w:eastAsia="en-GB"/>
        </w:rPr>
        <w:t xml:space="preserve"> </w:t>
      </w:r>
      <w:r>
        <w:rPr>
          <w:lang w:eastAsia="en-GB"/>
        </w:rPr>
        <w:t>in FR2 and T</w:t>
      </w:r>
      <w:r>
        <w:rPr>
          <w:vertAlign w:val="subscript"/>
          <w:lang w:eastAsia="en-GB"/>
        </w:rPr>
        <w:t>L1-RSRP_Measurement_Period_CSI-RS</w:t>
      </w:r>
      <w:r>
        <w:rPr>
          <w:lang w:eastAsia="en-GB"/>
        </w:rPr>
        <w:t xml:space="preserve"> = 0 for CSI-RS</w:t>
      </w:r>
      <w:r>
        <w:rPr>
          <w:vertAlign w:val="subscript"/>
          <w:lang w:eastAsia="en-GB"/>
        </w:rPr>
        <w:t xml:space="preserve"> </w:t>
      </w:r>
      <w:r>
        <w:rPr>
          <w:lang w:eastAsia="en-GB"/>
        </w:rPr>
        <w:t>in FR2, provided that</w:t>
      </w:r>
      <w:r>
        <w:rPr>
          <w:lang w:val="en-US" w:eastAsia="zh-CN"/>
        </w:rPr>
        <w:t xml:space="preserve"> the TCI state switching involves QCL-TypeA, QCL-TypeB or QCL-TypeC only.</w:t>
      </w:r>
    </w:p>
    <w:p>
      <w:pPr>
        <w:ind w:left="284"/>
        <w:rPr>
          <w:lang w:val="en-US" w:eastAsia="zh-CN"/>
        </w:rPr>
      </w:pPr>
      <w:r>
        <w:rPr>
          <w:lang w:val="en-US" w:eastAsia="zh-CN"/>
        </w:rPr>
        <w:t>T</w:t>
      </w:r>
      <w:r>
        <w:rPr>
          <w:vertAlign w:val="subscript"/>
          <w:lang w:val="en-US" w:eastAsia="zh-CN"/>
        </w:rPr>
        <w:t xml:space="preserve">first-SSB </w:t>
      </w:r>
      <w:r>
        <w:rPr>
          <w:lang w:val="en-US" w:eastAsia="zh-CN"/>
        </w:rPr>
        <w:t xml:space="preserve">is time to first SSB transmission after L1-RSRP measurement when TCI state switching involves QCL-TypeD; </w:t>
      </w:r>
    </w:p>
    <w:p>
      <w:pPr>
        <w:ind w:left="284"/>
        <w:rPr>
          <w:lang w:val="en-US" w:eastAsia="zh-CN"/>
        </w:rPr>
      </w:pPr>
      <w:r>
        <w:rPr>
          <w:lang w:val="en-US" w:eastAsia="zh-CN"/>
        </w:rPr>
        <w:t>T</w:t>
      </w:r>
      <w:r>
        <w:rPr>
          <w:vertAlign w:val="subscript"/>
          <w:lang w:val="en-US" w:eastAsia="zh-CN"/>
        </w:rPr>
        <w:t xml:space="preserve">first-SSB </w:t>
      </w:r>
      <w:r>
        <w:rPr>
          <w:lang w:val="en-US" w:eastAsia="zh-CN"/>
        </w:rPr>
        <w:t>is time to first SSB transmission after MAC CE command is decoded by the UE for other QCL types;</w:t>
      </w:r>
    </w:p>
    <w:p>
      <w:pPr>
        <w:ind w:left="568"/>
        <w:rPr>
          <w:lang w:val="en-US" w:eastAsia="zh-CN"/>
        </w:rPr>
      </w:pPr>
      <w:r>
        <w:rPr>
          <w:lang w:val="en-US" w:eastAsia="zh-CN"/>
        </w:rPr>
        <w:t>The SSB shall be the QCL-TypeA or QCL-TypeC to target TCI state</w:t>
      </w:r>
    </w:p>
    <w:p>
      <w:pPr>
        <w:rPr>
          <w:i/>
          <w:color w:val="0000FF"/>
          <w:lang w:eastAsia="zh-CN"/>
        </w:rPr>
      </w:pPr>
      <w:r>
        <w:rPr>
          <w:lang w:val="en-US" w:eastAsia="zh-CN"/>
        </w:rPr>
        <w:t xml:space="preserve">During MAC-CE based TCI state switch the UE is allowed an interruption due to one shot timing adjustment on the serving or any activated serving cells as defined in </w:t>
      </w:r>
      <w:r>
        <w:rPr>
          <w:lang w:val="en-US" w:eastAsia="ko-KR"/>
        </w:rPr>
        <w:t>clause</w:t>
      </w:r>
      <w:r>
        <w:rPr>
          <w:lang w:val="en-US" w:eastAsia="zh-CN"/>
        </w:rPr>
        <w:t xml:space="preserve"> 8.2.</w:t>
      </w:r>
    </w:p>
    <w:p>
      <w:pPr>
        <w:rPr>
          <w:i/>
          <w:color w:val="0000FF"/>
          <w:lang w:eastAsia="zh-CN"/>
        </w:rPr>
      </w:pPr>
      <w:r>
        <w:rPr>
          <w:i/>
          <w:color w:val="0000FF"/>
          <w:lang w:eastAsia="zh-CN"/>
        </w:rPr>
        <w:t>&lt;end of the change</w:t>
      </w:r>
      <w:r>
        <w:rPr>
          <w:rFonts w:hint="eastAsia"/>
          <w:i/>
          <w:color w:val="0000FF"/>
          <w:lang w:val="en-US" w:eastAsia="zh-CN"/>
        </w:rPr>
        <w:t xml:space="preserve"> 3</w:t>
      </w:r>
      <w:r>
        <w:rPr>
          <w:i/>
          <w:color w:val="0000FF"/>
          <w:lang w:eastAsia="zh-CN"/>
        </w:rPr>
        <w:t>&gt;</w:t>
      </w:r>
    </w:p>
    <w:p>
      <w:pPr>
        <w:tabs>
          <w:tab w:val="left" w:pos="1920"/>
        </w:tabs>
      </w:pPr>
    </w:p>
    <w:sectPr>
      <w:headerReference r:id="rId3" w:type="default"/>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CG Times (WN)">
    <w:altName w:val="Arial"/>
    <w:panose1 w:val="00000000000000000000"/>
    <w:charset w:val="00"/>
    <w:family w:val="roman"/>
    <w:pitch w:val="default"/>
    <w:sig w:usb0="00000000" w:usb1="00000000" w:usb2="00000000" w:usb3="00000000" w:csb0="00000001" w:csb1="00000000"/>
  </w:font>
  <w:font w:name="MS Mincho">
    <w:panose1 w:val="02020609040205080304"/>
    <w:charset w:val="80"/>
    <w:family w:val="modern"/>
    <w:pitch w:val="default"/>
    <w:sig w:usb0="E00002FF" w:usb1="6AC7FDFB" w:usb2="00000012" w:usb3="00000000" w:csb0="4002009F" w:csb1="DFD70000"/>
  </w:font>
  <w:font w:name="Tahoma">
    <w:panose1 w:val="020B0604030504040204"/>
    <w:charset w:val="00"/>
    <w:family w:val="swiss"/>
    <w:pitch w:val="default"/>
    <w:sig w:usb0="E1002EFF" w:usb1="C000605B" w:usb2="00000029" w:usb3="00000000" w:csb0="200101FF" w:csb1="20280000"/>
  </w:font>
  <w:font w:name="Calibri">
    <w:panose1 w:val="020F0502020204030204"/>
    <w:charset w:val="00"/>
    <w:family w:val="swiss"/>
    <w:pitch w:val="default"/>
    <w:sig w:usb0="E10002FF" w:usb1="4000ACFF" w:usb2="00000009" w:usb3="00000000" w:csb0="2000019F" w:csb1="00000000"/>
  </w:font>
  <w:font w:name="MS LineDraw">
    <w:altName w:val="Courier New"/>
    <w:panose1 w:val="00000000000000000000"/>
    <w:charset w:val="02"/>
    <w:family w:val="modern"/>
    <w:pitch w:val="default"/>
    <w:sig w:usb0="00000000" w:usb1="00000000" w:usb2="00000000" w:usb3="00000000" w:csb0="00000000" w:csb1="00000000"/>
  </w:font>
  <w:font w:name="Malgun Gothic">
    <w:panose1 w:val="020B0503020000020004"/>
    <w:charset w:val="81"/>
    <w:family w:val="swiss"/>
    <w:pitch w:val="default"/>
    <w:sig w:usb0="900002AF" w:usb1="01D77CFB" w:usb2="00000012" w:usb3="00000000" w:csb0="00080001" w:csb1="00000000"/>
  </w:font>
  <w:font w:name="v4.2.0">
    <w:altName w:val="Times New Roman"/>
    <w:panose1 w:val="00000000000000000000"/>
    <w:charset w:val="00"/>
    <w:family w:val="auto"/>
    <w:pitch w:val="default"/>
    <w:sig w:usb0="00000000" w:usb1="00000000" w:usb2="00000000" w:usb3="00000000" w:csb0="00000000" w:csb1="00000000"/>
  </w:font>
  <w:font w:name="Arial">
    <w:panose1 w:val="020B0604020202020204"/>
    <w:charset w:val="00"/>
    <w:family w:val="roman"/>
    <w:pitch w:val="default"/>
    <w:sig w:usb0="E0002AFF" w:usb1="C0007843" w:usb2="00000009" w:usb3="00000000" w:csb0="400001FF" w:csb1="FFFF0000"/>
  </w:font>
  <w:font w:name="微软雅黑">
    <w:panose1 w:val="020B0503020204020204"/>
    <w:charset w:val="86"/>
    <w:family w:val="auto"/>
    <w:pitch w:val="default"/>
    <w:sig w:usb0="80000287" w:usb1="280F3C52" w:usb2="00000016" w:usb3="00000000" w:csb0="0004001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6"/>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9FB7D43"/>
    <w:multiLevelType w:val="singleLevel"/>
    <w:tmpl w:val="69FB7D43"/>
    <w:lvl w:ilvl="0" w:tentative="0">
      <w:start w:val="1"/>
      <w:numFmt w:val="decimal"/>
      <w:suff w:val="space"/>
      <w:lvlText w:val="%1."/>
      <w:lvlJc w:val="left"/>
      <w:pPr>
        <w:ind w:left="111" w:leftChars="0" w:firstLine="0" w:firstLineChars="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Richie Leo (ZTE)">
    <w15:presenceInfo w15:providerId="None" w15:userId="Richie Leo (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Pr>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1291D"/>
    <w:rsid w:val="00022E4A"/>
    <w:rsid w:val="00024A5F"/>
    <w:rsid w:val="000379D6"/>
    <w:rsid w:val="000526D6"/>
    <w:rsid w:val="00067457"/>
    <w:rsid w:val="000A6394"/>
    <w:rsid w:val="000B7FED"/>
    <w:rsid w:val="000C038A"/>
    <w:rsid w:val="000C5428"/>
    <w:rsid w:val="000C6598"/>
    <w:rsid w:val="000E35AC"/>
    <w:rsid w:val="00114BD8"/>
    <w:rsid w:val="00145D43"/>
    <w:rsid w:val="00150CBD"/>
    <w:rsid w:val="00156AB8"/>
    <w:rsid w:val="0016357D"/>
    <w:rsid w:val="00164CF5"/>
    <w:rsid w:val="00180706"/>
    <w:rsid w:val="00184E30"/>
    <w:rsid w:val="00191526"/>
    <w:rsid w:val="00192C46"/>
    <w:rsid w:val="001A08B3"/>
    <w:rsid w:val="001A2397"/>
    <w:rsid w:val="001A7B60"/>
    <w:rsid w:val="001B30EF"/>
    <w:rsid w:val="001B52F0"/>
    <w:rsid w:val="001B7A65"/>
    <w:rsid w:val="001D3F16"/>
    <w:rsid w:val="001E41F3"/>
    <w:rsid w:val="00205362"/>
    <w:rsid w:val="0021150C"/>
    <w:rsid w:val="0021403C"/>
    <w:rsid w:val="002577A0"/>
    <w:rsid w:val="0026004D"/>
    <w:rsid w:val="002640DD"/>
    <w:rsid w:val="00275D12"/>
    <w:rsid w:val="00284FEB"/>
    <w:rsid w:val="002860C4"/>
    <w:rsid w:val="002A23B3"/>
    <w:rsid w:val="002B5741"/>
    <w:rsid w:val="002D1809"/>
    <w:rsid w:val="00300CDC"/>
    <w:rsid w:val="00305409"/>
    <w:rsid w:val="00306732"/>
    <w:rsid w:val="00354203"/>
    <w:rsid w:val="003609EF"/>
    <w:rsid w:val="0036231A"/>
    <w:rsid w:val="003745AA"/>
    <w:rsid w:val="00374DD4"/>
    <w:rsid w:val="003867BD"/>
    <w:rsid w:val="00390D56"/>
    <w:rsid w:val="003D2888"/>
    <w:rsid w:val="003E1A36"/>
    <w:rsid w:val="003E3693"/>
    <w:rsid w:val="00401623"/>
    <w:rsid w:val="00410371"/>
    <w:rsid w:val="004242F1"/>
    <w:rsid w:val="004466D7"/>
    <w:rsid w:val="0045432A"/>
    <w:rsid w:val="004A25C5"/>
    <w:rsid w:val="004B2444"/>
    <w:rsid w:val="004B75B7"/>
    <w:rsid w:val="004D170E"/>
    <w:rsid w:val="004D35B9"/>
    <w:rsid w:val="00513C65"/>
    <w:rsid w:val="0051580D"/>
    <w:rsid w:val="0053520B"/>
    <w:rsid w:val="00547111"/>
    <w:rsid w:val="00592D74"/>
    <w:rsid w:val="005E2C44"/>
    <w:rsid w:val="00621188"/>
    <w:rsid w:val="006257ED"/>
    <w:rsid w:val="00632F52"/>
    <w:rsid w:val="006564CD"/>
    <w:rsid w:val="00675848"/>
    <w:rsid w:val="00693CE5"/>
    <w:rsid w:val="00695808"/>
    <w:rsid w:val="006971B1"/>
    <w:rsid w:val="006A166B"/>
    <w:rsid w:val="006A43E7"/>
    <w:rsid w:val="006B46FB"/>
    <w:rsid w:val="006E1744"/>
    <w:rsid w:val="006E21FB"/>
    <w:rsid w:val="006F596A"/>
    <w:rsid w:val="007039F6"/>
    <w:rsid w:val="00727029"/>
    <w:rsid w:val="007574D2"/>
    <w:rsid w:val="007604BF"/>
    <w:rsid w:val="00764D48"/>
    <w:rsid w:val="00765B45"/>
    <w:rsid w:val="00773A07"/>
    <w:rsid w:val="00774378"/>
    <w:rsid w:val="00784554"/>
    <w:rsid w:val="0078649F"/>
    <w:rsid w:val="00790EFC"/>
    <w:rsid w:val="00792342"/>
    <w:rsid w:val="007977A8"/>
    <w:rsid w:val="007B512A"/>
    <w:rsid w:val="007C2097"/>
    <w:rsid w:val="007C6570"/>
    <w:rsid w:val="007D4940"/>
    <w:rsid w:val="007D6A07"/>
    <w:rsid w:val="007F7259"/>
    <w:rsid w:val="008040A8"/>
    <w:rsid w:val="0082459A"/>
    <w:rsid w:val="008279FA"/>
    <w:rsid w:val="00832AA4"/>
    <w:rsid w:val="008626E7"/>
    <w:rsid w:val="00870EE7"/>
    <w:rsid w:val="008A45A6"/>
    <w:rsid w:val="008D19BC"/>
    <w:rsid w:val="008F686C"/>
    <w:rsid w:val="009148DE"/>
    <w:rsid w:val="0095473C"/>
    <w:rsid w:val="009777D9"/>
    <w:rsid w:val="00991B88"/>
    <w:rsid w:val="009A5753"/>
    <w:rsid w:val="009A579D"/>
    <w:rsid w:val="009A73E2"/>
    <w:rsid w:val="009B428A"/>
    <w:rsid w:val="009E1374"/>
    <w:rsid w:val="009E3297"/>
    <w:rsid w:val="009F734F"/>
    <w:rsid w:val="00A246B6"/>
    <w:rsid w:val="00A27CFF"/>
    <w:rsid w:val="00A47E70"/>
    <w:rsid w:val="00A50CF0"/>
    <w:rsid w:val="00A66EA3"/>
    <w:rsid w:val="00A70B16"/>
    <w:rsid w:val="00A7114B"/>
    <w:rsid w:val="00A7671C"/>
    <w:rsid w:val="00AA2CBC"/>
    <w:rsid w:val="00AA70DA"/>
    <w:rsid w:val="00AC5820"/>
    <w:rsid w:val="00AD1CD8"/>
    <w:rsid w:val="00AE14D8"/>
    <w:rsid w:val="00AE4C83"/>
    <w:rsid w:val="00B258BB"/>
    <w:rsid w:val="00B319B9"/>
    <w:rsid w:val="00B54F41"/>
    <w:rsid w:val="00B67B97"/>
    <w:rsid w:val="00B968C8"/>
    <w:rsid w:val="00BA3EC5"/>
    <w:rsid w:val="00BA51D9"/>
    <w:rsid w:val="00BB5DFC"/>
    <w:rsid w:val="00BC09D3"/>
    <w:rsid w:val="00BD279D"/>
    <w:rsid w:val="00BD6BB8"/>
    <w:rsid w:val="00BE61E6"/>
    <w:rsid w:val="00C071FB"/>
    <w:rsid w:val="00C23F55"/>
    <w:rsid w:val="00C24659"/>
    <w:rsid w:val="00C356F9"/>
    <w:rsid w:val="00C36674"/>
    <w:rsid w:val="00C434B4"/>
    <w:rsid w:val="00C615E2"/>
    <w:rsid w:val="00C66BA2"/>
    <w:rsid w:val="00C77A62"/>
    <w:rsid w:val="00C95985"/>
    <w:rsid w:val="00CB05E1"/>
    <w:rsid w:val="00CC5026"/>
    <w:rsid w:val="00CC68D0"/>
    <w:rsid w:val="00CE1117"/>
    <w:rsid w:val="00CE71EC"/>
    <w:rsid w:val="00CF6EE4"/>
    <w:rsid w:val="00D03F9A"/>
    <w:rsid w:val="00D06D51"/>
    <w:rsid w:val="00D1258E"/>
    <w:rsid w:val="00D24991"/>
    <w:rsid w:val="00D434C6"/>
    <w:rsid w:val="00D50255"/>
    <w:rsid w:val="00D66F5E"/>
    <w:rsid w:val="00D7725A"/>
    <w:rsid w:val="00DA2592"/>
    <w:rsid w:val="00DD1A1B"/>
    <w:rsid w:val="00DD7320"/>
    <w:rsid w:val="00DE34CF"/>
    <w:rsid w:val="00DE63FB"/>
    <w:rsid w:val="00DF0712"/>
    <w:rsid w:val="00E0108E"/>
    <w:rsid w:val="00E13F3D"/>
    <w:rsid w:val="00E302CA"/>
    <w:rsid w:val="00E34898"/>
    <w:rsid w:val="00E5134E"/>
    <w:rsid w:val="00E76B2F"/>
    <w:rsid w:val="00E93BB6"/>
    <w:rsid w:val="00EB09B7"/>
    <w:rsid w:val="00ED4362"/>
    <w:rsid w:val="00EE7D7C"/>
    <w:rsid w:val="00F21DFB"/>
    <w:rsid w:val="00F25D98"/>
    <w:rsid w:val="00F300FB"/>
    <w:rsid w:val="00F44B3D"/>
    <w:rsid w:val="00F61C4D"/>
    <w:rsid w:val="00F61E1F"/>
    <w:rsid w:val="00F6401B"/>
    <w:rsid w:val="00F6666F"/>
    <w:rsid w:val="00FB6386"/>
    <w:rsid w:val="00FC046B"/>
    <w:rsid w:val="00FE3611"/>
    <w:rsid w:val="011B4A8D"/>
    <w:rsid w:val="023D4BCB"/>
    <w:rsid w:val="02797BCC"/>
    <w:rsid w:val="02AD0989"/>
    <w:rsid w:val="036F4F43"/>
    <w:rsid w:val="03A17E5D"/>
    <w:rsid w:val="04E524FA"/>
    <w:rsid w:val="05E0369E"/>
    <w:rsid w:val="06502056"/>
    <w:rsid w:val="07382D93"/>
    <w:rsid w:val="074337BD"/>
    <w:rsid w:val="07C50F04"/>
    <w:rsid w:val="08BC7F57"/>
    <w:rsid w:val="08EA733E"/>
    <w:rsid w:val="090B73EC"/>
    <w:rsid w:val="0AE64AC5"/>
    <w:rsid w:val="0B6344E3"/>
    <w:rsid w:val="0BA8118E"/>
    <w:rsid w:val="0BD2637C"/>
    <w:rsid w:val="0BE92F86"/>
    <w:rsid w:val="0E127D22"/>
    <w:rsid w:val="0EC40E08"/>
    <w:rsid w:val="0EDE344F"/>
    <w:rsid w:val="0F180333"/>
    <w:rsid w:val="0F6C36F7"/>
    <w:rsid w:val="122B19E4"/>
    <w:rsid w:val="14D53AFA"/>
    <w:rsid w:val="14F113A9"/>
    <w:rsid w:val="180A2FF1"/>
    <w:rsid w:val="18823DD2"/>
    <w:rsid w:val="18F05F9F"/>
    <w:rsid w:val="19B165BD"/>
    <w:rsid w:val="1A003D9E"/>
    <w:rsid w:val="1A18265A"/>
    <w:rsid w:val="1A4143B3"/>
    <w:rsid w:val="1B1103DE"/>
    <w:rsid w:val="1BA23C14"/>
    <w:rsid w:val="1D4A57DF"/>
    <w:rsid w:val="1D7E0E0F"/>
    <w:rsid w:val="1E397B71"/>
    <w:rsid w:val="1E5D159A"/>
    <w:rsid w:val="200B21A4"/>
    <w:rsid w:val="21385A92"/>
    <w:rsid w:val="21C30E8C"/>
    <w:rsid w:val="22182808"/>
    <w:rsid w:val="227434BA"/>
    <w:rsid w:val="22837FFD"/>
    <w:rsid w:val="23672910"/>
    <w:rsid w:val="238F0684"/>
    <w:rsid w:val="245E7C70"/>
    <w:rsid w:val="25B34A9F"/>
    <w:rsid w:val="25E522B0"/>
    <w:rsid w:val="265016ED"/>
    <w:rsid w:val="26E17DD3"/>
    <w:rsid w:val="27586709"/>
    <w:rsid w:val="27811191"/>
    <w:rsid w:val="27975465"/>
    <w:rsid w:val="298D0175"/>
    <w:rsid w:val="2C303E19"/>
    <w:rsid w:val="2CF73A08"/>
    <w:rsid w:val="2FCE68D6"/>
    <w:rsid w:val="305F0602"/>
    <w:rsid w:val="3087217A"/>
    <w:rsid w:val="310615BA"/>
    <w:rsid w:val="31F079CE"/>
    <w:rsid w:val="327335BE"/>
    <w:rsid w:val="342D5720"/>
    <w:rsid w:val="343A645B"/>
    <w:rsid w:val="35071B7E"/>
    <w:rsid w:val="36B0344B"/>
    <w:rsid w:val="38656379"/>
    <w:rsid w:val="39E84AA9"/>
    <w:rsid w:val="39EB3446"/>
    <w:rsid w:val="3E686C5A"/>
    <w:rsid w:val="3F627A1B"/>
    <w:rsid w:val="3F953FE5"/>
    <w:rsid w:val="3FA22AAB"/>
    <w:rsid w:val="3FB71173"/>
    <w:rsid w:val="404C070C"/>
    <w:rsid w:val="405D6EC6"/>
    <w:rsid w:val="41244CD5"/>
    <w:rsid w:val="41263D90"/>
    <w:rsid w:val="41C34ED5"/>
    <w:rsid w:val="42717868"/>
    <w:rsid w:val="42DA4C03"/>
    <w:rsid w:val="44FA1E4B"/>
    <w:rsid w:val="450D02FF"/>
    <w:rsid w:val="460A7131"/>
    <w:rsid w:val="463A453E"/>
    <w:rsid w:val="463A5622"/>
    <w:rsid w:val="46635CC8"/>
    <w:rsid w:val="46E00744"/>
    <w:rsid w:val="47185708"/>
    <w:rsid w:val="473E4809"/>
    <w:rsid w:val="48C033EE"/>
    <w:rsid w:val="4A185BDF"/>
    <w:rsid w:val="4A55249E"/>
    <w:rsid w:val="4A5F0B07"/>
    <w:rsid w:val="4B8657BB"/>
    <w:rsid w:val="4D554E5F"/>
    <w:rsid w:val="4D9E7DF9"/>
    <w:rsid w:val="4DD74D3E"/>
    <w:rsid w:val="4F1F359E"/>
    <w:rsid w:val="50D86EB5"/>
    <w:rsid w:val="51473B6E"/>
    <w:rsid w:val="51AD1800"/>
    <w:rsid w:val="51BD1AA8"/>
    <w:rsid w:val="51F14A54"/>
    <w:rsid w:val="527E7790"/>
    <w:rsid w:val="54A328A7"/>
    <w:rsid w:val="54D849EA"/>
    <w:rsid w:val="552D6047"/>
    <w:rsid w:val="55CE0C36"/>
    <w:rsid w:val="55D54EC2"/>
    <w:rsid w:val="55E11CF0"/>
    <w:rsid w:val="561A1CB0"/>
    <w:rsid w:val="562E66F9"/>
    <w:rsid w:val="56416487"/>
    <w:rsid w:val="569432D2"/>
    <w:rsid w:val="569D7A18"/>
    <w:rsid w:val="56E05FDF"/>
    <w:rsid w:val="576D5960"/>
    <w:rsid w:val="586405B0"/>
    <w:rsid w:val="589D382E"/>
    <w:rsid w:val="59225598"/>
    <w:rsid w:val="59EC2E3F"/>
    <w:rsid w:val="5A0611B3"/>
    <w:rsid w:val="5C2C5B5B"/>
    <w:rsid w:val="5D6310AA"/>
    <w:rsid w:val="5D8A6039"/>
    <w:rsid w:val="5DCA2F88"/>
    <w:rsid w:val="5E8D4F0C"/>
    <w:rsid w:val="602534EA"/>
    <w:rsid w:val="61092D41"/>
    <w:rsid w:val="61A12F1F"/>
    <w:rsid w:val="622C332F"/>
    <w:rsid w:val="66D670D0"/>
    <w:rsid w:val="66F7391C"/>
    <w:rsid w:val="6713574F"/>
    <w:rsid w:val="67DF6B26"/>
    <w:rsid w:val="69F06389"/>
    <w:rsid w:val="6A990705"/>
    <w:rsid w:val="6B5A5904"/>
    <w:rsid w:val="6B7041D4"/>
    <w:rsid w:val="6C3A0DAC"/>
    <w:rsid w:val="6D2A72F9"/>
    <w:rsid w:val="6DEF7A6F"/>
    <w:rsid w:val="6ED109B4"/>
    <w:rsid w:val="6ED45730"/>
    <w:rsid w:val="703135D7"/>
    <w:rsid w:val="705F15BF"/>
    <w:rsid w:val="70C80A71"/>
    <w:rsid w:val="724C6614"/>
    <w:rsid w:val="7275384B"/>
    <w:rsid w:val="73183E88"/>
    <w:rsid w:val="73585386"/>
    <w:rsid w:val="73954C7F"/>
    <w:rsid w:val="75A178A3"/>
    <w:rsid w:val="75CC0637"/>
    <w:rsid w:val="75D46A98"/>
    <w:rsid w:val="77793C6F"/>
    <w:rsid w:val="778A5CF6"/>
    <w:rsid w:val="77E409F0"/>
    <w:rsid w:val="796C2DDF"/>
    <w:rsid w:val="79910086"/>
    <w:rsid w:val="7AB2148E"/>
    <w:rsid w:val="7AE65449"/>
    <w:rsid w:val="7B250918"/>
    <w:rsid w:val="7B391A4A"/>
    <w:rsid w:val="7D402FAA"/>
    <w:rsid w:val="7D95705D"/>
    <w:rsid w:val="7DBA48EA"/>
    <w:rsid w:val="7E12214C"/>
    <w:rsid w:val="7E5F63A8"/>
    <w:rsid w:val="7E9E2296"/>
    <w:rsid w:val="7EAA5061"/>
    <w:rsid w:val="7F130852"/>
    <w:rsid w:val="7F2510B9"/>
    <w:rsid w:val="7F3C3E9E"/>
    <w:rsid w:val="7F732EC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link w:val="96"/>
    <w:qFormat/>
    <w:uiPriority w:val="0"/>
    <w:pPr>
      <w:spacing w:before="120"/>
      <w:outlineLvl w:val="2"/>
    </w:pPr>
    <w:rPr>
      <w:sz w:val="28"/>
    </w:rPr>
  </w:style>
  <w:style w:type="paragraph" w:styleId="5">
    <w:name w:val="heading 4"/>
    <w:basedOn w:val="4"/>
    <w:next w:val="1"/>
    <w:link w:val="97"/>
    <w:qFormat/>
    <w:uiPriority w:val="0"/>
    <w:pPr>
      <w:ind w:left="1418" w:hanging="1418"/>
      <w:outlineLvl w:val="3"/>
    </w:pPr>
    <w:rPr>
      <w:sz w:val="24"/>
    </w:rPr>
  </w:style>
  <w:style w:type="paragraph" w:styleId="6">
    <w:name w:val="heading 5"/>
    <w:basedOn w:val="5"/>
    <w:next w:val="1"/>
    <w:link w:val="98"/>
    <w:qFormat/>
    <w:uiPriority w:val="0"/>
    <w:pPr>
      <w:ind w:left="1701" w:hanging="1701"/>
      <w:outlineLvl w:val="4"/>
    </w:pPr>
    <w:rPr>
      <w:sz w:val="22"/>
    </w:rPr>
  </w:style>
  <w:style w:type="paragraph" w:styleId="7">
    <w:name w:val="heading 6"/>
    <w:basedOn w:val="8"/>
    <w:next w:val="1"/>
    <w:link w:val="99"/>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8">
    <w:name w:val="Normal Table"/>
    <w:semiHidden/>
    <w:unhideWhenUsed/>
    <w:qFormat/>
    <w:uiPriority w:val="99"/>
    <w:tblPr>
      <w:tblLayout w:type="fixed"/>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annotation subject"/>
    <w:basedOn w:val="16"/>
    <w:next w:val="16"/>
    <w:semiHidden/>
    <w:qFormat/>
    <w:uiPriority w:val="0"/>
    <w:rPr>
      <w:b/>
      <w:bCs/>
    </w:rPr>
  </w:style>
  <w:style w:type="paragraph" w:styleId="16">
    <w:name w:val="annotation text"/>
    <w:basedOn w:val="1"/>
    <w:semiHidden/>
    <w:qFormat/>
    <w:uiPriority w:val="0"/>
  </w:style>
  <w:style w:type="paragraph" w:styleId="17">
    <w:name w:val="toc 7"/>
    <w:basedOn w:val="18"/>
    <w:next w:val="1"/>
    <w:semiHidden/>
    <w:qFormat/>
    <w:uiPriority w:val="0"/>
    <w:pPr>
      <w:tabs>
        <w:tab w:val="right" w:leader="dot" w:pos="9639"/>
      </w:tabs>
      <w:ind w:left="2268" w:hanging="2268"/>
    </w:pPr>
  </w:style>
  <w:style w:type="paragraph" w:styleId="18">
    <w:name w:val="toc 6"/>
    <w:basedOn w:val="19"/>
    <w:next w:val="1"/>
    <w:semiHidden/>
    <w:qFormat/>
    <w:uiPriority w:val="0"/>
    <w:pPr>
      <w:tabs>
        <w:tab w:val="right" w:leader="dot" w:pos="9639"/>
      </w:tabs>
      <w:ind w:left="1985" w:hanging="1985"/>
    </w:pPr>
  </w:style>
  <w:style w:type="paragraph" w:styleId="19">
    <w:name w:val="toc 5"/>
    <w:basedOn w:val="20"/>
    <w:next w:val="1"/>
    <w:semiHidden/>
    <w:qFormat/>
    <w:uiPriority w:val="0"/>
    <w:pPr>
      <w:tabs>
        <w:tab w:val="right" w:leader="dot" w:pos="9639"/>
      </w:tabs>
      <w:ind w:left="1701" w:hanging="1701"/>
    </w:pPr>
  </w:style>
  <w:style w:type="paragraph" w:styleId="20">
    <w:name w:val="toc 4"/>
    <w:basedOn w:val="21"/>
    <w:next w:val="1"/>
    <w:semiHidden/>
    <w:qFormat/>
    <w:uiPriority w:val="0"/>
    <w:pPr>
      <w:tabs>
        <w:tab w:val="right" w:leader="dot" w:pos="9639"/>
      </w:tabs>
      <w:ind w:left="1418" w:hanging="1418"/>
    </w:pPr>
  </w:style>
  <w:style w:type="paragraph" w:styleId="21">
    <w:name w:val="toc 3"/>
    <w:basedOn w:val="22"/>
    <w:next w:val="1"/>
    <w:semiHidden/>
    <w:qFormat/>
    <w:uiPriority w:val="0"/>
    <w:pPr>
      <w:tabs>
        <w:tab w:val="right" w:leader="dot" w:pos="9639"/>
      </w:tabs>
      <w:ind w:left="1134" w:hanging="1134"/>
    </w:pPr>
  </w:style>
  <w:style w:type="paragraph" w:styleId="22">
    <w:name w:val="toc 2"/>
    <w:basedOn w:val="23"/>
    <w:next w:val="1"/>
    <w:semiHidden/>
    <w:qFormat/>
    <w:uiPriority w:val="0"/>
    <w:pPr>
      <w:keepNext w:val="0"/>
      <w:tabs>
        <w:tab w:val="right" w:leader="dot" w:pos="9639"/>
      </w:tabs>
      <w:spacing w:before="0"/>
      <w:ind w:left="851" w:hanging="851"/>
    </w:pPr>
    <w:rPr>
      <w:sz w:val="20"/>
    </w:rPr>
  </w:style>
  <w:style w:type="paragraph" w:styleId="23">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4">
    <w:name w:val="List Number 2"/>
    <w:basedOn w:val="25"/>
    <w:qFormat/>
    <w:uiPriority w:val="0"/>
    <w:pPr>
      <w:ind w:left="851"/>
    </w:pPr>
  </w:style>
  <w:style w:type="paragraph" w:styleId="25">
    <w:name w:val="List Number"/>
    <w:basedOn w:val="14"/>
    <w:qFormat/>
    <w:uiPriority w:val="0"/>
  </w:style>
  <w:style w:type="paragraph" w:styleId="26">
    <w:name w:val="List Bullet 4"/>
    <w:basedOn w:val="27"/>
    <w:qFormat/>
    <w:uiPriority w:val="0"/>
    <w:pPr>
      <w:ind w:left="1418"/>
    </w:pPr>
  </w:style>
  <w:style w:type="paragraph" w:styleId="27">
    <w:name w:val="List Bullet 3"/>
    <w:basedOn w:val="28"/>
    <w:qFormat/>
    <w:uiPriority w:val="0"/>
    <w:pPr>
      <w:ind w:left="1135"/>
    </w:pPr>
  </w:style>
  <w:style w:type="paragraph" w:styleId="28">
    <w:name w:val="List Bullet 2"/>
    <w:basedOn w:val="29"/>
    <w:qFormat/>
    <w:uiPriority w:val="0"/>
    <w:pPr>
      <w:ind w:left="851"/>
    </w:pPr>
  </w:style>
  <w:style w:type="paragraph" w:styleId="29">
    <w:name w:val="List Bullet"/>
    <w:basedOn w:val="14"/>
    <w:qFormat/>
    <w:uiPriority w:val="0"/>
  </w:style>
  <w:style w:type="paragraph" w:styleId="30">
    <w:name w:val="Document Map"/>
    <w:basedOn w:val="1"/>
    <w:semiHidden/>
    <w:qFormat/>
    <w:uiPriority w:val="0"/>
    <w:pPr>
      <w:shd w:val="clear" w:color="auto" w:fill="000080"/>
    </w:pPr>
    <w:rPr>
      <w:rFonts w:ascii="Tahoma" w:hAnsi="Tahoma" w:cs="Tahoma"/>
    </w:rPr>
  </w:style>
  <w:style w:type="paragraph" w:styleId="31">
    <w:name w:val="Body Text"/>
    <w:basedOn w:val="1"/>
    <w:link w:val="85"/>
    <w:unhideWhenUsed/>
    <w:qFormat/>
    <w:uiPriority w:val="0"/>
    <w:pPr>
      <w:spacing w:after="120"/>
    </w:pPr>
  </w:style>
  <w:style w:type="paragraph" w:styleId="32">
    <w:name w:val="List Bullet 5"/>
    <w:basedOn w:val="26"/>
    <w:qFormat/>
    <w:uiPriority w:val="0"/>
    <w:pPr>
      <w:ind w:left="1702"/>
    </w:pPr>
  </w:style>
  <w:style w:type="paragraph" w:styleId="33">
    <w:name w:val="toc 8"/>
    <w:basedOn w:val="23"/>
    <w:next w:val="1"/>
    <w:semiHidden/>
    <w:qFormat/>
    <w:uiPriority w:val="0"/>
    <w:pPr>
      <w:spacing w:before="180"/>
      <w:ind w:left="2693" w:hanging="2693"/>
    </w:pPr>
    <w:rPr>
      <w:b/>
    </w:rPr>
  </w:style>
  <w:style w:type="paragraph" w:styleId="34">
    <w:name w:val="Balloon Text"/>
    <w:basedOn w:val="1"/>
    <w:semiHidden/>
    <w:qFormat/>
    <w:uiPriority w:val="0"/>
    <w:rPr>
      <w:rFonts w:ascii="Tahoma" w:hAnsi="Tahoma" w:cs="Tahoma"/>
      <w:sz w:val="16"/>
      <w:szCs w:val="16"/>
    </w:rPr>
  </w:style>
  <w:style w:type="paragraph" w:styleId="35">
    <w:name w:val="footer"/>
    <w:basedOn w:val="36"/>
    <w:qFormat/>
    <w:uiPriority w:val="0"/>
    <w:pPr>
      <w:jc w:val="center"/>
    </w:pPr>
    <w:rPr>
      <w:i/>
    </w:rPr>
  </w:style>
  <w:style w:type="paragraph" w:styleId="36">
    <w:name w:val="header"/>
    <w:qFormat/>
    <w:uiPriority w:val="0"/>
    <w:pPr>
      <w:widowControl w:val="0"/>
    </w:pPr>
    <w:rPr>
      <w:rFonts w:ascii="Arial" w:hAnsi="Arial" w:eastAsia="Times New Roman" w:cs="Times New Roman"/>
      <w:b/>
      <w:sz w:val="18"/>
      <w:lang w:val="en-GB" w:eastAsia="en-US" w:bidi="ar-SA"/>
    </w:rPr>
  </w:style>
  <w:style w:type="paragraph" w:styleId="37">
    <w:name w:val="footnote text"/>
    <w:basedOn w:val="1"/>
    <w:semiHidden/>
    <w:qFormat/>
    <w:uiPriority w:val="0"/>
    <w:pPr>
      <w:keepLines/>
      <w:spacing w:after="0"/>
      <w:ind w:left="454" w:hanging="454"/>
    </w:pPr>
    <w:rPr>
      <w:sz w:val="16"/>
    </w:rPr>
  </w:style>
  <w:style w:type="paragraph" w:styleId="38">
    <w:name w:val="List 5"/>
    <w:basedOn w:val="39"/>
    <w:qFormat/>
    <w:uiPriority w:val="0"/>
    <w:pPr>
      <w:ind w:left="1702"/>
    </w:pPr>
  </w:style>
  <w:style w:type="paragraph" w:styleId="39">
    <w:name w:val="List 4"/>
    <w:basedOn w:val="12"/>
    <w:qFormat/>
    <w:uiPriority w:val="0"/>
    <w:pPr>
      <w:ind w:left="1418"/>
    </w:pPr>
  </w:style>
  <w:style w:type="paragraph" w:styleId="40">
    <w:name w:val="toc 9"/>
    <w:basedOn w:val="33"/>
    <w:next w:val="1"/>
    <w:semiHidden/>
    <w:qFormat/>
    <w:uiPriority w:val="0"/>
    <w:pPr>
      <w:ind w:left="1418" w:hanging="1418"/>
    </w:pPr>
  </w:style>
  <w:style w:type="paragraph" w:styleId="41">
    <w:name w:val="index 1"/>
    <w:basedOn w:val="1"/>
    <w:next w:val="1"/>
    <w:semiHidden/>
    <w:qFormat/>
    <w:uiPriority w:val="0"/>
    <w:pPr>
      <w:keepLines/>
      <w:spacing w:after="0"/>
    </w:pPr>
  </w:style>
  <w:style w:type="paragraph" w:styleId="42">
    <w:name w:val="index 2"/>
    <w:basedOn w:val="41"/>
    <w:next w:val="1"/>
    <w:semiHidden/>
    <w:qFormat/>
    <w:uiPriority w:val="0"/>
    <w:pPr>
      <w:ind w:left="284"/>
    </w:p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table" w:styleId="49">
    <w:name w:val="Table Grid"/>
    <w:basedOn w:val="48"/>
    <w:qFormat/>
    <w:uiPriority w:val="39"/>
    <w:rPr>
      <w:rFonts w:asciiTheme="minorHAnsi" w:hAnsiTheme="minorHAnsi" w:eastAsiaTheme="minorEastAsia" w:cstheme="minorBid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customStyle="1" w:styleId="50">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1">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2">
    <w:name w:val="TT"/>
    <w:basedOn w:val="2"/>
    <w:next w:val="1"/>
    <w:qFormat/>
    <w:uiPriority w:val="0"/>
    <w:pPr>
      <w:outlineLvl w:val="9"/>
    </w:pPr>
  </w:style>
  <w:style w:type="paragraph" w:customStyle="1" w:styleId="53">
    <w:name w:val="TAH"/>
    <w:basedOn w:val="54"/>
    <w:link w:val="90"/>
    <w:qFormat/>
    <w:uiPriority w:val="0"/>
    <w:rPr>
      <w:b/>
    </w:rPr>
  </w:style>
  <w:style w:type="paragraph" w:customStyle="1" w:styleId="54">
    <w:name w:val="TAC"/>
    <w:basedOn w:val="55"/>
    <w:link w:val="87"/>
    <w:qFormat/>
    <w:uiPriority w:val="0"/>
    <w:pPr>
      <w:jc w:val="center"/>
    </w:pPr>
  </w:style>
  <w:style w:type="paragraph" w:customStyle="1" w:styleId="55">
    <w:name w:val="TAL"/>
    <w:basedOn w:val="1"/>
    <w:link w:val="91"/>
    <w:qFormat/>
    <w:uiPriority w:val="0"/>
    <w:pPr>
      <w:keepNext/>
      <w:keepLines/>
      <w:spacing w:after="0"/>
    </w:pPr>
    <w:rPr>
      <w:rFonts w:ascii="Arial" w:hAnsi="Arial"/>
      <w:sz w:val="18"/>
    </w:rPr>
  </w:style>
  <w:style w:type="paragraph" w:customStyle="1" w:styleId="56">
    <w:name w:val="TF"/>
    <w:basedOn w:val="57"/>
    <w:link w:val="94"/>
    <w:qFormat/>
    <w:uiPriority w:val="0"/>
    <w:pPr>
      <w:keepNext w:val="0"/>
      <w:spacing w:before="0" w:after="240"/>
    </w:pPr>
  </w:style>
  <w:style w:type="paragraph" w:customStyle="1" w:styleId="57">
    <w:name w:val="TH"/>
    <w:basedOn w:val="1"/>
    <w:link w:val="88"/>
    <w:qFormat/>
    <w:uiPriority w:val="0"/>
    <w:pPr>
      <w:keepNext/>
      <w:keepLines/>
      <w:spacing w:before="60"/>
      <w:jc w:val="center"/>
    </w:pPr>
    <w:rPr>
      <w:rFonts w:ascii="Arial" w:hAnsi="Arial"/>
      <w:b/>
    </w:rPr>
  </w:style>
  <w:style w:type="paragraph" w:customStyle="1" w:styleId="58">
    <w:name w:val="NO"/>
    <w:basedOn w:val="1"/>
    <w:link w:val="93"/>
    <w:qFormat/>
    <w:uiPriority w:val="0"/>
    <w:pPr>
      <w:keepLines/>
      <w:ind w:left="1135" w:hanging="851"/>
    </w:pPr>
  </w:style>
  <w:style w:type="paragraph" w:customStyle="1" w:styleId="59">
    <w:name w:val="EX"/>
    <w:basedOn w:val="1"/>
    <w:qFormat/>
    <w:uiPriority w:val="0"/>
    <w:pPr>
      <w:keepLines/>
      <w:ind w:left="1702" w:hanging="1418"/>
    </w:pPr>
  </w:style>
  <w:style w:type="paragraph" w:customStyle="1" w:styleId="60">
    <w:name w:val="FP"/>
    <w:basedOn w:val="1"/>
    <w:qFormat/>
    <w:uiPriority w:val="0"/>
    <w:pPr>
      <w:spacing w:after="0"/>
    </w:pPr>
  </w:style>
  <w:style w:type="paragraph" w:customStyle="1" w:styleId="61">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2">
    <w:name w:val="NW"/>
    <w:basedOn w:val="58"/>
    <w:qFormat/>
    <w:uiPriority w:val="0"/>
    <w:pPr>
      <w:spacing w:after="0"/>
    </w:pPr>
  </w:style>
  <w:style w:type="paragraph" w:customStyle="1" w:styleId="63">
    <w:name w:val="EW"/>
    <w:basedOn w:val="59"/>
    <w:qFormat/>
    <w:uiPriority w:val="0"/>
    <w:pPr>
      <w:spacing w:after="0"/>
    </w:pPr>
  </w:style>
  <w:style w:type="paragraph" w:customStyle="1" w:styleId="64">
    <w:name w:val="EQ"/>
    <w:basedOn w:val="1"/>
    <w:next w:val="1"/>
    <w:qFormat/>
    <w:uiPriority w:val="0"/>
    <w:pPr>
      <w:keepLines/>
      <w:tabs>
        <w:tab w:val="center" w:pos="4536"/>
        <w:tab w:val="right" w:pos="9072"/>
      </w:tabs>
    </w:pPr>
  </w:style>
  <w:style w:type="paragraph" w:customStyle="1" w:styleId="65">
    <w:name w:val="NF"/>
    <w:basedOn w:val="58"/>
    <w:qFormat/>
    <w:uiPriority w:val="0"/>
    <w:pPr>
      <w:keepNext/>
      <w:spacing w:after="0"/>
    </w:pPr>
    <w:rPr>
      <w:rFonts w:ascii="Arial" w:hAnsi="Arial"/>
      <w:sz w:val="18"/>
    </w:rPr>
  </w:style>
  <w:style w:type="paragraph" w:customStyle="1" w:styleId="6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7">
    <w:name w:val="TAR"/>
    <w:basedOn w:val="55"/>
    <w:qFormat/>
    <w:uiPriority w:val="0"/>
    <w:pPr>
      <w:jc w:val="right"/>
    </w:pPr>
  </w:style>
  <w:style w:type="paragraph" w:customStyle="1" w:styleId="68">
    <w:name w:val="TAN"/>
    <w:basedOn w:val="55"/>
    <w:link w:val="89"/>
    <w:qFormat/>
    <w:uiPriority w:val="0"/>
    <w:pPr>
      <w:ind w:left="851" w:hanging="851"/>
    </w:pPr>
  </w:style>
  <w:style w:type="paragraph" w:customStyle="1" w:styleId="69">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70">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1">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2">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3">
    <w:name w:val="ZV"/>
    <w:basedOn w:val="72"/>
    <w:qFormat/>
    <w:uiPriority w:val="0"/>
    <w:pPr>
      <w:framePr w:y="16161"/>
    </w:pPr>
  </w:style>
  <w:style w:type="character" w:customStyle="1" w:styleId="74">
    <w:name w:val="ZGSM"/>
    <w:qFormat/>
    <w:uiPriority w:val="0"/>
  </w:style>
  <w:style w:type="paragraph" w:customStyle="1" w:styleId="75">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6">
    <w:name w:val="Editor's Note"/>
    <w:basedOn w:val="58"/>
    <w:qFormat/>
    <w:uiPriority w:val="0"/>
    <w:rPr>
      <w:color w:val="FF0000"/>
    </w:rPr>
  </w:style>
  <w:style w:type="paragraph" w:customStyle="1" w:styleId="77">
    <w:name w:val="B1"/>
    <w:basedOn w:val="14"/>
    <w:link w:val="95"/>
    <w:qFormat/>
    <w:uiPriority w:val="0"/>
  </w:style>
  <w:style w:type="paragraph" w:customStyle="1" w:styleId="78">
    <w:name w:val="B2"/>
    <w:basedOn w:val="13"/>
    <w:qFormat/>
    <w:uiPriority w:val="0"/>
  </w:style>
  <w:style w:type="paragraph" w:customStyle="1" w:styleId="79">
    <w:name w:val="B3"/>
    <w:basedOn w:val="12"/>
    <w:qFormat/>
    <w:uiPriority w:val="0"/>
  </w:style>
  <w:style w:type="paragraph" w:customStyle="1" w:styleId="80">
    <w:name w:val="B4"/>
    <w:basedOn w:val="39"/>
    <w:qFormat/>
    <w:uiPriority w:val="0"/>
  </w:style>
  <w:style w:type="paragraph" w:customStyle="1" w:styleId="81">
    <w:name w:val="B5"/>
    <w:basedOn w:val="38"/>
    <w:qFormat/>
    <w:uiPriority w:val="0"/>
  </w:style>
  <w:style w:type="paragraph" w:customStyle="1" w:styleId="82">
    <w:name w:val="ZTD"/>
    <w:basedOn w:val="70"/>
    <w:qFormat/>
    <w:uiPriority w:val="0"/>
    <w:pPr>
      <w:framePr w:hRule="auto" w:y="852"/>
    </w:pPr>
    <w:rPr>
      <w:i w:val="0"/>
      <w:sz w:val="40"/>
    </w:rPr>
  </w:style>
  <w:style w:type="paragraph" w:customStyle="1" w:styleId="83">
    <w:name w:val="CR Cover Page"/>
    <w:link w:val="86"/>
    <w:qFormat/>
    <w:uiPriority w:val="0"/>
    <w:pPr>
      <w:spacing w:after="120"/>
    </w:pPr>
    <w:rPr>
      <w:rFonts w:ascii="Arial" w:hAnsi="Arial" w:eastAsia="Times New Roman" w:cs="Times New Roman"/>
      <w:lang w:val="en-GB" w:eastAsia="en-US" w:bidi="ar-SA"/>
    </w:rPr>
  </w:style>
  <w:style w:type="paragraph" w:customStyle="1" w:styleId="84">
    <w:name w:val="tdoc-header"/>
    <w:qFormat/>
    <w:uiPriority w:val="0"/>
    <w:rPr>
      <w:rFonts w:ascii="Arial" w:hAnsi="Arial" w:eastAsia="Times New Roman" w:cs="Times New Roman"/>
      <w:sz w:val="24"/>
      <w:lang w:val="en-GB" w:eastAsia="en-US" w:bidi="ar-SA"/>
    </w:rPr>
  </w:style>
  <w:style w:type="character" w:customStyle="1" w:styleId="85">
    <w:name w:val="Body Text Char"/>
    <w:basedOn w:val="43"/>
    <w:link w:val="31"/>
    <w:qFormat/>
    <w:uiPriority w:val="0"/>
    <w:rPr>
      <w:rFonts w:ascii="Times New Roman" w:hAnsi="Times New Roman"/>
      <w:lang w:val="en-GB" w:eastAsia="en-US"/>
    </w:rPr>
  </w:style>
  <w:style w:type="character" w:customStyle="1" w:styleId="86">
    <w:name w:val="CR Cover Page Char"/>
    <w:link w:val="83"/>
    <w:qFormat/>
    <w:uiPriority w:val="0"/>
    <w:rPr>
      <w:rFonts w:ascii="Arial" w:hAnsi="Arial"/>
      <w:lang w:val="en-GB" w:eastAsia="en-US"/>
    </w:rPr>
  </w:style>
  <w:style w:type="character" w:customStyle="1" w:styleId="87">
    <w:name w:val="TAC Char"/>
    <w:link w:val="54"/>
    <w:qFormat/>
    <w:locked/>
    <w:uiPriority w:val="0"/>
    <w:rPr>
      <w:rFonts w:ascii="Arial" w:hAnsi="Arial"/>
      <w:sz w:val="18"/>
      <w:lang w:val="en-GB" w:eastAsia="en-US"/>
    </w:rPr>
  </w:style>
  <w:style w:type="character" w:customStyle="1" w:styleId="88">
    <w:name w:val="TH Char"/>
    <w:link w:val="57"/>
    <w:qFormat/>
    <w:locked/>
    <w:uiPriority w:val="0"/>
    <w:rPr>
      <w:rFonts w:ascii="Arial" w:hAnsi="Arial"/>
      <w:b/>
      <w:lang w:val="en-GB" w:eastAsia="en-US"/>
    </w:rPr>
  </w:style>
  <w:style w:type="character" w:customStyle="1" w:styleId="89">
    <w:name w:val="TAN Char"/>
    <w:basedOn w:val="43"/>
    <w:link w:val="68"/>
    <w:qFormat/>
    <w:locked/>
    <w:uiPriority w:val="0"/>
    <w:rPr>
      <w:rFonts w:ascii="Arial" w:hAnsi="Arial"/>
      <w:sz w:val="18"/>
      <w:lang w:val="en-GB" w:eastAsia="en-US"/>
    </w:rPr>
  </w:style>
  <w:style w:type="character" w:customStyle="1" w:styleId="90">
    <w:name w:val="TAH Car"/>
    <w:link w:val="53"/>
    <w:qFormat/>
    <w:locked/>
    <w:uiPriority w:val="0"/>
    <w:rPr>
      <w:rFonts w:ascii="Arial" w:hAnsi="Arial"/>
      <w:b/>
      <w:sz w:val="18"/>
      <w:lang w:val="en-GB" w:eastAsia="en-US"/>
    </w:rPr>
  </w:style>
  <w:style w:type="character" w:customStyle="1" w:styleId="91">
    <w:name w:val="TAL Car"/>
    <w:link w:val="55"/>
    <w:qFormat/>
    <w:locked/>
    <w:uiPriority w:val="0"/>
    <w:rPr>
      <w:rFonts w:ascii="Arial" w:hAnsi="Arial"/>
      <w:sz w:val="18"/>
      <w:lang w:val="en-GB" w:eastAsia="en-US"/>
    </w:rPr>
  </w:style>
  <w:style w:type="character" w:customStyle="1" w:styleId="92">
    <w:name w:val="TAL Char"/>
    <w:qFormat/>
    <w:uiPriority w:val="0"/>
    <w:rPr>
      <w:rFonts w:ascii="Arial" w:hAnsi="Arial"/>
      <w:sz w:val="18"/>
      <w:lang w:val="en-GB"/>
    </w:rPr>
  </w:style>
  <w:style w:type="character" w:customStyle="1" w:styleId="93">
    <w:name w:val="NO Char"/>
    <w:link w:val="58"/>
    <w:qFormat/>
    <w:uiPriority w:val="0"/>
    <w:rPr>
      <w:rFonts w:ascii="Times New Roman" w:hAnsi="Times New Roman"/>
      <w:lang w:val="en-GB" w:eastAsia="en-US"/>
    </w:rPr>
  </w:style>
  <w:style w:type="character" w:customStyle="1" w:styleId="94">
    <w:name w:val="TF Char"/>
    <w:link w:val="56"/>
    <w:qFormat/>
    <w:uiPriority w:val="0"/>
    <w:rPr>
      <w:rFonts w:ascii="Arial" w:hAnsi="Arial"/>
      <w:b/>
      <w:lang w:val="en-GB" w:eastAsia="en-US"/>
    </w:rPr>
  </w:style>
  <w:style w:type="character" w:customStyle="1" w:styleId="95">
    <w:name w:val="B1 Char"/>
    <w:link w:val="77"/>
    <w:qFormat/>
    <w:uiPriority w:val="0"/>
    <w:rPr>
      <w:rFonts w:ascii="Times New Roman" w:hAnsi="Times New Roman"/>
      <w:lang w:val="en-GB" w:eastAsia="en-US"/>
    </w:rPr>
  </w:style>
  <w:style w:type="character" w:customStyle="1" w:styleId="96">
    <w:name w:val="Heading 3 Char"/>
    <w:basedOn w:val="43"/>
    <w:link w:val="4"/>
    <w:qFormat/>
    <w:uiPriority w:val="0"/>
    <w:rPr>
      <w:rFonts w:ascii="Arial" w:hAnsi="Arial"/>
      <w:sz w:val="28"/>
      <w:lang w:val="en-GB" w:eastAsia="en-US"/>
    </w:rPr>
  </w:style>
  <w:style w:type="character" w:customStyle="1" w:styleId="97">
    <w:name w:val="Heading 4 Char"/>
    <w:basedOn w:val="43"/>
    <w:link w:val="5"/>
    <w:qFormat/>
    <w:uiPriority w:val="0"/>
    <w:rPr>
      <w:rFonts w:ascii="Arial" w:hAnsi="Arial"/>
      <w:sz w:val="24"/>
      <w:lang w:val="en-GB" w:eastAsia="en-US"/>
    </w:rPr>
  </w:style>
  <w:style w:type="character" w:customStyle="1" w:styleId="98">
    <w:name w:val="Heading 5 Char"/>
    <w:basedOn w:val="43"/>
    <w:link w:val="6"/>
    <w:qFormat/>
    <w:uiPriority w:val="0"/>
    <w:rPr>
      <w:rFonts w:ascii="Arial" w:hAnsi="Arial"/>
      <w:sz w:val="22"/>
      <w:lang w:val="en-GB" w:eastAsia="en-US"/>
    </w:rPr>
  </w:style>
  <w:style w:type="character" w:customStyle="1" w:styleId="99">
    <w:name w:val="Heading 6 Char"/>
    <w:basedOn w:val="43"/>
    <w:link w:val="7"/>
    <w:qFormat/>
    <w:uiPriority w:val="0"/>
    <w:rPr>
      <w:rFonts w:ascii="Arial" w:hAnsi="Arial"/>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microsoft.com/office/2006/relationships/keyMapCustomizations" Target="customizations.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0" Type="http://schemas.microsoft.com/office/2011/relationships/people" Target="people.xml"/><Relationship Id="rId1" Type="http://schemas.openxmlformats.org/officeDocument/2006/relationships/styles" Target="styl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A88C3DD-B4B6-4EE0-A1BD-F75C86EA9D3C}">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6</Pages>
  <Words>1794</Words>
  <Characters>10227</Characters>
  <Lines>85</Lines>
  <Paragraphs>23</Paragraphs>
  <TotalTime>0</TotalTime>
  <ScaleCrop>false</ScaleCrop>
  <LinksUpToDate>false</LinksUpToDate>
  <CharactersWithSpaces>11998</CharactersWithSpaces>
  <Application>WPS Office_10.8.2.7027_F1E327BC-269C-435d-A152-05C5408002CA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2019-08-14T20:04:00Z</dcterms:created>
  <dc:creator>Aijun CAO</dc:creator>
  <cp:lastModifiedBy>Richie Leo (ZTE)</cp:lastModifiedBy>
  <cp:lastPrinted>2411-12-31T07:00:00Z</cp:lastPrinted>
  <dcterms:modified xsi:type="dcterms:W3CDTF">2020-02-13T08:36:02Z</dcterms:modified>
  <dc:title>MTG_TITLE</dc:title>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1554965742</vt:lpwstr>
  </property>
  <property fmtid="{D5CDD505-2E9C-101B-9397-08002B2CF9AE}" pid="25" name="KSOProductBuildVer">
    <vt:lpwstr>2052-10.8.2.7027</vt:lpwstr>
  </property>
</Properties>
</file>