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center" w:pos="4536"/>
          <w:tab w:val="right" w:pos="9420"/>
        </w:tabs>
        <w:spacing w:after="0"/>
        <w:ind w:right="2"/>
        <w:rPr>
          <w:rFonts w:ascii="Arial" w:hAnsi="Arial" w:cs="Arial"/>
          <w:b/>
          <w:bCs/>
          <w:sz w:val="22"/>
        </w:rPr>
      </w:pPr>
      <w:r>
        <w:rPr>
          <w:rFonts w:ascii="Arial" w:hAnsi="Arial" w:cs="Arial"/>
          <w:b/>
          <w:bCs/>
          <w:sz w:val="22"/>
        </w:rPr>
        <w:t>3GPP TSG RAN Meeting #86</w:t>
      </w:r>
      <w:r>
        <w:rPr>
          <w:rFonts w:ascii="Arial" w:hAnsi="Arial" w:cs="Arial"/>
          <w:b/>
          <w:bCs/>
          <w:sz w:val="22"/>
        </w:rPr>
        <w:tab/>
      </w:r>
      <w:r>
        <w:rPr>
          <w:rFonts w:ascii="Arial" w:hAnsi="Arial" w:cs="Arial"/>
          <w:b/>
          <w:bCs/>
          <w:sz w:val="22"/>
        </w:rPr>
        <w:tab/>
        <w:t>RP-192923</w:t>
      </w:r>
    </w:p>
    <w:p>
      <w:pPr>
        <w:tabs>
          <w:tab w:val="left" w:pos="1985"/>
          <w:tab w:val="right" w:pos="9422"/>
        </w:tabs>
        <w:spacing w:after="0"/>
        <w:jc w:val="both"/>
        <w:rPr>
          <w:rFonts w:ascii="Arial" w:hAnsi="Arial" w:cs="Arial"/>
          <w:b/>
          <w:bCs/>
          <w:sz w:val="22"/>
        </w:rPr>
      </w:pPr>
      <w:r>
        <w:rPr>
          <w:rFonts w:ascii="Arial" w:hAnsi="Arial" w:cs="Arial"/>
          <w:b/>
          <w:bCs/>
          <w:sz w:val="22"/>
        </w:rPr>
        <w:t>Sitges, Spain, 9</w:t>
      </w:r>
      <w:r>
        <w:rPr>
          <w:rFonts w:ascii="Arial" w:hAnsi="Arial" w:cs="Arial"/>
          <w:b/>
          <w:bCs/>
          <w:sz w:val="22"/>
          <w:vertAlign w:val="superscript"/>
        </w:rPr>
        <w:t>th</w:t>
      </w:r>
      <w:r>
        <w:rPr>
          <w:rFonts w:ascii="Arial" w:hAnsi="Arial" w:cs="Arial"/>
          <w:b/>
          <w:bCs/>
          <w:sz w:val="22"/>
        </w:rPr>
        <w:t xml:space="preserve"> – 12</w:t>
      </w:r>
      <w:r>
        <w:rPr>
          <w:rFonts w:ascii="Arial" w:hAnsi="Arial" w:cs="Arial"/>
          <w:b/>
          <w:bCs/>
          <w:sz w:val="22"/>
          <w:vertAlign w:val="superscript"/>
        </w:rPr>
        <w:t>th</w:t>
      </w:r>
      <w:r>
        <w:rPr>
          <w:rFonts w:ascii="Arial" w:hAnsi="Arial" w:cs="Arial"/>
          <w:b/>
          <w:bCs/>
          <w:sz w:val="22"/>
        </w:rPr>
        <w:t xml:space="preserve"> December, 2019</w:t>
      </w:r>
      <w:r>
        <w:rPr>
          <w:rFonts w:ascii="Arial" w:hAnsi="Arial" w:cs="Arial"/>
          <w:b/>
          <w:bCs/>
          <w:sz w:val="22"/>
        </w:rPr>
        <w:tab/>
      </w:r>
    </w:p>
    <w:p>
      <w:pPr>
        <w:tabs>
          <w:tab w:val="left" w:pos="1985"/>
        </w:tabs>
        <w:jc w:val="both"/>
        <w:rPr>
          <w:rFonts w:ascii="Arial" w:hAnsi="Arial"/>
          <w:b/>
          <w:sz w:val="24"/>
        </w:rPr>
      </w:pPr>
      <w:bookmarkStart w:id="0" w:name="_GoBack"/>
      <w:bookmarkEnd w:id="0"/>
    </w:p>
    <w:p>
      <w:pPr>
        <w:tabs>
          <w:tab w:val="left" w:pos="1985"/>
        </w:tabs>
        <w:spacing w:after="120"/>
        <w:jc w:val="both"/>
        <w:rPr>
          <w:rFonts w:ascii="Arial" w:hAnsi="Arial"/>
          <w:sz w:val="22"/>
        </w:rPr>
      </w:pPr>
      <w:r>
        <w:rPr>
          <w:rFonts w:ascii="Arial" w:hAnsi="Arial"/>
          <w:b/>
          <w:sz w:val="22"/>
        </w:rPr>
        <w:t>Agenda item:</w:t>
      </w:r>
      <w:r>
        <w:rPr>
          <w:rFonts w:ascii="Arial" w:hAnsi="Arial"/>
          <w:sz w:val="22"/>
        </w:rPr>
        <w:tab/>
      </w:r>
      <w:bookmarkStart w:id="1" w:name="Source"/>
      <w:bookmarkEnd w:id="1"/>
      <w:r>
        <w:rPr>
          <w:rFonts w:ascii="Arial" w:hAnsi="Arial"/>
          <w:sz w:val="22"/>
        </w:rPr>
        <w:t>9.1.1</w:t>
      </w:r>
    </w:p>
    <w:p>
      <w:pPr>
        <w:tabs>
          <w:tab w:val="left" w:pos="1985"/>
        </w:tabs>
        <w:spacing w:after="120"/>
        <w:jc w:val="both"/>
        <w:rPr>
          <w:rFonts w:ascii="Arial" w:hAnsi="Arial"/>
          <w:sz w:val="22"/>
        </w:rPr>
      </w:pPr>
      <w:r>
        <w:rPr>
          <w:rFonts w:ascii="Arial" w:hAnsi="Arial"/>
          <w:b/>
          <w:sz w:val="22"/>
        </w:rPr>
        <w:t xml:space="preserve">Source: </w:t>
      </w:r>
      <w:r>
        <w:rPr>
          <w:rFonts w:ascii="Arial" w:hAnsi="Arial"/>
          <w:b/>
          <w:sz w:val="22"/>
        </w:rPr>
        <w:tab/>
      </w:r>
      <w:r>
        <w:rPr>
          <w:rFonts w:ascii="Arial" w:hAnsi="Arial"/>
          <w:sz w:val="22"/>
        </w:rPr>
        <w:t>Nokia, Nokia Shanghai Bell (Moderator)</w:t>
      </w:r>
    </w:p>
    <w:p>
      <w:pPr>
        <w:spacing w:after="120"/>
        <w:ind w:left="1988" w:hanging="1988"/>
        <w:rPr>
          <w:rFonts w:ascii="Arial" w:hAnsi="Arial"/>
          <w:sz w:val="22"/>
        </w:rPr>
      </w:pPr>
      <w:r>
        <w:rPr>
          <w:rFonts w:ascii="Arial" w:hAnsi="Arial"/>
          <w:b/>
          <w:sz w:val="22"/>
        </w:rPr>
        <w:t>Title:</w:t>
      </w:r>
      <w:r>
        <w:rPr>
          <w:rFonts w:ascii="Arial" w:hAnsi="Arial"/>
          <w:sz w:val="22"/>
        </w:rPr>
        <w:t xml:space="preserve"> </w:t>
      </w:r>
      <w:r>
        <w:rPr>
          <w:rFonts w:ascii="Arial" w:hAnsi="Arial"/>
        </w:rPr>
        <w:tab/>
      </w:r>
      <w:r>
        <w:rPr>
          <w:rFonts w:ascii="Arial" w:hAnsi="Arial"/>
          <w:sz w:val="22"/>
          <w:szCs w:val="22"/>
        </w:rPr>
        <w:t>Rel-17 NR</w:t>
      </w:r>
      <w:r>
        <w:rPr>
          <w:rFonts w:ascii="Arial" w:hAnsi="Arial"/>
          <w:sz w:val="22"/>
        </w:rPr>
        <w:t xml:space="preserve">-U Enhancements email discussion </w:t>
      </w:r>
      <w:r>
        <w:rPr>
          <w:rFonts w:ascii="Arial" w:hAnsi="Arial"/>
          <w:sz w:val="22"/>
          <w:lang w:val="en-US"/>
        </w:rPr>
        <w:t>[Unlicensed_enh] Summary</w:t>
      </w:r>
    </w:p>
    <w:p>
      <w:pPr>
        <w:spacing w:after="120"/>
        <w:ind w:left="1988" w:hanging="1988"/>
        <w:jc w:val="both"/>
        <w:rPr>
          <w:rFonts w:ascii="Arial" w:hAnsi="Arial"/>
          <w:sz w:val="22"/>
        </w:rPr>
      </w:pPr>
      <w:r>
        <w:rPr>
          <w:rFonts w:ascii="Arial" w:hAnsi="Arial"/>
          <w:b/>
          <w:sz w:val="22"/>
        </w:rPr>
        <w:t>Document for:</w:t>
      </w:r>
      <w:r>
        <w:rPr>
          <w:rFonts w:ascii="Arial" w:hAnsi="Arial"/>
          <w:sz w:val="22"/>
        </w:rPr>
        <w:tab/>
      </w:r>
      <w:bookmarkStart w:id="2" w:name="DocumentFor"/>
      <w:bookmarkEnd w:id="2"/>
      <w:r>
        <w:rPr>
          <w:rFonts w:ascii="Arial" w:hAnsi="Arial"/>
          <w:sz w:val="22"/>
        </w:rPr>
        <w:t>Discussion</w:t>
      </w:r>
    </w:p>
    <w:p>
      <w:pPr>
        <w:pStyle w:val="Heading1"/>
      </w:pPr>
      <w:r>
        <w:t>Overall Summary and Proposals</w:t>
      </w:r>
    </w:p>
    <w:p>
      <w:r>
        <w:t xml:space="preserve">The email discussion was carried out in two phases. </w:t>
      </w:r>
    </w:p>
    <w:p/>
    <w:p>
      <w:r>
        <w:t xml:space="preserve">The following proposals are derived from Phase 1: </w:t>
      </w:r>
    </w:p>
    <w:p>
      <w:pPr>
        <w:rPr>
          <w:b/>
        </w:rPr>
      </w:pPr>
      <w:r>
        <w:rPr>
          <w:b/>
        </w:rPr>
        <w:t xml:space="preserve">Proposal 1-1:  </w:t>
      </w:r>
      <w:r>
        <w:t xml:space="preserve">The following topics which have a reasonable level of support could be considered further under the </w:t>
      </w:r>
      <w:r>
        <w:rPr>
          <w:b/>
        </w:rPr>
        <w:t>URLLC/IIoT</w:t>
      </w:r>
      <w:r>
        <w:t xml:space="preserve"> discussion:</w:t>
      </w:r>
    </w:p>
    <w:p>
      <w:pPr>
        <w:pStyle w:val="ListParagraph"/>
        <w:numPr>
          <w:ilvl w:val="0"/>
          <w:numId w:val="50"/>
        </w:numPr>
      </w:pPr>
      <w:r>
        <w:rPr>
          <w:b/>
        </w:rPr>
        <w:t>CG, scheduling &amp; HARQ enhancements</w:t>
      </w:r>
      <w:r>
        <w:t xml:space="preserve"> (note, however, that a wide range of different enhancements are suggested, so some convergence would be needed);</w:t>
      </w:r>
    </w:p>
    <w:p>
      <w:pPr>
        <w:pStyle w:val="ListParagraph"/>
        <w:numPr>
          <w:ilvl w:val="0"/>
          <w:numId w:val="50"/>
        </w:numPr>
      </w:pPr>
      <w:r>
        <w:rPr>
          <w:b/>
        </w:rPr>
        <w:t>RACH and initial access enhancements</w:t>
      </w:r>
      <w:r>
        <w:t xml:space="preserve">: focus on 2-step RACH, RACH Occasions and msg1-4 resources; </w:t>
      </w:r>
    </w:p>
    <w:p>
      <w:pPr>
        <w:pStyle w:val="ListParagraph"/>
        <w:numPr>
          <w:ilvl w:val="0"/>
          <w:numId w:val="50"/>
        </w:numPr>
        <w:rPr>
          <w:b/>
        </w:rPr>
      </w:pPr>
      <w:r>
        <w:rPr>
          <w:b/>
        </w:rPr>
        <w:t>FBE related enhancements</w:t>
      </w:r>
    </w:p>
    <w:p>
      <w:pPr>
        <w:pStyle w:val="ListParagraph"/>
        <w:numPr>
          <w:ilvl w:val="0"/>
          <w:numId w:val="50"/>
        </w:numPr>
      </w:pPr>
      <w:r>
        <w:rPr>
          <w:b/>
        </w:rPr>
        <w:t>PUSCH “Alt 2”</w:t>
      </w:r>
      <w:r>
        <w:t xml:space="preserve"> (PUSCH on all or a subset of LBT bandwidths where CCA is successful)</w:t>
      </w:r>
    </w:p>
    <w:p>
      <w:pPr>
        <w:pStyle w:val="ListParagraph"/>
        <w:ind w:left="1080"/>
        <w:rPr>
          <w:b/>
        </w:rPr>
      </w:pPr>
    </w:p>
    <w:p>
      <w:pPr>
        <w:rPr>
          <w:b/>
        </w:rPr>
      </w:pPr>
      <w:r>
        <w:rPr>
          <w:b/>
        </w:rPr>
        <w:t xml:space="preserve">Proposal 1-2:  </w:t>
      </w:r>
      <w:r>
        <w:t xml:space="preserve">NR-U related aspects of </w:t>
      </w:r>
      <w:r>
        <w:rPr>
          <w:b/>
        </w:rPr>
        <w:t>Power saving</w:t>
      </w:r>
      <w:r>
        <w:t xml:space="preserve">, </w:t>
      </w:r>
      <w:r>
        <w:rPr>
          <w:b/>
        </w:rPr>
        <w:t>Mobility enhancement</w:t>
      </w:r>
      <w:r>
        <w:t xml:space="preserve">, </w:t>
      </w:r>
      <w:r>
        <w:rPr>
          <w:b/>
        </w:rPr>
        <w:t>Positioning</w:t>
      </w:r>
      <w:r>
        <w:t xml:space="preserve">, </w:t>
      </w:r>
      <w:r>
        <w:rPr>
          <w:b/>
        </w:rPr>
        <w:t>Multi-SIM</w:t>
      </w:r>
      <w:r>
        <w:t xml:space="preserve">, </w:t>
      </w:r>
      <w:r>
        <w:rPr>
          <w:b/>
        </w:rPr>
        <w:t>MIMO</w:t>
      </w:r>
      <w:r>
        <w:t xml:space="preserve">, </w:t>
      </w:r>
      <w:r>
        <w:rPr>
          <w:b/>
        </w:rPr>
        <w:t>NR-Light</w:t>
      </w:r>
      <w:r>
        <w:t xml:space="preserve">, </w:t>
      </w:r>
      <w:r>
        <w:rPr>
          <w:b/>
        </w:rPr>
        <w:t>Multicast/broadcast</w:t>
      </w:r>
      <w:r>
        <w:t xml:space="preserve">, </w:t>
      </w:r>
      <w:r>
        <w:rPr>
          <w:b/>
        </w:rPr>
        <w:t>Sidelink</w:t>
      </w:r>
      <w:r>
        <w:t xml:space="preserve">, and </w:t>
      </w:r>
      <w:r>
        <w:rPr>
          <w:b/>
        </w:rPr>
        <w:t>MDT/SON</w:t>
      </w:r>
      <w:r>
        <w:t xml:space="preserve"> should be considered under the respective other discussions.</w:t>
      </w:r>
    </w:p>
    <w:p/>
    <w:p>
      <w:r>
        <w:t xml:space="preserve">The following proposals are derived from Phase 2: </w:t>
      </w:r>
    </w:p>
    <w:p>
      <w:pPr>
        <w:rPr>
          <w:b/>
        </w:rPr>
      </w:pPr>
      <w:r>
        <w:rPr>
          <w:b/>
        </w:rPr>
        <w:t xml:space="preserve">Proposal 2-1:  </w:t>
      </w:r>
      <w:r>
        <w:t>Channel access schemes, including potential enhancements to the LBT schemes specified for FR1, should be studied in the work for Beyond 52.6 GHz, and the applicability of schemes specified for Beyond 52.6 GHz may subsequently be considered for lower frequency bands.</w:t>
      </w:r>
      <w:r>
        <w:rPr>
          <w:b/>
        </w:rPr>
        <w:t xml:space="preserve"> </w:t>
      </w:r>
    </w:p>
    <w:p>
      <w:r>
        <w:rPr>
          <w:b/>
        </w:rPr>
        <w:t xml:space="preserve">Proposal 2-2: </w:t>
      </w:r>
      <w:r>
        <w:t>When approving the Rel-17 package of WIs/SIs, it should be understood that work to take into account regulations for 6 GHz unlicensed spectrum is expected to be initiated during the Rel-17 timeframe</w:t>
      </w:r>
      <w:r>
        <w:rPr>
          <w:b/>
        </w:rPr>
        <w:t xml:space="preserve"> </w:t>
      </w:r>
      <w:r>
        <w:t>once relevant regulations are stable.</w:t>
      </w:r>
    </w:p>
    <w:p>
      <w:pPr>
        <w:rPr>
          <w:b/>
        </w:rPr>
      </w:pPr>
      <w:r>
        <w:rPr>
          <w:b/>
        </w:rPr>
        <w:t xml:space="preserve">Proposal 2-3: </w:t>
      </w:r>
      <w:r>
        <w:t>RLM/RRM enhancements for NR-U will not be considered in Rel-17.</w:t>
      </w:r>
      <w:r>
        <w:rPr>
          <w:b/>
        </w:rPr>
        <w:t xml:space="preserve"> </w:t>
      </w:r>
    </w:p>
    <w:p/>
    <w:p/>
    <w:p>
      <w:pPr>
        <w:rPr>
          <w:lang w:val="en-US"/>
        </w:rPr>
      </w:pPr>
    </w:p>
    <w:p>
      <w:pPr>
        <w:pStyle w:val="Heading1"/>
      </w:pPr>
      <w:r>
        <w:t>Summary and observations from company inputs to Step 1</w:t>
      </w:r>
    </w:p>
    <w:p>
      <w:pPr>
        <w:rPr>
          <w:lang w:val="en-US"/>
        </w:rPr>
      </w:pPr>
      <w:r>
        <w:rPr>
          <w:lang w:val="en-US"/>
        </w:rPr>
        <w:t>In the first phase of discussion, companies were invited to describe the aspects of potential enhancements for NR-U operation they feel are important for Rel-17, excluding those that relate to beyond 52.6 GHz.</w:t>
      </w:r>
    </w:p>
    <w:p>
      <w:pPr>
        <w:rPr>
          <w:lang w:val="en-US"/>
        </w:rPr>
      </w:pPr>
      <w:r>
        <w:rPr>
          <w:lang w:val="en-US"/>
        </w:rPr>
        <w:t>Companies were reminded of the guidance from RAN#84 [2]:</w:t>
      </w:r>
    </w:p>
    <w:p>
      <w:pPr>
        <w:numPr>
          <w:ilvl w:val="0"/>
          <w:numId w:val="28"/>
        </w:numPr>
      </w:pPr>
      <w:r>
        <w:rPr>
          <w:lang w:val="en-US"/>
        </w:rPr>
        <w:lastRenderedPageBreak/>
        <w:t xml:space="preserve">This email discussion is to discuss </w:t>
      </w:r>
      <w:r>
        <w:rPr>
          <w:b/>
          <w:lang w:val="en-US"/>
        </w:rPr>
        <w:t>generic unlicensed operation enhancements not covered by any other item</w:t>
      </w:r>
    </w:p>
    <w:p>
      <w:pPr>
        <w:numPr>
          <w:ilvl w:val="0"/>
          <w:numId w:val="28"/>
        </w:numPr>
      </w:pPr>
      <w:r>
        <w:rPr>
          <w:b/>
          <w:lang w:val="en-US"/>
        </w:rPr>
        <w:t>Unlicensed aspects specific to other items will be addressed by those items</w:t>
      </w:r>
      <w:r>
        <w:rPr>
          <w:lang w:val="en-US"/>
        </w:rPr>
        <w:t xml:space="preserve"> (e.g. URLLC over unlicensed spectrum would be addressed in the URLLC discussion)</w:t>
      </w:r>
    </w:p>
    <w:p>
      <w:pPr>
        <w:rPr>
          <w:lang w:val="en-US"/>
        </w:rPr>
      </w:pPr>
      <w:r>
        <w:rPr>
          <w:lang w:val="en-US"/>
        </w:rPr>
        <w:t xml:space="preserve">The responses are discussed below, with some observations and conclusions. </w:t>
      </w:r>
    </w:p>
    <w:p>
      <w:r>
        <w:t xml:space="preserve">The full responses from the companies that contributed are contained in Annex A. </w:t>
      </w:r>
    </w:p>
    <w:p>
      <w:r>
        <w:t xml:space="preserve">The attached spreadsheet attempts to group the responses logically. Note, however, that it should be seen only as a rough guide, owing to the different categorisations used by different companies: </w:t>
      </w:r>
    </w:p>
    <w:p>
      <w:r>
        <w:rPr>
          <w:noProof/>
        </w:rP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5.25pt;mso-width-percent:0;mso-height-percent:0;mso-width-percent:0;mso-height-percent:0" o:ole="">
            <v:imagedata r:id="rId13" o:title=""/>
          </v:shape>
          <o:OLEObject Type="Embed" ProgID="Excel.Sheet.12" ShapeID="_x0000_i1025" DrawAspect="Icon" ObjectID="_1636809844" r:id="rId14"/>
        </w:object>
      </w:r>
    </w:p>
    <w:p>
      <w:r>
        <w:t xml:space="preserve">The following </w:t>
      </w:r>
      <w:r>
        <w:rPr>
          <w:b/>
        </w:rPr>
        <w:t>observations and conclusions</w:t>
      </w:r>
      <w:r>
        <w:t xml:space="preserve"> can be drawn from the responses (full responses are contained in Annex A):</w:t>
      </w:r>
    </w:p>
    <w:p>
      <w:pPr>
        <w:pStyle w:val="ListParagraph"/>
        <w:numPr>
          <w:ilvl w:val="0"/>
          <w:numId w:val="50"/>
        </w:numPr>
        <w:ind w:left="360"/>
      </w:pPr>
      <w:r>
        <w:t xml:space="preserve">There is an extremely wide diversity of proposals for enhancements to NR-U, with very few areas showing significant consensus. Many items are supported by only a few companies, and some companies showed a tendency simply to mention all leftovers from Rel-16, without obvious prioritisation. Very few topics are seen as “high priority” by any company. </w:t>
      </w:r>
    </w:p>
    <w:p>
      <w:pPr>
        <w:pStyle w:val="ListParagraph"/>
        <w:ind w:left="360"/>
      </w:pPr>
    </w:p>
    <w:p>
      <w:pPr>
        <w:pStyle w:val="ListParagraph"/>
        <w:numPr>
          <w:ilvl w:val="0"/>
          <w:numId w:val="50"/>
        </w:numPr>
        <w:ind w:left="360"/>
      </w:pPr>
      <w:r>
        <w:t xml:space="preserve">Considering the expectation that work is likely to commence in Rel-17 on frequencies above 52.6GHz, some companies still feel there is a need for a Rel-17 WI dedicated to NR-U, with some others deferring judgement on the matter. Compared to other proposed Rel-17 items, however, the number of companies favouring a Rel-17 WI dedicated to NR-U is relatively small. </w:t>
      </w:r>
    </w:p>
    <w:p>
      <w:pPr>
        <w:pStyle w:val="ListParagraph"/>
        <w:ind w:left="360"/>
      </w:pPr>
    </w:p>
    <w:p>
      <w:pPr>
        <w:pStyle w:val="ListParagraph"/>
        <w:numPr>
          <w:ilvl w:val="0"/>
          <w:numId w:val="50"/>
        </w:numPr>
        <w:ind w:left="360"/>
      </w:pPr>
      <w:r>
        <w:t xml:space="preserve">Following the guidance from RAN#84, </w:t>
      </w:r>
      <w:r>
        <w:rPr>
          <w:b/>
        </w:rPr>
        <w:t>most of the proposed topics relate to other items under consideration for Rel-17 and can be discussed further under those items</w:t>
      </w:r>
      <w:r>
        <w:t xml:space="preserve">: </w:t>
      </w:r>
    </w:p>
    <w:p>
      <w:pPr>
        <w:pStyle w:val="ListParagraph"/>
        <w:numPr>
          <w:ilvl w:val="1"/>
          <w:numId w:val="50"/>
        </w:numPr>
        <w:ind w:left="1080"/>
      </w:pPr>
      <w:r>
        <w:rPr>
          <w:b/>
        </w:rPr>
        <w:t>URLLC/IIoT</w:t>
      </w:r>
      <w:r>
        <w:t xml:space="preserve"> is by far the most relevant, especially considering that the motivation of many of the proposed enhancements is reduced latency; the following topics which have a reasonable level of support could be considered further under that discussion:</w:t>
      </w:r>
    </w:p>
    <w:p>
      <w:pPr>
        <w:pStyle w:val="ListParagraph"/>
        <w:numPr>
          <w:ilvl w:val="2"/>
          <w:numId w:val="50"/>
        </w:numPr>
        <w:ind w:left="1800"/>
      </w:pPr>
      <w:r>
        <w:rPr>
          <w:b/>
        </w:rPr>
        <w:t>CG, scheduling &amp; HARQ enhancements</w:t>
      </w:r>
      <w:r>
        <w:t xml:space="preserve"> (note, however, that a wide range of different enhancements are suggested, so some convergence would be needed);</w:t>
      </w:r>
    </w:p>
    <w:p>
      <w:pPr>
        <w:pStyle w:val="ListParagraph"/>
        <w:numPr>
          <w:ilvl w:val="2"/>
          <w:numId w:val="50"/>
        </w:numPr>
        <w:ind w:left="1800"/>
      </w:pPr>
      <w:r>
        <w:rPr>
          <w:b/>
        </w:rPr>
        <w:t>RACH and initial access enhancements</w:t>
      </w:r>
      <w:r>
        <w:t xml:space="preserve">: focus on 2-step RACH, RACH Occasions and msg1-4 resources, which seem to have the most support; </w:t>
      </w:r>
    </w:p>
    <w:p>
      <w:pPr>
        <w:pStyle w:val="ListParagraph"/>
        <w:numPr>
          <w:ilvl w:val="2"/>
          <w:numId w:val="50"/>
        </w:numPr>
        <w:ind w:left="1800"/>
        <w:rPr>
          <w:b/>
        </w:rPr>
      </w:pPr>
      <w:r>
        <w:rPr>
          <w:b/>
        </w:rPr>
        <w:t>FBE related enhancements</w:t>
      </w:r>
    </w:p>
    <w:p>
      <w:pPr>
        <w:pStyle w:val="ListParagraph"/>
        <w:numPr>
          <w:ilvl w:val="2"/>
          <w:numId w:val="50"/>
        </w:numPr>
        <w:ind w:left="1800"/>
      </w:pPr>
      <w:r>
        <w:rPr>
          <w:b/>
        </w:rPr>
        <w:t>PUSCH “Alt 2”</w:t>
      </w:r>
      <w:r>
        <w:t xml:space="preserve"> (PUSCH on all or a subset of LBT bandwidths where CCA is successful</w:t>
      </w:r>
    </w:p>
    <w:p>
      <w:pPr>
        <w:pStyle w:val="ListParagraph"/>
        <w:ind w:left="1080"/>
        <w:rPr>
          <w:b/>
        </w:rPr>
      </w:pPr>
    </w:p>
    <w:p>
      <w:pPr>
        <w:pStyle w:val="ListParagraph"/>
        <w:numPr>
          <w:ilvl w:val="1"/>
          <w:numId w:val="50"/>
        </w:numPr>
        <w:ind w:left="1080"/>
      </w:pPr>
      <w:r>
        <w:t xml:space="preserve">NR-U related aspects of </w:t>
      </w:r>
      <w:r>
        <w:rPr>
          <w:b/>
        </w:rPr>
        <w:t>Power saving</w:t>
      </w:r>
      <w:r>
        <w:t xml:space="preserve">, </w:t>
      </w:r>
      <w:r>
        <w:rPr>
          <w:b/>
        </w:rPr>
        <w:t>Mobility enhancement</w:t>
      </w:r>
      <w:r>
        <w:t xml:space="preserve">, </w:t>
      </w:r>
      <w:r>
        <w:rPr>
          <w:b/>
        </w:rPr>
        <w:t>Positioning</w:t>
      </w:r>
      <w:r>
        <w:t xml:space="preserve">, </w:t>
      </w:r>
      <w:r>
        <w:rPr>
          <w:b/>
        </w:rPr>
        <w:t>Multi-SIM</w:t>
      </w:r>
      <w:r>
        <w:t xml:space="preserve">, </w:t>
      </w:r>
      <w:r>
        <w:rPr>
          <w:b/>
        </w:rPr>
        <w:t>MIMO</w:t>
      </w:r>
      <w:r>
        <w:t xml:space="preserve">, </w:t>
      </w:r>
      <w:r>
        <w:rPr>
          <w:b/>
        </w:rPr>
        <w:t>NR-Light</w:t>
      </w:r>
      <w:r>
        <w:t xml:space="preserve">, </w:t>
      </w:r>
      <w:r>
        <w:rPr>
          <w:b/>
        </w:rPr>
        <w:t>Multicast/broadcast</w:t>
      </w:r>
      <w:r>
        <w:t xml:space="preserve">, </w:t>
      </w:r>
      <w:r>
        <w:rPr>
          <w:b/>
        </w:rPr>
        <w:t>Sidelink</w:t>
      </w:r>
      <w:r>
        <w:t xml:space="preserve">, and </w:t>
      </w:r>
      <w:r>
        <w:rPr>
          <w:b/>
        </w:rPr>
        <w:t>MDT/SON</w:t>
      </w:r>
      <w:r>
        <w:t xml:space="preserve"> should be considered under the respective other discussions. (Note, however, that if a corresponding item is not finally approved from this list, then this should not necessarily be seen as justification to include the unlicensed component of that work in a dedicated unlicensed item.) </w:t>
      </w:r>
    </w:p>
    <w:p>
      <w:pPr>
        <w:pStyle w:val="ListParagraph"/>
        <w:ind w:left="0" w:firstLine="1080"/>
      </w:pPr>
    </w:p>
    <w:p>
      <w:pPr>
        <w:pStyle w:val="ListParagraph"/>
        <w:ind w:left="0" w:firstLine="1080"/>
      </w:pPr>
    </w:p>
    <w:p>
      <w:pPr>
        <w:pStyle w:val="ListParagraph"/>
        <w:numPr>
          <w:ilvl w:val="0"/>
          <w:numId w:val="50"/>
        </w:numPr>
        <w:ind w:left="360"/>
      </w:pPr>
      <w:r>
        <w:t>The only topics that have support from several companies but do not easily relate to another generic item are:</w:t>
      </w:r>
    </w:p>
    <w:p>
      <w:pPr>
        <w:pStyle w:val="ListParagraph"/>
        <w:numPr>
          <w:ilvl w:val="1"/>
          <w:numId w:val="50"/>
        </w:numPr>
        <w:ind w:left="1080"/>
      </w:pPr>
      <w:r>
        <w:rPr>
          <w:b/>
        </w:rPr>
        <w:t>Enhancements to channel access procedures</w:t>
      </w:r>
      <w:r>
        <w:t xml:space="preserve">, especially: </w:t>
      </w:r>
    </w:p>
    <w:p>
      <w:pPr>
        <w:pStyle w:val="ListParagraph"/>
        <w:numPr>
          <w:ilvl w:val="2"/>
          <w:numId w:val="50"/>
        </w:numPr>
        <w:ind w:left="1800"/>
      </w:pPr>
      <w:r>
        <w:t>Receiver assisted / closed-loop LBT</w:t>
      </w:r>
    </w:p>
    <w:p>
      <w:pPr>
        <w:pStyle w:val="ListParagraph"/>
        <w:numPr>
          <w:ilvl w:val="2"/>
          <w:numId w:val="50"/>
        </w:numPr>
        <w:ind w:left="1800"/>
      </w:pPr>
      <w:r>
        <w:t>Directional LBT</w:t>
      </w:r>
    </w:p>
    <w:p>
      <w:pPr>
        <w:pStyle w:val="ListParagraph"/>
        <w:numPr>
          <w:ilvl w:val="2"/>
          <w:numId w:val="50"/>
        </w:numPr>
        <w:ind w:left="1800"/>
      </w:pPr>
      <w:r>
        <w:t xml:space="preserve">Common preamble for 6GHz </w:t>
      </w:r>
    </w:p>
    <w:p>
      <w:pPr>
        <w:pStyle w:val="ListParagraph"/>
        <w:numPr>
          <w:ilvl w:val="1"/>
          <w:numId w:val="50"/>
        </w:numPr>
        <w:ind w:left="1080"/>
      </w:pPr>
      <w:r>
        <w:rPr>
          <w:b/>
        </w:rPr>
        <w:t>RLM/RRM leftovers</w:t>
      </w:r>
      <w:r>
        <w:t xml:space="preserve"> (in-sync/out-of-sync indicators being the only specific item mentioned). </w:t>
      </w:r>
    </w:p>
    <w:p>
      <w:pPr>
        <w:pStyle w:val="ListParagraph"/>
        <w:ind w:left="360"/>
      </w:pPr>
    </w:p>
    <w:p>
      <w:pPr>
        <w:pStyle w:val="ListParagraph"/>
        <w:ind w:left="360"/>
      </w:pPr>
      <w:r>
        <w:t xml:space="preserve">It was therefore proposed that further discussion of any possible NR-U-specific work item should focus only on these channel access enhancements and RLM/RRM leftovers. </w:t>
      </w:r>
    </w:p>
    <w:p>
      <w:pPr>
        <w:pStyle w:val="ListParagraph"/>
      </w:pPr>
    </w:p>
    <w:p>
      <w:pPr>
        <w:pStyle w:val="ListParagraph"/>
        <w:ind w:left="360"/>
      </w:pPr>
    </w:p>
    <w:p>
      <w:pPr>
        <w:pStyle w:val="Heading1"/>
      </w:pPr>
      <w:r>
        <w:lastRenderedPageBreak/>
        <w:t>Summary and observations from company inputs to Step 2</w:t>
      </w:r>
    </w:p>
    <w:p>
      <w:pPr>
        <w:pStyle w:val="ListParagraph"/>
        <w:ind w:left="360"/>
      </w:pPr>
    </w:p>
    <w:p>
      <w:pPr>
        <w:pStyle w:val="ListParagraph"/>
        <w:ind w:left="0"/>
      </w:pPr>
      <w:r>
        <w:t xml:space="preserve">In order to provide further clarity, in a second phase of the email discussion, companies were invited to provide their answers to the following questions: </w:t>
      </w:r>
    </w:p>
    <w:p>
      <w:pPr>
        <w:pStyle w:val="ListParagraph"/>
        <w:ind w:left="0"/>
      </w:pPr>
    </w:p>
    <w:p>
      <w:pPr>
        <w:pStyle w:val="ListParagraph"/>
        <w:ind w:left="0"/>
        <w:rPr>
          <w:b/>
          <w:u w:val="single"/>
        </w:rPr>
      </w:pPr>
      <w:r>
        <w:rPr>
          <w:b/>
          <w:u w:val="single"/>
        </w:rPr>
        <w:t>Question 1</w:t>
      </w:r>
      <w:r>
        <w:t xml:space="preserve">: If a SI/WI on Beyond 52.6GHz is approved, it is likely that LBT enhancements (directional LBT and receiver-assisted / closed-loop LBT) will be handled there for the 60 GHz band. Is it necessary to study these LBT enhancements separately for spectrum below 52.6GHz? </w:t>
      </w:r>
    </w:p>
    <w:p>
      <w:pPr>
        <w:pStyle w:val="ListParagraph"/>
        <w:ind w:left="0"/>
      </w:pPr>
      <w:r>
        <w:t>(Notes:</w:t>
      </w:r>
    </w:p>
    <w:p>
      <w:pPr>
        <w:pStyle w:val="ListParagraph"/>
        <w:numPr>
          <w:ilvl w:val="0"/>
          <w:numId w:val="52"/>
        </w:numPr>
      </w:pPr>
      <w:r>
        <w:t>NR-U has so far been designed for FR1 only.</w:t>
      </w:r>
    </w:p>
    <w:p>
      <w:pPr>
        <w:pStyle w:val="ListParagraph"/>
        <w:numPr>
          <w:ilvl w:val="0"/>
          <w:numId w:val="52"/>
        </w:numPr>
      </w:pPr>
      <w:r>
        <w:t>In relation to 28 GHz spectrum in Japan, further information on any applicable regulations for channel access may be needed.)</w:t>
      </w:r>
    </w:p>
    <w:p>
      <w:pPr>
        <w:pStyle w:val="ListParagraph"/>
        <w:ind w:left="0"/>
      </w:pPr>
    </w:p>
    <w:p>
      <w:pPr>
        <w:pStyle w:val="ListParagraph"/>
        <w:ind w:left="0"/>
      </w:pPr>
      <w:r>
        <w:rPr>
          <w:b/>
          <w:u w:val="single"/>
        </w:rPr>
        <w:t>Question 2:</w:t>
      </w:r>
      <w:r>
        <w:rPr>
          <w:b/>
        </w:rPr>
        <w:t xml:space="preserve"> </w:t>
      </w:r>
      <w:r>
        <w:t>How should work for 6 GHz channel access be handled in the light of the regulatory status outside 3GPP?</w:t>
      </w:r>
    </w:p>
    <w:p>
      <w:pPr>
        <w:pStyle w:val="ListParagraph"/>
        <w:ind w:left="0"/>
      </w:pPr>
    </w:p>
    <w:p>
      <w:pPr>
        <w:pStyle w:val="ListParagraph"/>
        <w:ind w:left="0"/>
      </w:pPr>
      <w:r>
        <w:rPr>
          <w:b/>
          <w:u w:val="single"/>
        </w:rPr>
        <w:t>Question 3:</w:t>
      </w:r>
      <w:r>
        <w:rPr>
          <w:b/>
        </w:rPr>
        <w:t xml:space="preserve"> </w:t>
      </w:r>
      <w:r>
        <w:t>Which RLM/RRM leftovers are necessary to consider for any potential NR-U enhancement item in Rel-17?</w:t>
      </w:r>
    </w:p>
    <w:p>
      <w:pPr>
        <w:pStyle w:val="ListParagraph"/>
        <w:ind w:left="0"/>
      </w:pPr>
    </w:p>
    <w:p>
      <w:r>
        <w:t xml:space="preserve">The following </w:t>
      </w:r>
      <w:r>
        <w:rPr>
          <w:b/>
        </w:rPr>
        <w:t>observations and conclusions</w:t>
      </w:r>
      <w:r>
        <w:t xml:space="preserve"> can be drawn from the responses (full responses are contained in Annex B):</w:t>
      </w:r>
    </w:p>
    <w:p>
      <w:pPr>
        <w:pStyle w:val="ListParagraph"/>
        <w:numPr>
          <w:ilvl w:val="0"/>
          <w:numId w:val="59"/>
        </w:numPr>
      </w:pPr>
      <w:r>
        <w:t xml:space="preserve">Given that channel access mechanisms are expected to be addressed for above 52.6 GHz, a small majority of companies prefer not to consider channel access enhancements separately for FR1 at this stage, while a few companies would like to consider channel access enhancements for FR2 although the relevant bands in FR2 are unclear. Several companies propose considering whether channel access techniques adopted for above 52.6 GHz could also be applicable for lower frequency ranges. Hence: </w:t>
      </w:r>
    </w:p>
    <w:p>
      <w:pPr>
        <w:rPr>
          <w:b/>
        </w:rPr>
      </w:pPr>
      <w:r>
        <w:rPr>
          <w:b/>
        </w:rPr>
        <w:t xml:space="preserve">Proposal 2-1:  Channel access schemes, including potential enhancements to the LBT schemes specified for FR1, should be studied in the work for Beyond 52.6 GHz, and the applicability of schemes specified for Beyond 52.6 GHz may subsequently be considered for lower frequency bands. </w:t>
      </w:r>
    </w:p>
    <w:p/>
    <w:p>
      <w:pPr>
        <w:pStyle w:val="ListParagraph"/>
        <w:numPr>
          <w:ilvl w:val="0"/>
          <w:numId w:val="59"/>
        </w:numPr>
      </w:pPr>
      <w:r>
        <w:t xml:space="preserve">Most companies observe that the regulations for 6 GHz unlicensed spectrum are still under development, but are expected to become stable during the Rel-17 timeframe. Hence: </w:t>
      </w:r>
    </w:p>
    <w:p>
      <w:pPr>
        <w:rPr>
          <w:b/>
        </w:rPr>
      </w:pPr>
      <w:r>
        <w:rPr>
          <w:b/>
        </w:rPr>
        <w:t>Proposal 2-2: When approving the Rel-17 package of WIs/SIs, it should be understood that work to take into account regulations for 6 GHz unlicensed spectrum is expected to be initiated during the Rel-17 timeframe once relevant regulations are stable.</w:t>
      </w:r>
    </w:p>
    <w:p/>
    <w:p>
      <w:pPr>
        <w:pStyle w:val="ListParagraph"/>
        <w:numPr>
          <w:ilvl w:val="0"/>
          <w:numId w:val="59"/>
        </w:numPr>
      </w:pPr>
      <w:r>
        <w:t xml:space="preserve">The majority of companies consider that it is not necessary to enhance RLM/RRM for NR-U in Rel-17 or that any enhancements can be handled in a Mobility Enhancement WI. None of the suggested enhancements attracted the support of more than 2 companies. Hence: </w:t>
      </w:r>
    </w:p>
    <w:p>
      <w:pPr>
        <w:rPr>
          <w:b/>
        </w:rPr>
      </w:pPr>
      <w:r>
        <w:rPr>
          <w:b/>
        </w:rPr>
        <w:t xml:space="preserve">Proposal 2-3: RLM/RRM enhancements for NR-U will not be considered in Rel-17. </w:t>
      </w:r>
    </w:p>
    <w:p>
      <w:pPr>
        <w:pStyle w:val="ListParagraph"/>
        <w:ind w:left="0"/>
      </w:pPr>
    </w:p>
    <w:p>
      <w:pPr>
        <w:pStyle w:val="ListParagraph"/>
      </w:pPr>
    </w:p>
    <w:p>
      <w:pPr>
        <w:rPr>
          <w:lang w:val="en-US"/>
        </w:rPr>
      </w:pPr>
    </w:p>
    <w:p>
      <w:pPr>
        <w:overflowPunct/>
        <w:autoSpaceDE/>
        <w:autoSpaceDN/>
        <w:adjustRightInd/>
        <w:spacing w:after="0"/>
        <w:textAlignment w:val="auto"/>
        <w:rPr>
          <w:rFonts w:ascii="Arial" w:hAnsi="Arial"/>
          <w:color w:val="auto"/>
          <w:sz w:val="36"/>
        </w:rPr>
      </w:pPr>
      <w:r>
        <w:br w:type="page"/>
      </w:r>
    </w:p>
    <w:p>
      <w:pPr>
        <w:pStyle w:val="Heading1"/>
        <w:numPr>
          <w:ilvl w:val="0"/>
          <w:numId w:val="0"/>
        </w:numPr>
      </w:pPr>
      <w:r>
        <w:lastRenderedPageBreak/>
        <w:t>Annex A:  Company inputs to Step 1</w:t>
      </w:r>
    </w:p>
    <w:p/>
    <w:tbl>
      <w:tblPr>
        <w:tblStyle w:val="TableGrid"/>
        <w:tblW w:w="0" w:type="auto"/>
        <w:tblLook w:val="04A0" w:firstRow="1" w:lastRow="0" w:firstColumn="1" w:lastColumn="0" w:noHBand="0" w:noVBand="1"/>
      </w:tblPr>
      <w:tblGrid>
        <w:gridCol w:w="1583"/>
        <w:gridCol w:w="6105"/>
        <w:gridCol w:w="1724"/>
      </w:tblGrid>
      <w:tr>
        <w:tc>
          <w:tcPr>
            <w:tcW w:w="1583" w:type="dxa"/>
          </w:tcPr>
          <w:p>
            <w:pPr>
              <w:rPr>
                <w:b/>
              </w:rPr>
            </w:pPr>
            <w:r>
              <w:rPr>
                <w:b/>
              </w:rPr>
              <w:t>Company</w:t>
            </w:r>
          </w:p>
        </w:tc>
        <w:tc>
          <w:tcPr>
            <w:tcW w:w="6105" w:type="dxa"/>
          </w:tcPr>
          <w:p>
            <w:pPr>
              <w:rPr>
                <w:b/>
              </w:rPr>
            </w:pPr>
            <w:r>
              <w:rPr>
                <w:b/>
              </w:rPr>
              <w:t>Proposed enhancement (one per row)</w:t>
            </w:r>
          </w:p>
        </w:tc>
        <w:tc>
          <w:tcPr>
            <w:tcW w:w="1724" w:type="dxa"/>
          </w:tcPr>
          <w:p>
            <w:pPr>
              <w:rPr>
                <w:b/>
              </w:rPr>
            </w:pPr>
            <w:r>
              <w:rPr>
                <w:b/>
              </w:rPr>
              <w:t>Priority</w:t>
            </w:r>
          </w:p>
        </w:tc>
      </w:tr>
      <w:tr>
        <w:tc>
          <w:tcPr>
            <w:tcW w:w="1583" w:type="dxa"/>
          </w:tcPr>
          <w:p>
            <w:r>
              <w:t>Nokia, Nokia Shanghai Bell</w:t>
            </w:r>
          </w:p>
        </w:tc>
        <w:tc>
          <w:tcPr>
            <w:tcW w:w="6105" w:type="dxa"/>
          </w:tcPr>
          <w:p>
            <w:pPr>
              <w:spacing w:after="0"/>
              <w:rPr>
                <w:lang w:val="en-US"/>
              </w:rPr>
            </w:pPr>
            <w:r>
              <w:rPr>
                <w:lang w:val="en-US"/>
              </w:rPr>
              <w:t>In general, given the anticipated work load for Rel-17, we do not see NR-Unlicensed for sub-7 GHz as a priority topic that would require a separate Work Item. There are some NR-U related aspects of higher importance for sub-7 GHz, but those should preferably be covered under the feature specific Work Items:</w:t>
            </w:r>
          </w:p>
          <w:p>
            <w:pPr>
              <w:spacing w:after="0"/>
              <w:rPr>
                <w:lang w:val="en-US"/>
              </w:rPr>
            </w:pPr>
          </w:p>
          <w:p>
            <w:pPr>
              <w:spacing w:after="0"/>
              <w:rPr>
                <w:lang w:val="en-US"/>
              </w:rPr>
            </w:pPr>
            <w:r>
              <w:rPr>
                <w:lang w:val="en-US"/>
              </w:rPr>
              <w:t>- URLLC / IIoT related: FBE, UL CG, scheduling &amp; HARQ, PDCP duplication, applicability of Rel-16 URLLC enhancements to NR-U</w:t>
            </w:r>
          </w:p>
          <w:p>
            <w:pPr>
              <w:spacing w:after="0"/>
              <w:rPr>
                <w:lang w:val="en-US"/>
              </w:rPr>
            </w:pPr>
            <w:r>
              <w:rPr>
                <w:lang w:val="en-US"/>
              </w:rPr>
              <w:t>- IAB: support for IAB on unlicensed spectrum</w:t>
            </w:r>
          </w:p>
          <w:p>
            <w:pPr>
              <w:spacing w:after="0"/>
              <w:rPr>
                <w:lang w:val="en-US"/>
              </w:rPr>
            </w:pPr>
          </w:p>
          <w:p>
            <w:pPr>
              <w:spacing w:after="0"/>
              <w:rPr>
                <w:lang w:val="en-US"/>
              </w:rPr>
            </w:pPr>
            <w:r>
              <w:rPr>
                <w:lang w:val="en-US"/>
              </w:rPr>
              <w:t xml:space="preserve">IF a dedicated WI for sub-7 GHz NR-U was to be approved, the following list of topics shows the priorities for Nokia: </w:t>
            </w:r>
          </w:p>
          <w:p>
            <w:pPr>
              <w:spacing w:after="0"/>
              <w:rPr>
                <w:lang w:val="en-US"/>
              </w:rPr>
            </w:pPr>
          </w:p>
          <w:p>
            <w:pPr>
              <w:spacing w:after="0"/>
              <w:rPr>
                <w:lang w:val="en-US"/>
              </w:rPr>
            </w:pPr>
            <w:r>
              <w:rPr>
                <w:lang w:val="en-US"/>
              </w:rPr>
              <w:t>- UL CG and scheduling &amp; HARQ enhancements/leftovers (RAN1)</w:t>
            </w:r>
          </w:p>
          <w:p>
            <w:pPr>
              <w:spacing w:after="0"/>
              <w:rPr>
                <w:lang w:val="en-US"/>
              </w:rPr>
            </w:pPr>
            <w:r>
              <w:rPr>
                <w:lang w:val="en-US"/>
              </w:rPr>
              <w:t>- FBE optimizations / leftovers (RAN1)</w:t>
            </w:r>
          </w:p>
          <w:p>
            <w:pPr>
              <w:spacing w:after="0"/>
              <w:rPr>
                <w:lang w:val="en-US"/>
              </w:rPr>
            </w:pPr>
            <w:r>
              <w:rPr>
                <w:lang w:val="en-US"/>
              </w:rPr>
              <w:t xml:space="preserve">- IAB on sub-7 GHz unlicensed spectrum </w:t>
            </w:r>
          </w:p>
          <w:p>
            <w:pPr>
              <w:spacing w:after="0"/>
              <w:rPr>
                <w:lang w:val="en-US"/>
              </w:rPr>
            </w:pPr>
            <w:r>
              <w:rPr>
                <w:lang w:val="en-US"/>
              </w:rPr>
              <w:t>- PDCP duplication enhancements (RAN2) (e.g. Selective duplication/deactivation based on UL LBT/channel occupancy)</w:t>
            </w:r>
          </w:p>
          <w:p>
            <w:pPr>
              <w:spacing w:after="0"/>
              <w:rPr>
                <w:lang w:val="en-US"/>
              </w:rPr>
            </w:pPr>
          </w:p>
          <w:p>
            <w:pPr>
              <w:spacing w:after="0"/>
              <w:rPr>
                <w:lang w:val="en-US"/>
              </w:rPr>
            </w:pPr>
            <w:r>
              <w:rPr>
                <w:lang w:val="en-US"/>
              </w:rPr>
              <w:t>- 2-step RACH in unlicensed (leftovers)</w:t>
            </w:r>
          </w:p>
          <w:p>
            <w:pPr>
              <w:spacing w:after="0"/>
              <w:rPr>
                <w:lang w:val="en-US"/>
              </w:rPr>
            </w:pPr>
            <w:r>
              <w:rPr>
                <w:lang w:val="en-US"/>
              </w:rPr>
              <w:t>- Wideband operation optimizations &amp; leftover</w:t>
            </w:r>
          </w:p>
          <w:p>
            <w:pPr>
              <w:spacing w:after="0"/>
              <w:rPr>
                <w:lang w:val="en-US"/>
              </w:rPr>
            </w:pPr>
            <w:r>
              <w:rPr>
                <w:lang w:val="en-US"/>
              </w:rPr>
              <w:t>- Initial access/RRM/RLM leftovers</w:t>
            </w:r>
          </w:p>
          <w:p>
            <w:pPr>
              <w:spacing w:after="0"/>
              <w:rPr>
                <w:lang w:val="en-US"/>
              </w:rPr>
            </w:pPr>
            <w:r>
              <w:rPr>
                <w:lang w:val="en-US"/>
              </w:rPr>
              <w:t>- Power saving optimizations (PDCCH monitoring adjustments and COT detection improvements)</w:t>
            </w:r>
          </w:p>
          <w:p>
            <w:pPr>
              <w:spacing w:after="0"/>
              <w:rPr>
                <w:lang w:val="en-US"/>
              </w:rPr>
            </w:pPr>
          </w:p>
          <w:p>
            <w:pPr>
              <w:spacing w:after="0"/>
              <w:rPr>
                <w:lang w:val="en-US"/>
              </w:rPr>
            </w:pPr>
            <w:r>
              <w:rPr>
                <w:lang w:val="en-US"/>
              </w:rPr>
              <w:t>- Better support for asynchronous deployments (RAN2/RAN1)</w:t>
            </w:r>
          </w:p>
          <w:p>
            <w:pPr>
              <w:spacing w:after="0"/>
              <w:rPr>
                <w:lang w:val="en-US"/>
              </w:rPr>
            </w:pPr>
            <w:r>
              <w:rPr>
                <w:lang w:val="en-US"/>
              </w:rPr>
              <w:t>- CHO and NR-U specific triggers (RAN2)</w:t>
            </w:r>
          </w:p>
          <w:p>
            <w:pPr>
              <w:spacing w:after="0"/>
              <w:rPr>
                <w:lang w:val="fi-FI"/>
              </w:rPr>
            </w:pPr>
            <w:r>
              <w:rPr>
                <w:lang w:val="fi-FI"/>
              </w:rPr>
              <w:t>- NR-NR-U DC (RAN2)</w:t>
            </w:r>
          </w:p>
          <w:p>
            <w:pPr>
              <w:spacing w:after="0"/>
              <w:rPr>
                <w:lang w:val="fi-FI"/>
              </w:rPr>
            </w:pPr>
          </w:p>
          <w:p>
            <w:pPr>
              <w:spacing w:after="0"/>
              <w:rPr>
                <w:lang w:val="en-US"/>
              </w:rPr>
            </w:pPr>
            <w:r>
              <w:rPr>
                <w:lang w:val="en-US"/>
              </w:rPr>
              <w:t>For the leftover/optimization topics, the scope will need to be clarified after the exact contents of Rel-16 NR-U are clear.</w:t>
            </w:r>
          </w:p>
        </w:tc>
        <w:tc>
          <w:tcPr>
            <w:tcW w:w="1724" w:type="dxa"/>
          </w:tcPr>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w:t>High Priority</w:t>
            </w:r>
          </w:p>
          <w:p>
            <w:pPr>
              <w:spacing w:after="0"/>
            </w:pPr>
            <w:r>
              <w:t>High Priority</w:t>
            </w:r>
          </w:p>
          <w:p>
            <w:pPr>
              <w:spacing w:after="0"/>
            </w:pPr>
            <w:r>
              <w:t>High Priority</w:t>
            </w:r>
          </w:p>
          <w:p>
            <w:pPr>
              <w:spacing w:after="0"/>
            </w:pPr>
            <w:r>
              <w:t>High Priority</w:t>
            </w:r>
          </w:p>
          <w:p>
            <w:pPr>
              <w:spacing w:after="0"/>
            </w:pPr>
          </w:p>
          <w:p>
            <w:pPr>
              <w:spacing w:after="0"/>
            </w:pPr>
          </w:p>
          <w:p>
            <w:pPr>
              <w:spacing w:after="0"/>
            </w:pPr>
            <w:r>
              <w:t>Medium Priority</w:t>
            </w:r>
          </w:p>
          <w:p>
            <w:pPr>
              <w:spacing w:after="0"/>
            </w:pPr>
            <w:r>
              <w:t>Medium Priority</w:t>
            </w:r>
          </w:p>
          <w:p>
            <w:pPr>
              <w:spacing w:after="0"/>
            </w:pPr>
            <w:r>
              <w:t>Medium Priority</w:t>
            </w:r>
          </w:p>
          <w:p>
            <w:pPr>
              <w:spacing w:after="0"/>
            </w:pPr>
            <w:r>
              <w:t>Medium Priority</w:t>
            </w:r>
          </w:p>
          <w:p>
            <w:pPr>
              <w:spacing w:after="0"/>
            </w:pPr>
          </w:p>
          <w:p>
            <w:pPr>
              <w:spacing w:after="0"/>
            </w:pPr>
          </w:p>
          <w:p>
            <w:pPr>
              <w:spacing w:after="0"/>
            </w:pPr>
            <w:r>
              <w:t>Low Priority</w:t>
            </w:r>
          </w:p>
          <w:p>
            <w:pPr>
              <w:spacing w:after="0"/>
            </w:pPr>
            <w:r>
              <w:t>Low Priority</w:t>
            </w:r>
          </w:p>
          <w:p>
            <w:pPr>
              <w:spacing w:after="0"/>
            </w:pPr>
            <w:r>
              <w:t>Low Priority</w:t>
            </w:r>
          </w:p>
          <w:p/>
        </w:tc>
      </w:tr>
      <w:tr>
        <w:tc>
          <w:tcPr>
            <w:tcW w:w="1583" w:type="dxa"/>
          </w:tcPr>
          <w:p>
            <w:r>
              <w:rPr>
                <w:rFonts w:eastAsiaTheme="minorEastAsia"/>
              </w:rPr>
              <w:t>NTT</w:t>
            </w:r>
            <w:r>
              <w:t xml:space="preserve"> DOCOMO</w:t>
            </w:r>
          </w:p>
        </w:tc>
        <w:tc>
          <w:tcPr>
            <w:tcW w:w="6105" w:type="dxa"/>
          </w:tcPr>
          <w:p>
            <w:pPr>
              <w:spacing w:after="0"/>
              <w:rPr>
                <w:rFonts w:eastAsiaTheme="minorEastAsia"/>
              </w:rPr>
            </w:pPr>
            <w:r>
              <w:rPr>
                <w:rFonts w:eastAsiaTheme="minorEastAsia" w:hint="eastAsia"/>
              </w:rPr>
              <w:t>Basically we do not see</w:t>
            </w:r>
            <w:r>
              <w:t xml:space="preserve"> </w:t>
            </w:r>
            <w:r>
              <w:rPr>
                <w:rFonts w:eastAsiaTheme="minorEastAsia"/>
              </w:rPr>
              <w:t>NR-U enhancements as high priority work area with individual WI in Rel-17. However, if approved, the following</w:t>
            </w:r>
            <w:r>
              <w:rPr>
                <w:rFonts w:eastAsiaTheme="minorEastAsia" w:hint="eastAsia"/>
              </w:rPr>
              <w:t>s</w:t>
            </w:r>
            <w:r>
              <w:rPr>
                <w:rFonts w:eastAsiaTheme="minorEastAsia"/>
              </w:rPr>
              <w:t xml:space="preserve"> could be considered for the enhancements.</w:t>
            </w:r>
          </w:p>
          <w:p>
            <w:pPr>
              <w:spacing w:after="0"/>
              <w:rPr>
                <w:rFonts w:eastAsiaTheme="minorEastAsia"/>
              </w:rPr>
            </w:pPr>
          </w:p>
          <w:p>
            <w:pPr>
              <w:spacing w:after="0"/>
              <w:rPr>
                <w:rFonts w:eastAsiaTheme="minorEastAsia"/>
              </w:rPr>
            </w:pPr>
            <w:r>
              <w:rPr>
                <w:rFonts w:eastAsiaTheme="minorEastAsia" w:hint="eastAsia"/>
              </w:rPr>
              <w:t>For the leftover items, the following should be included for the enhancement:</w:t>
            </w:r>
          </w:p>
          <w:p>
            <w:pPr>
              <w:pStyle w:val="ListParagraph"/>
              <w:numPr>
                <w:ilvl w:val="0"/>
                <w:numId w:val="29"/>
              </w:numPr>
              <w:spacing w:after="0"/>
              <w:rPr>
                <w:rFonts w:eastAsiaTheme="minorEastAsia"/>
              </w:rPr>
            </w:pPr>
            <w:r>
              <w:rPr>
                <w:rFonts w:eastAsiaTheme="minorEastAsia"/>
                <w:lang w:eastAsia="ja-JP"/>
              </w:rPr>
              <w:t>Multiple starting positions for PUSCH</w:t>
            </w:r>
          </w:p>
          <w:p>
            <w:pPr>
              <w:pStyle w:val="ListParagraph"/>
              <w:numPr>
                <w:ilvl w:val="0"/>
                <w:numId w:val="29"/>
              </w:numPr>
              <w:spacing w:after="0"/>
              <w:rPr>
                <w:rFonts w:eastAsiaTheme="minorEastAsia"/>
              </w:rPr>
            </w:pPr>
            <w:r>
              <w:rPr>
                <w:rFonts w:eastAsiaTheme="minorEastAsia"/>
                <w:lang w:eastAsia="ja-JP"/>
              </w:rPr>
              <w:t>Multiple transmission opportunities in frequency domain for PRACH/PUCCH</w:t>
            </w:r>
          </w:p>
          <w:p>
            <w:pPr>
              <w:spacing w:after="0"/>
              <w:rPr>
                <w:rFonts w:eastAsiaTheme="minorEastAsia"/>
              </w:rPr>
            </w:pPr>
          </w:p>
          <w:p>
            <w:pPr>
              <w:spacing w:after="0"/>
              <w:rPr>
                <w:rFonts w:eastAsiaTheme="minorEastAsia"/>
              </w:rPr>
            </w:pPr>
            <w:r>
              <w:rPr>
                <w:rFonts w:eastAsiaTheme="minorEastAsia"/>
              </w:rPr>
              <w:t>From another point of view, as shared-licensed spectrum use case is attracting much attention, such as “Local 5G” in Japan, one of possible enhancements would be extending NR-U technology to be available at licensed/shared-licensed spectra as well. More specifically, the followings would be the potential enhancement items:</w:t>
            </w:r>
          </w:p>
          <w:p>
            <w:pPr>
              <w:pStyle w:val="ListParagraph"/>
              <w:numPr>
                <w:ilvl w:val="0"/>
                <w:numId w:val="30"/>
              </w:numPr>
              <w:spacing w:after="0"/>
              <w:rPr>
                <w:rFonts w:eastAsiaTheme="minorEastAsia"/>
              </w:rPr>
            </w:pPr>
            <w:r>
              <w:rPr>
                <w:rFonts w:eastAsiaTheme="minorEastAsia"/>
                <w:lang w:eastAsia="ja-JP"/>
              </w:rPr>
              <w:t xml:space="preserve">Redefinition of </w:t>
            </w:r>
            <w:r>
              <w:rPr>
                <w:rFonts w:eastAsiaTheme="minorEastAsia" w:hint="eastAsia"/>
                <w:lang w:eastAsia="ja-JP"/>
              </w:rPr>
              <w:t>LBT (</w:t>
            </w:r>
            <w:r>
              <w:rPr>
                <w:rFonts w:eastAsiaTheme="minorEastAsia"/>
                <w:lang w:eastAsia="ja-JP"/>
              </w:rPr>
              <w:t>e.g., LBT category, available MCOT</w:t>
            </w:r>
            <w:r>
              <w:rPr>
                <w:rFonts w:eastAsiaTheme="minorEastAsia" w:hint="eastAsia"/>
                <w:lang w:eastAsia="ja-JP"/>
              </w:rPr>
              <w:t>)</w:t>
            </w:r>
          </w:p>
          <w:p>
            <w:pPr>
              <w:pStyle w:val="ListParagraph"/>
              <w:numPr>
                <w:ilvl w:val="0"/>
                <w:numId w:val="30"/>
              </w:numPr>
              <w:spacing w:after="0"/>
              <w:rPr>
                <w:rFonts w:eastAsiaTheme="minorEastAsia"/>
              </w:rPr>
            </w:pPr>
            <w:r>
              <w:rPr>
                <w:rFonts w:eastAsiaTheme="minorEastAsia" w:hint="eastAsia"/>
                <w:lang w:eastAsia="ja-JP"/>
              </w:rPr>
              <w:t>Coordination between licensed and shared-licensed NW</w:t>
            </w:r>
          </w:p>
          <w:p>
            <w:pPr>
              <w:spacing w:after="0"/>
              <w:rPr>
                <w:rFonts w:eastAsiaTheme="minorEastAsia"/>
              </w:rPr>
            </w:pPr>
          </w:p>
          <w:p>
            <w:pPr>
              <w:spacing w:after="0"/>
              <w:rPr>
                <w:rFonts w:eastAsiaTheme="minorEastAsia"/>
              </w:rPr>
            </w:pPr>
            <w:r>
              <w:rPr>
                <w:rFonts w:eastAsiaTheme="minorEastAsia" w:hint="eastAsia"/>
              </w:rPr>
              <w:t xml:space="preserve">Related to the above, since 28GHz band is to be available for </w:t>
            </w:r>
            <w:r>
              <w:rPr>
                <w:rFonts w:eastAsiaTheme="minorEastAsia"/>
              </w:rPr>
              <w:t>“Local 5G” in Japan (but not limited to this use case only), enhancements for FR2 would be important. More specifically, the followings would be the potential enhancement items:</w:t>
            </w:r>
          </w:p>
          <w:p>
            <w:pPr>
              <w:pStyle w:val="ListParagraph"/>
              <w:numPr>
                <w:ilvl w:val="0"/>
                <w:numId w:val="29"/>
              </w:numPr>
              <w:spacing w:after="0"/>
              <w:rPr>
                <w:rFonts w:eastAsiaTheme="minorEastAsia"/>
              </w:rPr>
            </w:pPr>
            <w:r>
              <w:rPr>
                <w:rFonts w:eastAsiaTheme="minorEastAsia" w:hint="eastAsia"/>
                <w:lang w:eastAsia="ja-JP"/>
              </w:rPr>
              <w:t>Enhancement of DRS/RACH for 64 SSB transmissions</w:t>
            </w:r>
          </w:p>
          <w:p>
            <w:pPr>
              <w:pStyle w:val="ListParagraph"/>
              <w:numPr>
                <w:ilvl w:val="0"/>
                <w:numId w:val="29"/>
              </w:numPr>
              <w:spacing w:after="0"/>
              <w:rPr>
                <w:rFonts w:eastAsiaTheme="minorEastAsia"/>
              </w:rPr>
            </w:pPr>
            <w:r>
              <w:rPr>
                <w:rFonts w:eastAsiaTheme="minorEastAsia" w:hint="eastAsia"/>
                <w:lang w:eastAsia="ja-JP"/>
              </w:rPr>
              <w:t>Optimization of beam management for NR-U</w:t>
            </w:r>
          </w:p>
          <w:p>
            <w:pPr>
              <w:pStyle w:val="ListParagraph"/>
              <w:numPr>
                <w:ilvl w:val="0"/>
                <w:numId w:val="29"/>
              </w:numPr>
              <w:spacing w:after="0"/>
              <w:rPr>
                <w:rFonts w:eastAsiaTheme="minorEastAsia"/>
              </w:rPr>
            </w:pPr>
            <w:r>
              <w:rPr>
                <w:rFonts w:eastAsiaTheme="minorEastAsia"/>
                <w:lang w:eastAsia="ja-JP"/>
              </w:rPr>
              <w:lastRenderedPageBreak/>
              <w:t>Directional LBT</w:t>
            </w:r>
          </w:p>
          <w:p>
            <w:pPr>
              <w:pStyle w:val="ListParagraph"/>
              <w:numPr>
                <w:ilvl w:val="0"/>
                <w:numId w:val="29"/>
              </w:numPr>
              <w:spacing w:after="0"/>
              <w:rPr>
                <w:rFonts w:eastAsiaTheme="minorEastAsia"/>
              </w:rPr>
            </w:pPr>
            <w:r>
              <w:rPr>
                <w:rFonts w:eastAsiaTheme="minorEastAsia"/>
              </w:rPr>
              <w:t>Enhancement for wider SCS (e.g., SSB bandwidth &gt; LBT bandwidth) and shorter symbol duration (e.g., symbol duration &lt; Cat2 LBT gap)</w:t>
            </w:r>
          </w:p>
          <w:p>
            <w:pPr>
              <w:pStyle w:val="ListParagraph"/>
              <w:numPr>
                <w:ilvl w:val="0"/>
                <w:numId w:val="29"/>
              </w:numPr>
              <w:spacing w:after="0"/>
              <w:rPr>
                <w:rFonts w:eastAsiaTheme="minorEastAsia"/>
              </w:rPr>
            </w:pPr>
            <w:r>
              <w:rPr>
                <w:rFonts w:eastAsiaTheme="minorEastAsia"/>
                <w:lang w:eastAsia="ja-JP"/>
              </w:rPr>
              <w:t>Enhancement of COT sharing mechanism (e.g., multiple switching points)</w:t>
            </w:r>
          </w:p>
        </w:tc>
        <w:tc>
          <w:tcPr>
            <w:tcW w:w="1724" w:type="dxa"/>
          </w:tcPr>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r>
              <w:rPr>
                <w:rFonts w:eastAsiaTheme="minorEastAsia"/>
              </w:rPr>
              <w:t>Medium</w:t>
            </w:r>
            <w:r>
              <w:rPr>
                <w:rFonts w:eastAsiaTheme="minorEastAsia" w:hint="eastAsia"/>
              </w:rPr>
              <w:t xml:space="preserve"> Priority</w:t>
            </w: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r>
              <w:rPr>
                <w:rFonts w:eastAsiaTheme="minorEastAsia"/>
              </w:rPr>
              <w:t>Medium</w:t>
            </w:r>
            <w:r>
              <w:rPr>
                <w:rFonts w:eastAsiaTheme="minorEastAsia" w:hint="eastAsia"/>
              </w:rPr>
              <w:t xml:space="preserve"> Priority</w:t>
            </w: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r>
              <w:rPr>
                <w:rFonts w:eastAsiaTheme="minorEastAsia"/>
              </w:rPr>
              <w:t>Medium Priority</w:t>
            </w:r>
          </w:p>
        </w:tc>
      </w:tr>
      <w:tr>
        <w:tc>
          <w:tcPr>
            <w:tcW w:w="1583" w:type="dxa"/>
          </w:tcPr>
          <w:p>
            <w:r>
              <w:t>Ericsson</w:t>
            </w:r>
          </w:p>
        </w:tc>
        <w:tc>
          <w:tcPr>
            <w:tcW w:w="6105" w:type="dxa"/>
          </w:tcPr>
          <w:p>
            <w:pPr>
              <w:spacing w:before="100" w:beforeAutospacing="1" w:after="100" w:afterAutospacing="1"/>
              <w:rPr>
                <w:color w:val="auto"/>
                <w:lang w:val="en-US" w:eastAsia="sv-SE"/>
              </w:rPr>
            </w:pPr>
            <w:r>
              <w:rPr>
                <w:color w:val="000000" w:themeColor="text1"/>
                <w:lang w:val="en-US"/>
              </w:rPr>
              <w:t xml:space="preserve">We agree with Nokia’s and DCM’s assessments that due to the anticipated work load for Rel-17 and </w:t>
            </w:r>
            <w:r>
              <w:t>given that the key unlicensed specific functionalities will be completed in Rel-16 and there are no benefits of further optimizations,</w:t>
            </w:r>
            <w:r>
              <w:rPr>
                <w:color w:val="000000" w:themeColor="text1"/>
                <w:lang w:val="en-US"/>
              </w:rPr>
              <w:t xml:space="preserve"> a separate NR-U work item for sub-7 GHz is not motivated</w:t>
            </w:r>
            <w:r>
              <w:t>. </w:t>
            </w:r>
            <w:r>
              <w:rPr>
                <w:color w:val="000000" w:themeColor="text1"/>
                <w:lang w:val="en-US"/>
              </w:rPr>
              <w:t>Moreover, future evolution of 5 and 6 GHz NR-U capabilities beyond Rel-16 can be naturally integrated in relevant feature WIs/SIs. That said, if any essential topics cannot be completed in Rel-16, such topics could be considered, once the outcome of the Rel-16 NR-U work item is known.</w:t>
            </w:r>
          </w:p>
        </w:tc>
        <w:tc>
          <w:tcPr>
            <w:tcW w:w="1724" w:type="dxa"/>
          </w:tcPr>
          <w:p/>
        </w:tc>
      </w:tr>
      <w:tr>
        <w:tc>
          <w:tcPr>
            <w:tcW w:w="1583" w:type="dxa"/>
          </w:tcPr>
          <w:p>
            <w:pPr>
              <w:rPr>
                <w:lang w:eastAsia="zh-CN"/>
              </w:rPr>
            </w:pPr>
            <w:r>
              <w:rPr>
                <w:rFonts w:hint="eastAsia"/>
                <w:lang w:eastAsia="zh-CN"/>
              </w:rPr>
              <w:t>vi</w:t>
            </w:r>
            <w:r>
              <w:rPr>
                <w:lang w:eastAsia="zh-CN"/>
              </w:rPr>
              <w:t>vo</w:t>
            </w:r>
          </w:p>
        </w:tc>
        <w:tc>
          <w:tcPr>
            <w:tcW w:w="6105" w:type="dxa"/>
          </w:tcPr>
          <w:p>
            <w:r>
              <w:t>As per RAN chairman’s guidance, we also consider unlicensed spectrum aspects related to other WIs can be handled in respective work. We consider following aspects of unlicensed spectrum should be considered and if agreed to have separate WI for NRU few areas of enhancement can be considered.</w:t>
            </w:r>
          </w:p>
          <w:p>
            <w:r>
              <w:t>Following enhancements to unlicensed band operation can be considered if it is agreed to have separate NRU WI for enhancement:</w:t>
            </w:r>
          </w:p>
          <w:p>
            <w:pPr>
              <w:pStyle w:val="ListParagraph"/>
              <w:numPr>
                <w:ilvl w:val="0"/>
                <w:numId w:val="29"/>
              </w:numPr>
              <w:rPr>
                <w:color w:val="000000"/>
              </w:rPr>
            </w:pPr>
            <w:r>
              <w:t>Wideband operation enhancements (e.g. UE sending on a subset of scheduling LBT bandwidths where CCA is successful) (RAN1)</w:t>
            </w:r>
          </w:p>
          <w:p>
            <w:pPr>
              <w:pStyle w:val="ListParagraph"/>
              <w:numPr>
                <w:ilvl w:val="0"/>
                <w:numId w:val="29"/>
              </w:numPr>
              <w:rPr>
                <w:color w:val="000000"/>
              </w:rPr>
            </w:pPr>
            <w:r>
              <w:rPr>
                <w:color w:val="000000"/>
              </w:rPr>
              <w:t>Initial access enhancements (e.g. 2-step RACH in unlicensed, Enhanced MSG1-4 resource) (RAN1 &amp; RAN2)</w:t>
            </w:r>
          </w:p>
          <w:p>
            <w:pPr>
              <w:pStyle w:val="ListParagraph"/>
              <w:numPr>
                <w:ilvl w:val="0"/>
                <w:numId w:val="29"/>
              </w:numPr>
              <w:rPr>
                <w:color w:val="000000"/>
              </w:rPr>
            </w:pPr>
            <w:r>
              <w:rPr>
                <w:color w:val="000000"/>
              </w:rPr>
              <w:t>Channel access enhancements (e.g. Spatial reuse, LBE and FBE channel access for 6GHz if regulation is ready) (RAN1)</w:t>
            </w:r>
          </w:p>
          <w:p>
            <w:pPr>
              <w:pStyle w:val="ListParagraph"/>
              <w:numPr>
                <w:ilvl w:val="0"/>
                <w:numId w:val="29"/>
              </w:numPr>
              <w:rPr>
                <w:color w:val="000000"/>
              </w:rPr>
            </w:pPr>
            <w:r>
              <w:rPr>
                <w:color w:val="000000"/>
              </w:rPr>
              <w:t>UL enhancement (e.g. DG&amp;CG COT sharing, Multiple PUCCHs in different cells/subbands, UCI multiplexing based on LBT outcome) (RAN1)</w:t>
            </w:r>
          </w:p>
          <w:p>
            <w:r>
              <w:t xml:space="preserve">Following work areas can be extended unlicensed spectrum in their respective WI scopes </w:t>
            </w:r>
          </w:p>
          <w:p>
            <w:pPr>
              <w:pStyle w:val="ListParagraph"/>
              <w:numPr>
                <w:ilvl w:val="0"/>
                <w:numId w:val="29"/>
              </w:numPr>
              <w:rPr>
                <w:color w:val="000000"/>
              </w:rPr>
            </w:pPr>
            <w:r>
              <w:t>Enhanced IIOT over NRU (RAN1&amp;RAN2) -&gt; IIOT/URLLC enhancement WI</w:t>
            </w:r>
          </w:p>
          <w:p>
            <w:pPr>
              <w:pStyle w:val="ListParagraph"/>
              <w:numPr>
                <w:ilvl w:val="0"/>
                <w:numId w:val="29"/>
              </w:numPr>
              <w:rPr>
                <w:color w:val="000000"/>
              </w:rPr>
            </w:pPr>
            <w:r>
              <w:rPr>
                <w:color w:val="000000"/>
              </w:rPr>
              <w:t>Positioning over NRU (RAN1) -&gt; positioning WI</w:t>
            </w:r>
          </w:p>
          <w:p>
            <w:pPr>
              <w:pStyle w:val="ListParagraph"/>
              <w:numPr>
                <w:ilvl w:val="0"/>
                <w:numId w:val="29"/>
              </w:numPr>
              <w:rPr>
                <w:color w:val="000000"/>
              </w:rPr>
            </w:pPr>
            <w:r>
              <w:rPr>
                <w:color w:val="000000"/>
              </w:rPr>
              <w:t>IDC for NRU (RAN2)-&gt; multi-SIM WI</w:t>
            </w:r>
          </w:p>
          <w:p>
            <w:pPr>
              <w:pStyle w:val="ListParagraph"/>
              <w:numPr>
                <w:ilvl w:val="0"/>
                <w:numId w:val="29"/>
              </w:numPr>
              <w:rPr>
                <w:color w:val="000000"/>
              </w:rPr>
            </w:pPr>
            <w:r>
              <w:rPr>
                <w:color w:val="000000"/>
              </w:rPr>
              <w:t>Power saving for NRU (RAN1&amp;RAN2) -&gt; UE power saving WI</w:t>
            </w:r>
          </w:p>
          <w:p>
            <w:pPr>
              <w:pStyle w:val="ListParagraph"/>
              <w:numPr>
                <w:ilvl w:val="0"/>
                <w:numId w:val="29"/>
              </w:numPr>
              <w:rPr>
                <w:color w:val="000000"/>
              </w:rPr>
            </w:pPr>
            <w:r>
              <w:rPr>
                <w:color w:val="000000"/>
              </w:rPr>
              <w:t>CHO and NRU-specific triggers (RAN2) -&gt; mobility enh WI</w:t>
            </w:r>
          </w:p>
        </w:tc>
        <w:tc>
          <w:tcPr>
            <w:tcW w:w="1724" w:type="dxa"/>
          </w:tcPr>
          <w:p/>
        </w:tc>
      </w:tr>
      <w:tr>
        <w:tc>
          <w:tcPr>
            <w:tcW w:w="1583" w:type="dxa"/>
          </w:tcPr>
          <w:p>
            <w:pPr>
              <w:rPr>
                <w:lang w:eastAsia="zh-CN"/>
              </w:rPr>
            </w:pPr>
            <w:r>
              <w:rPr>
                <w:lang w:eastAsia="zh-CN"/>
              </w:rPr>
              <w:t>Samsung</w:t>
            </w:r>
          </w:p>
        </w:tc>
        <w:tc>
          <w:tcPr>
            <w:tcW w:w="6105" w:type="dxa"/>
          </w:tcPr>
          <w:p>
            <w:pPr>
              <w:spacing w:after="0"/>
              <w:rPr>
                <w:rFonts w:eastAsia="Malgun Gothic"/>
                <w:lang w:eastAsia="ko-KR"/>
              </w:rPr>
            </w:pPr>
            <w:r>
              <w:rPr>
                <w:rFonts w:eastAsia="Malgun Gothic"/>
                <w:lang w:eastAsia="ko-KR"/>
              </w:rPr>
              <w:t>We also see that NR-U enhancement is not essential to be a separate WI unless there are clear benefits to optimize NR-U operation in Sub-7GHz. If there are some leftover issues not completed in Rel-16, supporting those features with some enhancements can be considered in Rel-17.</w:t>
            </w:r>
          </w:p>
          <w:p>
            <w:pPr>
              <w:spacing w:after="0"/>
              <w:rPr>
                <w:rFonts w:eastAsia="Malgun Gothic"/>
                <w:lang w:eastAsia="ko-KR"/>
              </w:rPr>
            </w:pPr>
          </w:p>
          <w:p>
            <w:pPr>
              <w:spacing w:after="0"/>
              <w:rPr>
                <w:rFonts w:eastAsia="Malgun Gothic"/>
                <w:lang w:eastAsia="ko-KR"/>
              </w:rPr>
            </w:pPr>
            <w:r>
              <w:rPr>
                <w:rFonts w:eastAsia="Malgun Gothic" w:hint="eastAsia"/>
                <w:lang w:eastAsia="ko-KR"/>
              </w:rPr>
              <w:t>En</w:t>
            </w:r>
            <w:r>
              <w:rPr>
                <w:rFonts w:eastAsia="Malgun Gothic"/>
                <w:lang w:eastAsia="ko-KR"/>
              </w:rPr>
              <w:t>hancements to channel access</w:t>
            </w:r>
          </w:p>
          <w:p>
            <w:pPr>
              <w:pStyle w:val="ListParagraph"/>
              <w:numPr>
                <w:ilvl w:val="0"/>
                <w:numId w:val="29"/>
              </w:numPr>
              <w:spacing w:after="0"/>
              <w:rPr>
                <w:rFonts w:eastAsia="Malgun Gothic"/>
                <w:color w:val="000000"/>
                <w:lang w:eastAsia="ko-KR"/>
              </w:rPr>
            </w:pPr>
            <w:r>
              <w:rPr>
                <w:rFonts w:eastAsia="Malgun Gothic" w:hint="eastAsia"/>
                <w:color w:val="000000"/>
                <w:lang w:eastAsia="ko-KR"/>
              </w:rPr>
              <w:t xml:space="preserve">FBE </w:t>
            </w:r>
            <w:r>
              <w:rPr>
                <w:rFonts w:eastAsia="Malgun Gothic"/>
                <w:color w:val="000000"/>
                <w:lang w:eastAsia="ko-KR"/>
              </w:rPr>
              <w:t xml:space="preserve">enhancements (e.g., support of </w:t>
            </w:r>
            <w:r>
              <w:rPr>
                <w:rFonts w:eastAsia="Malgun Gothic" w:hint="eastAsia"/>
                <w:color w:val="000000"/>
                <w:lang w:eastAsia="ko-KR"/>
              </w:rPr>
              <w:t>multiple operators</w:t>
            </w:r>
            <w:r>
              <w:rPr>
                <w:rFonts w:eastAsia="Malgun Gothic"/>
                <w:color w:val="000000"/>
                <w:lang w:eastAsia="ko-KR"/>
              </w:rPr>
              <w:t>)</w:t>
            </w:r>
          </w:p>
          <w:p>
            <w:pPr>
              <w:pStyle w:val="ListParagraph"/>
              <w:numPr>
                <w:ilvl w:val="0"/>
                <w:numId w:val="29"/>
              </w:numPr>
              <w:spacing w:after="0"/>
              <w:rPr>
                <w:rFonts w:eastAsia="Malgun Gothic"/>
                <w:color w:val="000000"/>
                <w:lang w:eastAsia="ko-KR"/>
              </w:rPr>
            </w:pPr>
            <w:r>
              <w:rPr>
                <w:rFonts w:eastAsia="Malgun Gothic"/>
                <w:color w:val="000000"/>
                <w:lang w:eastAsia="ko-KR"/>
              </w:rPr>
              <w:t>Directional LBT with assistance from receiver</w:t>
            </w:r>
          </w:p>
          <w:p>
            <w:pPr>
              <w:spacing w:after="0"/>
              <w:rPr>
                <w:rFonts w:eastAsia="Malgun Gothic"/>
                <w:lang w:eastAsia="ko-KR"/>
              </w:rPr>
            </w:pPr>
          </w:p>
          <w:p>
            <w:pPr>
              <w:spacing w:after="0"/>
              <w:rPr>
                <w:rFonts w:eastAsia="Malgun Gothic"/>
                <w:lang w:eastAsia="ko-KR"/>
              </w:rPr>
            </w:pPr>
            <w:r>
              <w:rPr>
                <w:rFonts w:eastAsia="Malgun Gothic" w:hint="eastAsia"/>
                <w:lang w:eastAsia="ko-KR"/>
              </w:rPr>
              <w:t>Enhancement to initial ac</w:t>
            </w:r>
            <w:r>
              <w:rPr>
                <w:rFonts w:eastAsia="Malgun Gothic"/>
                <w:lang w:eastAsia="ko-KR"/>
              </w:rPr>
              <w:t>c</w:t>
            </w:r>
            <w:r>
              <w:rPr>
                <w:rFonts w:eastAsia="Malgun Gothic" w:hint="eastAsia"/>
                <w:lang w:eastAsia="ko-KR"/>
              </w:rPr>
              <w:t>ess</w:t>
            </w:r>
          </w:p>
          <w:p>
            <w:pPr>
              <w:pStyle w:val="ListParagraph"/>
              <w:numPr>
                <w:ilvl w:val="0"/>
                <w:numId w:val="29"/>
              </w:numPr>
              <w:spacing w:after="0"/>
              <w:rPr>
                <w:rFonts w:eastAsia="Malgun Gothic"/>
                <w:color w:val="000000"/>
                <w:lang w:eastAsia="ko-KR"/>
              </w:rPr>
            </w:pPr>
            <w:r>
              <w:rPr>
                <w:rFonts w:eastAsia="Malgun Gothic"/>
                <w:color w:val="000000"/>
                <w:lang w:eastAsia="ko-KR"/>
              </w:rPr>
              <w:t>Enhancement to OSI/Paging CSS (e.g., to make them part of DRS)</w:t>
            </w:r>
          </w:p>
          <w:p>
            <w:pPr>
              <w:pStyle w:val="ListParagraph"/>
              <w:numPr>
                <w:ilvl w:val="0"/>
                <w:numId w:val="29"/>
              </w:numPr>
              <w:spacing w:after="0"/>
              <w:rPr>
                <w:rFonts w:eastAsia="Malgun Gothic"/>
                <w:color w:val="000000"/>
                <w:lang w:eastAsia="ko-KR"/>
              </w:rPr>
            </w:pPr>
            <w:r>
              <w:rPr>
                <w:rFonts w:eastAsia="Malgun Gothic"/>
                <w:color w:val="000000"/>
                <w:lang w:eastAsia="ko-KR"/>
              </w:rPr>
              <w:t xml:space="preserve">Support </w:t>
            </w:r>
            <w:r>
              <w:rPr>
                <w:rFonts w:eastAsia="Malgun Gothic" w:hint="eastAsia"/>
                <w:color w:val="000000"/>
                <w:lang w:eastAsia="ko-KR"/>
              </w:rPr>
              <w:t>gaps</w:t>
            </w:r>
            <w:r>
              <w:rPr>
                <w:rFonts w:eastAsia="Malgun Gothic"/>
                <w:color w:val="000000"/>
                <w:lang w:eastAsia="ko-KR"/>
              </w:rPr>
              <w:t xml:space="preserve"> between ROs</w:t>
            </w:r>
          </w:p>
          <w:p>
            <w:pPr>
              <w:pStyle w:val="ListParagraph"/>
              <w:numPr>
                <w:ilvl w:val="0"/>
                <w:numId w:val="29"/>
              </w:numPr>
              <w:spacing w:after="0"/>
              <w:rPr>
                <w:rFonts w:eastAsia="Malgun Gothic"/>
                <w:color w:val="000000"/>
                <w:lang w:eastAsia="ko-KR"/>
              </w:rPr>
            </w:pPr>
            <w:r>
              <w:rPr>
                <w:rFonts w:eastAsia="Malgun Gothic"/>
                <w:color w:val="000000"/>
                <w:lang w:eastAsia="ko-KR"/>
              </w:rPr>
              <w:t>Enhancement to 2-step RACH</w:t>
            </w:r>
          </w:p>
          <w:p>
            <w:pPr>
              <w:spacing w:after="0"/>
              <w:rPr>
                <w:rFonts w:eastAsia="Malgun Gothic"/>
                <w:lang w:eastAsia="ko-KR"/>
              </w:rPr>
            </w:pPr>
          </w:p>
          <w:p>
            <w:pPr>
              <w:spacing w:after="0"/>
              <w:rPr>
                <w:rFonts w:eastAsia="Malgun Gothic"/>
                <w:lang w:eastAsia="ko-KR"/>
              </w:rPr>
            </w:pPr>
            <w:r>
              <w:rPr>
                <w:rFonts w:eastAsia="Malgun Gothic" w:hint="eastAsia"/>
                <w:lang w:eastAsia="ko-KR"/>
              </w:rPr>
              <w:t xml:space="preserve">Enhancement to </w:t>
            </w:r>
            <w:r>
              <w:rPr>
                <w:rFonts w:eastAsia="Malgun Gothic"/>
                <w:lang w:eastAsia="ko-KR"/>
              </w:rPr>
              <w:t>Scheduling/HARQ</w:t>
            </w:r>
          </w:p>
          <w:p>
            <w:pPr>
              <w:pStyle w:val="ListParagraph"/>
              <w:numPr>
                <w:ilvl w:val="0"/>
                <w:numId w:val="29"/>
              </w:numPr>
              <w:spacing w:after="0"/>
              <w:rPr>
                <w:rFonts w:eastAsia="Malgun Gothic"/>
                <w:color w:val="000000"/>
                <w:lang w:eastAsia="ko-KR"/>
              </w:rPr>
            </w:pPr>
            <w:r>
              <w:rPr>
                <w:rFonts w:eastAsia="Malgun Gothic"/>
                <w:color w:val="000000"/>
                <w:lang w:eastAsia="ko-KR"/>
              </w:rPr>
              <w:t>Multiple starting positions in time/freq for PUSCH/PUCCH</w:t>
            </w:r>
          </w:p>
          <w:p>
            <w:pPr>
              <w:pStyle w:val="ListParagraph"/>
              <w:numPr>
                <w:ilvl w:val="0"/>
                <w:numId w:val="29"/>
              </w:numPr>
              <w:rPr>
                <w:lang w:eastAsia="zh-CN"/>
              </w:rPr>
            </w:pPr>
            <w:r>
              <w:rPr>
                <w:rFonts w:eastAsia="Malgun Gothic"/>
                <w:lang w:eastAsia="ko-KR"/>
              </w:rPr>
              <w:t>CBG-based multi-PUSCH scheduling / configured grants</w:t>
            </w:r>
          </w:p>
        </w:tc>
        <w:tc>
          <w:tcPr>
            <w:tcW w:w="1724" w:type="dxa"/>
          </w:tcPr>
          <w:p>
            <w:pPr>
              <w:rPr>
                <w:lang w:eastAsia="zh-CN"/>
              </w:rPr>
            </w:pPr>
          </w:p>
        </w:tc>
      </w:tr>
      <w:tr>
        <w:tc>
          <w:tcPr>
            <w:tcW w:w="1583" w:type="dxa"/>
          </w:tcPr>
          <w:p>
            <w:pPr>
              <w:rPr>
                <w:lang w:eastAsia="zh-CN"/>
              </w:rPr>
            </w:pPr>
            <w:r>
              <w:rPr>
                <w:rFonts w:hint="eastAsia"/>
                <w:lang w:eastAsia="zh-CN"/>
              </w:rPr>
              <w:lastRenderedPageBreak/>
              <w:t>H</w:t>
            </w:r>
            <w:r>
              <w:rPr>
                <w:lang w:eastAsia="zh-CN"/>
              </w:rPr>
              <w:t>uawei, HiSilicon</w:t>
            </w:r>
          </w:p>
        </w:tc>
        <w:tc>
          <w:tcPr>
            <w:tcW w:w="6105" w:type="dxa"/>
          </w:tcPr>
          <w:p>
            <w:pPr>
              <w:jc w:val="both"/>
              <w:rPr>
                <w:lang w:eastAsia="zh-CN"/>
              </w:rPr>
            </w:pPr>
            <w:r>
              <w:rPr>
                <w:lang w:eastAsia="zh-CN"/>
              </w:rPr>
              <w:t xml:space="preserve">In NR-U Rel-16, the normative works focused on adapting NR Rel-15 design to enable operation in unlicensed band especially for eMBB traffic in standalone mode and for offloading eMBB traffic in non-standalone (LAA CA and DC) modes. Due to time limitation, some features were down prioritized in RAN#84 as optimization. Such optimizations may be considered more relevant in Rel-17 depending on scenarios that will be part of Rel-17, such as URLLC/IIoT enhancements. </w:t>
            </w:r>
          </w:p>
          <w:p>
            <w:pPr>
              <w:jc w:val="both"/>
              <w:rPr>
                <w:lang w:eastAsia="zh-CN"/>
              </w:rPr>
            </w:pPr>
            <w:bookmarkStart w:id="3" w:name="OLE_LINK3"/>
            <w:r>
              <w:rPr>
                <w:lang w:eastAsia="zh-CN"/>
              </w:rPr>
              <w:t>It can be discussed later whether the enhancements for NR unlicensed in Rel-17 could fit within another WI or whether it deserves its own WI.</w:t>
            </w:r>
            <w:bookmarkEnd w:id="3"/>
          </w:p>
          <w:p>
            <w:pPr>
              <w:jc w:val="both"/>
              <w:rPr>
                <w:lang w:eastAsia="zh-CN"/>
              </w:rPr>
            </w:pPr>
            <w:r>
              <w:rPr>
                <w:lang w:eastAsia="zh-CN"/>
              </w:rPr>
              <w:t>NR-U could focus on targeting additional usage scenarios, such as low latency services for URLLC/IIoT. This would require first clearly defining the target deployment scenario, for example licensed-assisted NR-NR CA with UL in unlicensed band to cater for uplink-heavy latency-sensitive Industrial IoT services, for which the fixed TDD configuration in licensed band (e.g. C-band) may not have frequent enough uplink and enough capacity for uplink data and control.</w:t>
            </w:r>
          </w:p>
          <w:p>
            <w:pPr>
              <w:rPr>
                <w:lang w:eastAsia="zh-CN"/>
              </w:rPr>
            </w:pPr>
            <w:r>
              <w:rPr>
                <w:lang w:eastAsia="zh-CN"/>
              </w:rPr>
              <w:t xml:space="preserve">Potential Rel-17 NRU features in RAN1/RAN2 with </w:t>
            </w:r>
            <w:r>
              <w:rPr>
                <w:b/>
                <w:lang w:eastAsia="zh-CN"/>
              </w:rPr>
              <w:t>highest relevance:</w:t>
            </w:r>
          </w:p>
          <w:p>
            <w:pPr>
              <w:pStyle w:val="ListParagraph"/>
              <w:numPr>
                <w:ilvl w:val="0"/>
                <w:numId w:val="32"/>
              </w:numPr>
              <w:jc w:val="both"/>
              <w:rPr>
                <w:lang w:eastAsia="zh-CN"/>
              </w:rPr>
            </w:pPr>
            <w:r>
              <w:rPr>
                <w:b/>
                <w:lang w:eastAsia="zh-CN"/>
              </w:rPr>
              <w:t>Multiple HARQ feedback</w:t>
            </w:r>
            <w:r>
              <w:rPr>
                <w:lang w:eastAsia="zh-CN"/>
              </w:rPr>
              <w:t xml:space="preserve"> in frequency domain. Reliable HARQ feedback is important for system throughput (avoiding scheduling retransmission of PDSCH which was already successfully received in UE) and latency (limiting higher layer retransmission). Multiple feedback opportunities in time domain was supported in Rel-16 at the cost of latency. For traffic with low latency requirement, multiple feedback resource in frequency domain is more suitable. This can also be considered for other types of UCI. </w:t>
            </w:r>
            <w:r>
              <w:rPr>
                <w:rFonts w:eastAsia="DengXian"/>
                <w:lang w:eastAsia="zh-CN"/>
              </w:rPr>
              <w:t>This feature can be useful for URLLC.</w:t>
            </w:r>
            <w:r>
              <w:rPr>
                <w:b/>
                <w:lang w:eastAsia="zh-CN"/>
              </w:rPr>
              <w:t xml:space="preserve"> (RAN1)</w:t>
            </w:r>
          </w:p>
          <w:p>
            <w:pPr>
              <w:pStyle w:val="ListParagraph"/>
              <w:numPr>
                <w:ilvl w:val="0"/>
                <w:numId w:val="32"/>
              </w:numPr>
              <w:jc w:val="both"/>
              <w:rPr>
                <w:lang w:eastAsia="zh-CN"/>
              </w:rPr>
            </w:pPr>
            <w:r>
              <w:rPr>
                <w:b/>
                <w:lang w:eastAsia="zh-CN"/>
              </w:rPr>
              <w:t>Enhanced Transmission with CG:</w:t>
            </w:r>
            <w:r>
              <w:rPr>
                <w:lang w:eastAsia="zh-CN"/>
              </w:rPr>
              <w:t xml:space="preserve"> Unlike eMBB traffic studies in NR-U Rel-16, URLLC/IIoT packet sizes are significantly smaller while the amount of packets can be large. In such case, enhancing the UE-specific AUL-DFI into group common-DFI will be beneficial to provide timely A/N feedback concurrently to the multiplexed UEs while achieving significant savings of the overhead. Furthermore, additional CG transmission opportunities can be triggered on demand by the gNB utilizing all the CG T/F parameters less the offset and periodicity. Fast UE-directed link adaptation would be also beneficial exploiting the explicit indication in the CG-UCI. </w:t>
            </w:r>
            <w:r>
              <w:rPr>
                <w:b/>
                <w:lang w:eastAsia="zh-CN"/>
              </w:rPr>
              <w:t>(RAN1)</w:t>
            </w:r>
          </w:p>
          <w:p>
            <w:pPr>
              <w:pStyle w:val="ListParagraph"/>
              <w:numPr>
                <w:ilvl w:val="0"/>
                <w:numId w:val="32"/>
              </w:numPr>
              <w:jc w:val="both"/>
              <w:rPr>
                <w:lang w:eastAsia="zh-CN"/>
              </w:rPr>
            </w:pPr>
            <w:r>
              <w:rPr>
                <w:b/>
                <w:lang w:eastAsia="zh-CN"/>
              </w:rPr>
              <w:t>Alt2 PUSCH</w:t>
            </w:r>
            <w:r>
              <w:rPr>
                <w:lang w:eastAsia="zh-CN"/>
              </w:rPr>
              <w:t xml:space="preserve"> (</w:t>
            </w:r>
            <w:r>
              <w:rPr>
                <w:rFonts w:hint="eastAsia"/>
                <w:bCs/>
              </w:rPr>
              <w:t xml:space="preserve">UE transmits </w:t>
            </w:r>
            <w:r>
              <w:rPr>
                <w:bCs/>
              </w:rPr>
              <w:t>the PUSCH in all or a subset of LBT bandwidths of the scheduled PUSCH for which CCA is successful at the UE</w:t>
            </w:r>
            <w:r>
              <w:rPr>
                <w:lang w:eastAsia="zh-CN"/>
              </w:rPr>
              <w:t xml:space="preserve">) in wideband operation, including dynamic scheduling and configured grant. Different from regular eMBB traffic, there is more UL traffic in industrial usage and consumer electronics, e.g. video surveillance, AR/VR, etc. If Rel-16 only allows UE to transmit when all LBT bandwidths succeed, it will result in large latency and throughput limitation. PUSCH repetition across multiple LBT bandwidths could also increase UL reliability without increasing latency. </w:t>
            </w:r>
            <w:r>
              <w:rPr>
                <w:rFonts w:eastAsia="DengXian"/>
                <w:lang w:eastAsia="zh-CN"/>
              </w:rPr>
              <w:t>This feature can be useful for URLLC.</w:t>
            </w:r>
            <w:r>
              <w:rPr>
                <w:b/>
                <w:lang w:eastAsia="zh-CN"/>
              </w:rPr>
              <w:t xml:space="preserve"> (RAN1)</w:t>
            </w:r>
            <w:r>
              <w:rPr>
                <w:lang w:eastAsia="zh-CN"/>
              </w:rPr>
              <w:t xml:space="preserve"> </w:t>
            </w:r>
          </w:p>
          <w:p>
            <w:pPr>
              <w:pStyle w:val="ListParagraph"/>
              <w:numPr>
                <w:ilvl w:val="0"/>
                <w:numId w:val="32"/>
              </w:numPr>
              <w:spacing w:before="120" w:after="120"/>
              <w:jc w:val="both"/>
              <w:rPr>
                <w:lang w:eastAsia="zh-CN"/>
              </w:rPr>
            </w:pPr>
            <w:r>
              <w:rPr>
                <w:b/>
                <w:lang w:eastAsia="zh-CN"/>
              </w:rPr>
              <w:t>SRS capacity enhancements</w:t>
            </w:r>
            <w:r>
              <w:rPr>
                <w:lang w:eastAsia="zh-CN"/>
              </w:rPr>
              <w:t xml:space="preserve">: The SRS cannot be FDM with PRB-interlaced NR-U PUCCH and PUSCH. Introducing a new PRB-interlaced SRS would be beneficial for more flexible channel multiplexing in the UL and increased opportunities for SRS transmission. </w:t>
            </w:r>
            <w:r>
              <w:rPr>
                <w:b/>
                <w:lang w:eastAsia="zh-CN"/>
              </w:rPr>
              <w:t>(RAN1)</w:t>
            </w:r>
          </w:p>
          <w:p>
            <w:pPr>
              <w:pStyle w:val="ListParagraph"/>
              <w:numPr>
                <w:ilvl w:val="0"/>
                <w:numId w:val="32"/>
              </w:numPr>
              <w:spacing w:before="120" w:after="120"/>
              <w:jc w:val="both"/>
            </w:pPr>
            <w:r>
              <w:rPr>
                <w:b/>
              </w:rPr>
              <w:t>PDCP duplication operated on unlicensed band</w:t>
            </w:r>
            <w:r>
              <w:t xml:space="preserve">. Due to the uncertainty of the channel access, the delivery/transmission of the copy of PDCP PDU to the leg for unlicensed carrier needs to take the LBT impact into account so that the resource utilization can be further improved </w:t>
            </w:r>
            <w:r>
              <w:rPr>
                <w:b/>
              </w:rPr>
              <w:t>(RAN2)</w:t>
            </w:r>
          </w:p>
          <w:p>
            <w:pPr>
              <w:pStyle w:val="ListParagraph"/>
              <w:numPr>
                <w:ilvl w:val="0"/>
                <w:numId w:val="32"/>
              </w:numPr>
              <w:spacing w:before="120" w:after="120"/>
              <w:jc w:val="both"/>
              <w:rPr>
                <w:lang w:eastAsia="zh-CN"/>
              </w:rPr>
            </w:pPr>
            <w:r>
              <w:rPr>
                <w:b/>
              </w:rPr>
              <w:t>eMBB and URLLC multiplexing for non-standalone NRU.</w:t>
            </w:r>
            <w:r>
              <w:t xml:space="preserve"> For the UL, eMBB traffic load can be dynamically controlled and coordinated between licensed and unlicensed carriers by taking </w:t>
            </w:r>
            <w:r>
              <w:lastRenderedPageBreak/>
              <w:t xml:space="preserve">URLLC/IIOT traffic into account so that the QoS of URLLC can be fulfilled without impacting eMBB capacity </w:t>
            </w:r>
            <w:r>
              <w:rPr>
                <w:b/>
              </w:rPr>
              <w:t>(RAN2)</w:t>
            </w:r>
          </w:p>
          <w:p>
            <w:pPr>
              <w:spacing w:before="120" w:after="120"/>
              <w:rPr>
                <w:lang w:eastAsia="zh-CN"/>
              </w:rPr>
            </w:pPr>
            <w:r>
              <w:rPr>
                <w:lang w:eastAsia="zh-CN"/>
              </w:rPr>
              <w:t xml:space="preserve">Potential Rel-17 NRU features in RAN1/RAN2 with </w:t>
            </w:r>
            <w:r>
              <w:rPr>
                <w:b/>
                <w:lang w:eastAsia="zh-CN"/>
              </w:rPr>
              <w:t>medium relevance</w:t>
            </w:r>
            <w:r>
              <w:rPr>
                <w:lang w:eastAsia="zh-CN"/>
              </w:rPr>
              <w:t xml:space="preserve">:                </w:t>
            </w:r>
          </w:p>
          <w:p>
            <w:pPr>
              <w:pStyle w:val="ListParagraph"/>
              <w:numPr>
                <w:ilvl w:val="0"/>
                <w:numId w:val="32"/>
              </w:numPr>
              <w:spacing w:before="120" w:after="120"/>
              <w:jc w:val="both"/>
              <w:rPr>
                <w:b/>
                <w:lang w:eastAsia="zh-CN"/>
              </w:rPr>
            </w:pPr>
            <w:r>
              <w:rPr>
                <w:b/>
                <w:lang w:eastAsia="zh-CN"/>
              </w:rPr>
              <w:t>Wideband LBT</w:t>
            </w:r>
            <w:r>
              <w:rPr>
                <w:lang w:eastAsia="zh-CN"/>
              </w:rPr>
              <w:t xml:space="preserve">, e.g. based on network configuration or adjusted by transmitter. </w:t>
            </w:r>
            <w:r>
              <w:rPr>
                <w:rFonts w:eastAsia="DengXian"/>
                <w:lang w:eastAsia="zh-CN"/>
              </w:rPr>
              <w:t xml:space="preserve">When large channel bandwidth is configured either with carrier aggregation or wideband BWP (such as 320 MHz to be supported by WiFi7), the complexity to perform per 20MHz LBT is high. Supporting wideband LBT can facilitate transmitter assessment of channel availability in a short time with acceptable complexity. The features of wideband PDSCH option 2 and PUSCH alt 1 also validate the motivation to introduce wideband LBT (allow to transmit only when all LBT subbands succeed). </w:t>
            </w:r>
            <w:r>
              <w:rPr>
                <w:b/>
                <w:lang w:eastAsia="zh-CN"/>
              </w:rPr>
              <w:t>(RAN1)</w:t>
            </w:r>
          </w:p>
          <w:p>
            <w:pPr>
              <w:pStyle w:val="ListParagraph"/>
              <w:numPr>
                <w:ilvl w:val="0"/>
                <w:numId w:val="32"/>
              </w:numPr>
              <w:spacing w:before="120" w:after="120"/>
              <w:jc w:val="both"/>
              <w:rPr>
                <w:b/>
                <w:lang w:eastAsia="zh-CN"/>
              </w:rPr>
            </w:pPr>
            <w:r>
              <w:rPr>
                <w:b/>
                <w:lang w:eastAsia="zh-CN"/>
              </w:rPr>
              <w:t>Channel access for spatial reuse (RAN1)</w:t>
            </w:r>
            <w:r>
              <w:rPr>
                <w:lang w:eastAsia="zh-CN"/>
              </w:rPr>
              <w:t>: enhancements in this area are still possible beyond what is specified in Rel16.</w:t>
            </w:r>
          </w:p>
          <w:p>
            <w:pPr>
              <w:pStyle w:val="ListParagraph"/>
              <w:numPr>
                <w:ilvl w:val="0"/>
                <w:numId w:val="32"/>
              </w:numPr>
              <w:spacing w:before="120" w:after="120"/>
              <w:jc w:val="both"/>
              <w:rPr>
                <w:lang w:eastAsia="zh-CN"/>
              </w:rPr>
            </w:pPr>
            <w:r>
              <w:rPr>
                <w:b/>
                <w:lang w:eastAsia="zh-CN"/>
              </w:rPr>
              <w:t>Cross carrier HARQ retransmission</w:t>
            </w:r>
            <w:r>
              <w:rPr>
                <w:lang w:eastAsia="zh-CN"/>
              </w:rPr>
              <w:t xml:space="preserve"> in frequency domain. In Rel-16, HARQ retransmission is on the same carrier as the initial transmission. When consistent LBT failure occurs on the carrier, it will cause higher layer retransmission, which increases latency. </w:t>
            </w:r>
            <w:r>
              <w:rPr>
                <w:rFonts w:eastAsia="DengXian"/>
                <w:lang w:eastAsia="zh-CN"/>
              </w:rPr>
              <w:t>This feature can be useful for URLLC.</w:t>
            </w:r>
            <w:r>
              <w:rPr>
                <w:b/>
                <w:lang w:eastAsia="zh-CN"/>
              </w:rPr>
              <w:t xml:space="preserve"> (RAN1/RAN2)</w:t>
            </w:r>
          </w:p>
          <w:p>
            <w:pPr>
              <w:pStyle w:val="ListParagraph"/>
              <w:numPr>
                <w:ilvl w:val="0"/>
                <w:numId w:val="32"/>
              </w:numPr>
              <w:spacing w:before="120" w:after="120"/>
              <w:jc w:val="both"/>
              <w:rPr>
                <w:rFonts w:eastAsia="DengXian"/>
                <w:lang w:eastAsia="zh-CN"/>
              </w:rPr>
            </w:pPr>
            <w:r>
              <w:rPr>
                <w:b/>
                <w:lang w:eastAsia="zh-CN"/>
              </w:rPr>
              <w:t>RACH enhancement</w:t>
            </w:r>
            <w:r>
              <w:rPr>
                <w:lang w:eastAsia="zh-CN"/>
              </w:rPr>
              <w:t xml:space="preserve">, e.g. dynamic scheduled RO, multiple RO in frequency/time domain, additional msg3 opportunities, FDM based 2 step RACH. All RACH enhancements were down prioritized in Rel-16 due to lack of time. Among all listed candidate enhancements, multiple msg1 resources in frequency domain, dynamically scheduled RO, and multiple msg3 transmission opportunities can reduce RACH latency. </w:t>
            </w:r>
            <w:r>
              <w:rPr>
                <w:rFonts w:eastAsia="DengXian"/>
                <w:lang w:eastAsia="zh-CN"/>
              </w:rPr>
              <w:t>This feature can be useful for URLLC.</w:t>
            </w:r>
            <w:r>
              <w:rPr>
                <w:b/>
                <w:lang w:eastAsia="zh-CN"/>
              </w:rPr>
              <w:t xml:space="preserve"> (RAN1/RAN2)</w:t>
            </w:r>
          </w:p>
          <w:p>
            <w:pPr>
              <w:pStyle w:val="ListParagraph"/>
              <w:numPr>
                <w:ilvl w:val="0"/>
                <w:numId w:val="32"/>
              </w:numPr>
              <w:spacing w:after="0"/>
              <w:rPr>
                <w:rFonts w:eastAsia="Malgun Gothic"/>
                <w:lang w:eastAsia="ko-KR"/>
              </w:rPr>
            </w:pPr>
            <w:r>
              <w:rPr>
                <w:b/>
              </w:rPr>
              <w:t>DRX enhancement.</w:t>
            </w:r>
            <w:r>
              <w:t xml:space="preserve"> It was deprioritized in Rel-16. In view of the progress for licensed operation in Rel-16, we need to further consider the DRX enhancement specific to unlicensed operation (</w:t>
            </w:r>
            <w:r>
              <w:rPr>
                <w:rFonts w:hint="eastAsia"/>
                <w:b/>
                <w:lang w:eastAsia="zh-CN"/>
              </w:rPr>
              <w:t>RAN2</w:t>
            </w:r>
            <w:r>
              <w:rPr>
                <w:rFonts w:hint="eastAsia"/>
                <w:b/>
                <w:lang w:eastAsia="zh-CN"/>
              </w:rPr>
              <w:t>）</w:t>
            </w:r>
          </w:p>
          <w:p>
            <w:pPr>
              <w:pStyle w:val="ListParagraph"/>
              <w:numPr>
                <w:ilvl w:val="0"/>
                <w:numId w:val="32"/>
              </w:numPr>
              <w:spacing w:after="0"/>
              <w:rPr>
                <w:rFonts w:eastAsia="Malgun Gothic"/>
                <w:lang w:eastAsia="ko-KR"/>
              </w:rPr>
            </w:pPr>
            <w:r>
              <w:rPr>
                <w:b/>
              </w:rPr>
              <w:t>SI enhancement</w:t>
            </w:r>
            <w:r>
              <w:t xml:space="preserve">. Grouping all SI into one SI message would obviously restrict the scheduling flexibility with a common periodicity. However, extending SI transmission opportunity may have difficulties to configure non-overlapping SI windows. Therefore, a new mechanism for broadcasting multiple SI messages would be useful </w:t>
            </w:r>
            <w:r>
              <w:rPr>
                <w:b/>
              </w:rPr>
              <w:t>(RAN2)</w:t>
            </w:r>
          </w:p>
        </w:tc>
        <w:tc>
          <w:tcPr>
            <w:tcW w:w="1724" w:type="dxa"/>
          </w:tcPr>
          <w:p>
            <w:pPr>
              <w:rPr>
                <w:lang w:eastAsia="zh-CN"/>
              </w:rPr>
            </w:pPr>
          </w:p>
        </w:tc>
      </w:tr>
      <w:tr>
        <w:tc>
          <w:tcPr>
            <w:tcW w:w="1583" w:type="dxa"/>
          </w:tcPr>
          <w:p>
            <w:pPr>
              <w:rPr>
                <w:lang w:eastAsia="zh-CN"/>
              </w:rPr>
            </w:pPr>
            <w:r>
              <w:t>Sony</w:t>
            </w:r>
          </w:p>
        </w:tc>
        <w:tc>
          <w:tcPr>
            <w:tcW w:w="6105" w:type="dxa"/>
          </w:tcPr>
          <w:p>
            <w:pPr>
              <w:spacing w:after="0"/>
              <w:rPr>
                <w:rFonts w:eastAsiaTheme="minorEastAsia"/>
              </w:rPr>
            </w:pPr>
            <w:r>
              <w:rPr>
                <w:rFonts w:eastAsiaTheme="minorEastAsia"/>
              </w:rPr>
              <w:t xml:space="preserve">Unlicensed aspects related to other topics should be addressed by those topics (e.g. URLLC, positioning, power saving) as per RAN plenary </w:t>
            </w:r>
            <w:r>
              <w:t>guidance</w:t>
            </w:r>
            <w:r>
              <w:rPr>
                <w:rFonts w:eastAsiaTheme="minorEastAsia"/>
              </w:rPr>
              <w:t>.</w:t>
            </w:r>
          </w:p>
          <w:p>
            <w:pPr>
              <w:spacing w:after="0"/>
              <w:rPr>
                <w:rFonts w:eastAsiaTheme="minorEastAsia"/>
              </w:rPr>
            </w:pPr>
          </w:p>
          <w:p>
            <w:pPr>
              <w:spacing w:after="0"/>
            </w:pPr>
            <w:r>
              <w:rPr>
                <w:rFonts w:eastAsiaTheme="minorEastAsia" w:hint="eastAsia"/>
              </w:rPr>
              <w:t>W</w:t>
            </w:r>
            <w:r>
              <w:rPr>
                <w:rFonts w:eastAsiaTheme="minorEastAsia"/>
              </w:rPr>
              <w:t>e agree with Nokia’s view that the leftover/optimization topics will need to be clarified after Rel-16 work completion.</w:t>
            </w:r>
          </w:p>
          <w:p>
            <w:pPr>
              <w:spacing w:after="0"/>
              <w:rPr>
                <w:lang w:val="en-US"/>
              </w:rPr>
            </w:pPr>
            <w:r>
              <w:rPr>
                <w:lang w:val="en-US"/>
              </w:rPr>
              <w:t>The following items could be considered in Rel-17 NR-U if these items are left over from Rel-16.</w:t>
            </w:r>
          </w:p>
          <w:p>
            <w:pPr>
              <w:spacing w:after="0"/>
              <w:rPr>
                <w:lang w:val="en-US"/>
              </w:rPr>
            </w:pPr>
            <w:r>
              <w:rPr>
                <w:lang w:val="en-US"/>
              </w:rPr>
              <w:t>- Channel access enhancement</w:t>
            </w:r>
          </w:p>
          <w:p>
            <w:pPr>
              <w:spacing w:after="0"/>
              <w:ind w:firstLineChars="100" w:firstLine="200"/>
              <w:rPr>
                <w:lang w:val="en-US"/>
              </w:rPr>
            </w:pPr>
            <w:r>
              <w:rPr>
                <w:lang w:val="en-US"/>
              </w:rPr>
              <w:t>* Receiver assisted LBT</w:t>
            </w:r>
          </w:p>
          <w:p>
            <w:pPr>
              <w:spacing w:after="0"/>
              <w:ind w:firstLineChars="100" w:firstLine="200"/>
              <w:rPr>
                <w:lang w:val="en-US"/>
              </w:rPr>
            </w:pPr>
            <w:r>
              <w:rPr>
                <w:lang w:val="en-US"/>
              </w:rPr>
              <w:t>* Wideband LBT</w:t>
            </w:r>
          </w:p>
          <w:p>
            <w:pPr>
              <w:spacing w:after="0"/>
              <w:rPr>
                <w:lang w:val="en-US"/>
              </w:rPr>
            </w:pPr>
            <w:r>
              <w:rPr>
                <w:lang w:val="en-US"/>
              </w:rPr>
              <w:t>- Initial access enhancement</w:t>
            </w:r>
          </w:p>
          <w:p>
            <w:pPr>
              <w:spacing w:after="0"/>
              <w:ind w:leftChars="100" w:left="388" w:hangingChars="94" w:hanging="188"/>
              <w:rPr>
                <w:lang w:val="en-US"/>
              </w:rPr>
            </w:pPr>
            <w:r>
              <w:rPr>
                <w:lang w:val="en-US"/>
              </w:rPr>
              <w:t>* Msg1/Msg3/MsgA enhancements with more opportunities in frequency domain</w:t>
            </w:r>
          </w:p>
          <w:p>
            <w:pPr>
              <w:spacing w:after="0"/>
              <w:ind w:firstLineChars="100" w:firstLine="200"/>
              <w:rPr>
                <w:lang w:val="en-US"/>
              </w:rPr>
            </w:pPr>
            <w:r>
              <w:rPr>
                <w:lang w:val="en-US"/>
              </w:rPr>
              <w:t xml:space="preserve">* </w:t>
            </w:r>
            <w:r>
              <w:rPr>
                <w:lang w:eastAsia="zh-CN"/>
              </w:rPr>
              <w:t xml:space="preserve">MsgA design optimization to support </w:t>
            </w:r>
            <w:r>
              <w:rPr>
                <w:lang w:val="en-US"/>
              </w:rPr>
              <w:t>single LBT</w:t>
            </w:r>
          </w:p>
          <w:p>
            <w:pPr>
              <w:spacing w:after="0"/>
              <w:rPr>
                <w:rFonts w:eastAsiaTheme="minorEastAsia"/>
                <w:lang w:val="en-US"/>
              </w:rPr>
            </w:pPr>
            <w:r>
              <w:rPr>
                <w:rFonts w:eastAsiaTheme="minorEastAsia" w:hint="eastAsia"/>
                <w:lang w:val="en-US"/>
              </w:rPr>
              <w:t>-</w:t>
            </w:r>
            <w:r>
              <w:rPr>
                <w:rFonts w:eastAsiaTheme="minorEastAsia"/>
                <w:lang w:val="en-US"/>
              </w:rPr>
              <w:t xml:space="preserve"> HARQ enhancement</w:t>
            </w:r>
          </w:p>
          <w:p>
            <w:pPr>
              <w:spacing w:after="0"/>
              <w:ind w:leftChars="100" w:left="388" w:hangingChars="94" w:hanging="188"/>
              <w:rPr>
                <w:lang w:val="en-US"/>
              </w:rPr>
            </w:pPr>
            <w:r>
              <w:rPr>
                <w:lang w:val="en-US"/>
              </w:rPr>
              <w:t>* Multiple HARQ-ACK transmission opportunities in frequency domain</w:t>
            </w:r>
          </w:p>
          <w:p>
            <w:pPr>
              <w:spacing w:after="0"/>
              <w:rPr>
                <w:lang w:val="en-US"/>
              </w:rPr>
            </w:pPr>
            <w:r>
              <w:rPr>
                <w:lang w:val="en-US"/>
              </w:rPr>
              <w:t>- Wideband operation enhancement</w:t>
            </w:r>
          </w:p>
          <w:p>
            <w:pPr>
              <w:spacing w:after="0"/>
              <w:ind w:leftChars="100" w:left="388" w:hangingChars="94" w:hanging="188"/>
              <w:rPr>
                <w:lang w:val="en-US"/>
              </w:rPr>
            </w:pPr>
            <w:r>
              <w:rPr>
                <w:lang w:val="en-US"/>
              </w:rPr>
              <w:t>* PUSCH alt 2 (UE transmits the PUSCH in all or a subset of LBT bandwidths of the scheduled PUSCH for which CCA is successful at the UE)</w:t>
            </w:r>
          </w:p>
          <w:p>
            <w:pPr>
              <w:spacing w:after="0"/>
              <w:rPr>
                <w:rFonts w:eastAsiaTheme="minorEastAsia"/>
              </w:rPr>
            </w:pPr>
          </w:p>
          <w:p>
            <w:pPr>
              <w:spacing w:after="0"/>
              <w:rPr>
                <w:rFonts w:eastAsiaTheme="minorEastAsia"/>
              </w:rPr>
            </w:pPr>
            <w:r>
              <w:rPr>
                <w:rFonts w:eastAsiaTheme="minorEastAsia" w:hint="eastAsia"/>
              </w:rPr>
              <w:lastRenderedPageBreak/>
              <w:t>F</w:t>
            </w:r>
            <w:r>
              <w:rPr>
                <w:rFonts w:eastAsiaTheme="minorEastAsia"/>
              </w:rPr>
              <w:t>urthermore, Rel-17 NR-U channel access should adapt to 6 GHz regulation if the regulation is ready.</w:t>
            </w:r>
          </w:p>
          <w:p>
            <w:pPr>
              <w:jc w:val="both"/>
              <w:rPr>
                <w:lang w:eastAsia="zh-CN"/>
              </w:rPr>
            </w:pPr>
            <w:r>
              <w:rPr>
                <w:rFonts w:eastAsiaTheme="minorEastAsia" w:hint="eastAsia"/>
              </w:rPr>
              <w:t>-</w:t>
            </w:r>
            <w:r>
              <w:rPr>
                <w:rFonts w:eastAsiaTheme="minorEastAsia"/>
              </w:rPr>
              <w:t xml:space="preserve"> 6 GHz </w:t>
            </w:r>
            <w:r>
              <w:rPr>
                <w:rFonts w:eastAsiaTheme="minorEastAsia" w:hint="eastAsia"/>
              </w:rPr>
              <w:t>c</w:t>
            </w:r>
            <w:r>
              <w:rPr>
                <w:rFonts w:eastAsiaTheme="minorEastAsia"/>
              </w:rPr>
              <w:t>hannel access to support regulatory requirements</w:t>
            </w:r>
          </w:p>
        </w:tc>
        <w:tc>
          <w:tcPr>
            <w:tcW w:w="1724" w:type="dxa"/>
          </w:tcPr>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rPr>
                <w:rFonts w:eastAsiaTheme="minorEastAsia"/>
                <w:lang w:val="en-US"/>
              </w:rPr>
            </w:pPr>
          </w:p>
          <w:p>
            <w:pPr>
              <w:spacing w:after="0"/>
            </w:pPr>
            <w:r>
              <w:t>Medium Priority</w:t>
            </w:r>
          </w:p>
          <w:p>
            <w:pPr>
              <w:spacing w:after="0"/>
            </w:pPr>
            <w:r>
              <w:t>Medium Priority</w:t>
            </w:r>
          </w:p>
          <w:p>
            <w:pPr>
              <w:spacing w:after="0"/>
              <w:rPr>
                <w:rFonts w:eastAsiaTheme="minorEastAsia"/>
                <w:lang w:val="en-US"/>
              </w:rPr>
            </w:pPr>
          </w:p>
          <w:p>
            <w:pPr>
              <w:spacing w:after="0"/>
            </w:pPr>
            <w:r>
              <w:t>High Priority</w:t>
            </w:r>
          </w:p>
          <w:p>
            <w:pPr>
              <w:spacing w:after="0"/>
              <w:rPr>
                <w:lang w:val="en-US"/>
              </w:rPr>
            </w:pPr>
          </w:p>
          <w:p>
            <w:pPr>
              <w:spacing w:after="0"/>
            </w:pPr>
            <w:r>
              <w:t>High Priority</w:t>
            </w:r>
          </w:p>
          <w:p>
            <w:pPr>
              <w:spacing w:after="0"/>
              <w:rPr>
                <w:rFonts w:eastAsiaTheme="minorEastAsia"/>
                <w:lang w:val="en-US"/>
              </w:rPr>
            </w:pPr>
          </w:p>
          <w:p>
            <w:pPr>
              <w:spacing w:after="0"/>
            </w:pPr>
            <w:r>
              <w:t>High Priority</w:t>
            </w:r>
          </w:p>
          <w:p>
            <w:pPr>
              <w:spacing w:after="0"/>
              <w:rPr>
                <w:rFonts w:eastAsiaTheme="minorEastAsia"/>
                <w:lang w:val="en-US"/>
              </w:rPr>
            </w:pPr>
          </w:p>
          <w:p>
            <w:pPr>
              <w:spacing w:after="0"/>
              <w:rPr>
                <w:rFonts w:eastAsiaTheme="minorEastAsia"/>
                <w:lang w:val="en-US"/>
              </w:rPr>
            </w:pPr>
          </w:p>
          <w:p>
            <w:pPr>
              <w:spacing w:after="0"/>
            </w:pPr>
            <w:r>
              <w:t>High Priority</w:t>
            </w:r>
          </w:p>
          <w:p>
            <w:pPr>
              <w:spacing w:after="0"/>
              <w:rPr>
                <w:rFonts w:eastAsiaTheme="minorEastAsia"/>
              </w:rPr>
            </w:pPr>
          </w:p>
          <w:p>
            <w:pPr>
              <w:spacing w:after="0"/>
              <w:rPr>
                <w:rFonts w:eastAsiaTheme="minorEastAsia"/>
              </w:rPr>
            </w:pPr>
          </w:p>
          <w:p>
            <w:pPr>
              <w:spacing w:after="0"/>
              <w:rPr>
                <w:rFonts w:eastAsiaTheme="minorEastAsia"/>
              </w:rPr>
            </w:pPr>
          </w:p>
          <w:p>
            <w:pPr>
              <w:spacing w:after="0"/>
              <w:rPr>
                <w:rFonts w:eastAsiaTheme="minorEastAsia"/>
              </w:rPr>
            </w:pPr>
          </w:p>
          <w:p>
            <w:pPr>
              <w:spacing w:after="0"/>
            </w:pPr>
          </w:p>
          <w:p>
            <w:pPr>
              <w:rPr>
                <w:lang w:eastAsia="zh-CN"/>
              </w:rPr>
            </w:pPr>
            <w:r>
              <w:t>High Priority</w:t>
            </w:r>
          </w:p>
        </w:tc>
      </w:tr>
      <w:tr>
        <w:tc>
          <w:tcPr>
            <w:tcW w:w="1583" w:type="dxa"/>
          </w:tcPr>
          <w:p>
            <w:r>
              <w:lastRenderedPageBreak/>
              <w:t>AT&amp;T</w:t>
            </w:r>
          </w:p>
        </w:tc>
        <w:tc>
          <w:tcPr>
            <w:tcW w:w="6105" w:type="dxa"/>
          </w:tcPr>
          <w:p>
            <w:pPr>
              <w:spacing w:after="0"/>
              <w:rPr>
                <w:rFonts w:eastAsiaTheme="minorEastAsia"/>
                <w:u w:val="single"/>
              </w:rPr>
            </w:pPr>
            <w:r>
              <w:rPr>
                <w:rFonts w:eastAsiaTheme="minorEastAsia"/>
                <w:u w:val="single"/>
              </w:rPr>
              <w:t>Correlator-based physical carrier sensing</w:t>
            </w:r>
          </w:p>
          <w:p>
            <w:pPr>
              <w:spacing w:after="0"/>
              <w:rPr>
                <w:rFonts w:eastAsiaTheme="minorEastAsia"/>
              </w:rPr>
            </w:pPr>
            <w:r>
              <w:rPr>
                <w:rFonts w:eastAsiaTheme="minorEastAsia"/>
              </w:rPr>
              <w:t xml:space="preserve">In virtual carrier sensing, a transmission burst begins with the legacy IEEE 802.11a preamble comprising the legacy short training field (L-STF), the legacy long training field (L-LTF), and the legacy signal (L-SIG) field. The legacy preamble is followed by the IEEE 802.11ax preamble which itself is followed by the IEEE 802.11ax data. Virtual carrier sensing requires decoding of the legacy signal (L-SIG) field which carries, amongst others, information about the length of the on-going transmission. </w:t>
            </w:r>
          </w:p>
          <w:p>
            <w:pPr>
              <w:spacing w:after="0"/>
              <w:rPr>
                <w:rFonts w:eastAsiaTheme="minorEastAsia"/>
              </w:rPr>
            </w:pPr>
            <w:r>
              <w:rPr>
                <w:rFonts w:eastAsiaTheme="minorEastAsia"/>
              </w:rPr>
              <w:t xml:space="preserve">Because the L-SIG field needs to convey the duration of the transmission for virtual carrier sensing, channel coding and a protocol stack are required that are generally not common among radio technologies and this was considered the main obstacle for adoption of a common preamble in Rel. 16. On the other hand, the L-STF and L-LTF fields are used for time synchronization, automatic gain control (AGC), frequency offset correction, and channel estimation amongst others and do not carry information. </w:t>
            </w:r>
          </w:p>
          <w:p>
            <w:pPr>
              <w:spacing w:after="0"/>
              <w:rPr>
                <w:rFonts w:eastAsiaTheme="minorEastAsia"/>
              </w:rPr>
            </w:pPr>
            <w:r>
              <w:rPr>
                <w:rFonts w:eastAsiaTheme="minorEastAsia"/>
              </w:rPr>
              <w:t xml:space="preserve">In </w:t>
            </w:r>
            <w:hyperlink r:id="rId15" w:history="1">
              <w:r>
                <w:rPr>
                  <w:rStyle w:val="Hyperlink"/>
                  <w:rFonts w:eastAsiaTheme="minorEastAsia"/>
                </w:rPr>
                <w:t>http://grouper.ieee.org/groups/802/11/Workshops/2019-July-Coex/att_coex_ws_final.pdf</w:t>
              </w:r>
            </w:hyperlink>
            <w:r>
              <w:rPr>
                <w:rFonts w:eastAsiaTheme="minorEastAsia"/>
              </w:rPr>
              <w:t xml:space="preserve"> a novel common preamble design was proposed for the 6 GHz band addressing most of the issues above whereby the common preamble only comprises a signal part and the channel part of any preamble is not used across radio technologies. Then, the overall clear channel assessment procedure comprises a dual threshold detection mechanism, however, instead of ED followed by PD with virtual carrier sense, the second step only involves a signal part and the entire procedure comprising ED followed by PD uses physical carrier sensing. Specifically, the PD mechanism is correlator based and does not incorporate channel decoding or demodulation and the PD stage uses the received waveform rather than a payload carried by the received waveform. </w:t>
            </w:r>
          </w:p>
          <w:p>
            <w:pPr>
              <w:spacing w:after="0"/>
              <w:rPr>
                <w:rFonts w:eastAsiaTheme="minorEastAsia"/>
              </w:rPr>
            </w:pPr>
            <w:r>
              <w:rPr>
                <w:rFonts w:eastAsiaTheme="minorEastAsia"/>
              </w:rPr>
              <w:t xml:space="preserve">For these reasons, we propose to study in Rel. 17 the feasibility of correlator-based physical carrier sensing whereby a common preamble can be detected based on known sequences without decoding the preamble’s payload. In particular, the received waveform can be correlated with a stored preamble that accounts for the deterministic distortions when a device uses a sampling rate different from the one used to transmit the common preamble. </w:t>
            </w:r>
          </w:p>
          <w:p>
            <w:pPr>
              <w:spacing w:after="0"/>
              <w:rPr>
                <w:rFonts w:eastAsiaTheme="minorEastAsia"/>
              </w:rPr>
            </w:pPr>
          </w:p>
          <w:p>
            <w:pPr>
              <w:spacing w:after="0"/>
              <w:rPr>
                <w:rFonts w:eastAsiaTheme="minorEastAsia"/>
                <w:u w:val="single"/>
              </w:rPr>
            </w:pPr>
            <w:r>
              <w:rPr>
                <w:rFonts w:eastAsiaTheme="minorEastAsia"/>
                <w:u w:val="single"/>
              </w:rPr>
              <w:t>Enhanced wideband operation</w:t>
            </w:r>
          </w:p>
          <w:p>
            <w:pPr>
              <w:spacing w:after="0"/>
              <w:rPr>
                <w:rFonts w:eastAsiaTheme="minorEastAsia"/>
              </w:rPr>
            </w:pPr>
            <w:r>
              <w:rPr>
                <w:rFonts w:eastAsiaTheme="minorEastAsia"/>
              </w:rPr>
              <w:t xml:space="preserve">Rel. 16 supports that a UE can receive a PDSCH scheduled over multiple LBT bandwidths. For example, distributed resource allocation per Rel. 15 or Rel. 16 multi-TRP techniques can be used. However, PRBs within the guard band of two contiguous LBT sub-bands are not allowed to be scheduled by the gNB. </w:t>
            </w:r>
          </w:p>
          <w:p>
            <w:pPr>
              <w:spacing w:after="0"/>
              <w:rPr>
                <w:rFonts w:eastAsiaTheme="minorEastAsia"/>
              </w:rPr>
            </w:pPr>
            <w:r>
              <w:rPr>
                <w:rFonts w:eastAsiaTheme="minorEastAsia"/>
              </w:rPr>
              <w:t xml:space="preserve">RAN1 also discussed another mode of operation not supported by Rel. 16 whereby in the first slot of a COT, each LBT subband has to operate independently because the LBT outcome is unknown to the UE and gNB. However, once the UE knows the LBT outcome at the transmitter, e.g., via signalling in the control region of the first slot, spectral efficiency can be improved. </w:t>
            </w:r>
          </w:p>
          <w:p>
            <w:pPr>
              <w:spacing w:after="0"/>
              <w:rPr>
                <w:rFonts w:eastAsiaTheme="minorEastAsia"/>
              </w:rPr>
            </w:pPr>
            <w:r>
              <w:rPr>
                <w:rFonts w:eastAsiaTheme="minorEastAsia"/>
              </w:rPr>
              <w:t>RAN4 did not have time in Rel. 16 to study whether it is feasible to change the RF filtering between the first and second slot of a COT for enhanced wideband operation. This work should be completed in Rel. 17</w:t>
            </w:r>
          </w:p>
          <w:p>
            <w:pPr>
              <w:spacing w:after="0"/>
              <w:rPr>
                <w:rFonts w:eastAsiaTheme="minorEastAsia"/>
              </w:rPr>
            </w:pPr>
          </w:p>
          <w:p>
            <w:pPr>
              <w:spacing w:after="0"/>
              <w:rPr>
                <w:rFonts w:eastAsiaTheme="minorEastAsia"/>
                <w:u w:val="single"/>
              </w:rPr>
            </w:pPr>
            <w:r>
              <w:rPr>
                <w:rFonts w:eastAsiaTheme="minorEastAsia"/>
                <w:u w:val="single"/>
              </w:rPr>
              <w:t>Closed-Loop LBT</w:t>
            </w:r>
          </w:p>
          <w:p>
            <w:pPr>
              <w:spacing w:after="0"/>
              <w:rPr>
                <w:rFonts w:eastAsiaTheme="minorEastAsia"/>
              </w:rPr>
            </w:pPr>
            <w:r>
              <w:rPr>
                <w:rFonts w:eastAsiaTheme="minorEastAsia"/>
              </w:rPr>
              <w:t xml:space="preserve">While LBT performed independently at a transmitting node can be used to avoid collisions of transmissions at a target receiver, the performance may suffer from so-called “hidden node problems” if the interfering </w:t>
            </w:r>
            <w:r>
              <w:rPr>
                <w:rFonts w:eastAsiaTheme="minorEastAsia"/>
              </w:rPr>
              <w:lastRenderedPageBreak/>
              <w:t xml:space="preserve">nodes are outside the sensing range of the transmitting node. Joint operation of licensed and unlicensed carriers under a License-Assisted Access (LAA) framework can be used to help overcome the challenges of hidden nodes and associated latency incurred by LBT procedures on unlicensed carriers. Closed-Loop LBT is one potential enhancement to basic LBT procedures which can enable simultaneous carrier sensing at the gNB and UE, and then, based on feedback provided to the transmitter, avoid missed LBT detection at the transmitter and unwanted transmission collisions at the receiver. In addition, the feedback may be used to adapt various transmission parameters over time such as MU-MIMO pairing to name a few. </w:t>
            </w:r>
          </w:p>
          <w:p>
            <w:pPr>
              <w:spacing w:after="0"/>
              <w:rPr>
                <w:rFonts w:eastAsiaTheme="minorEastAsia"/>
              </w:rPr>
            </w:pPr>
            <w:r>
              <w:rPr>
                <w:rFonts w:eastAsiaTheme="minorEastAsia"/>
              </w:rPr>
              <w:t>Closed-Loop LBT can additionally be extended to enable synchronous measurements across multiple UEs. Both UEs send feedback messages on the licensed carrier providing the measurement results.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pPr>
              <w:spacing w:after="0"/>
              <w:rPr>
                <w:rFonts w:eastAsiaTheme="minorEastAsia"/>
              </w:rPr>
            </w:pPr>
            <w:r>
              <w:rPr>
                <w:rFonts w:eastAsiaTheme="minorEastAsia"/>
              </w:rPr>
              <w:t>In addition to achieving Closed-Loop LBT between the transmitter and receivers on the same cell, Closed-Loop LBT can be utilized to enable measurements across cells. This is beneficial when nearby cells are deployed by the same operator and spectral efficiency can be increased through spectrum reuse (e.g. reuse-1) for transmissions from the same operator with minimal backhaul coordination.</w:t>
            </w:r>
          </w:p>
        </w:tc>
        <w:tc>
          <w:tcPr>
            <w:tcW w:w="1724" w:type="dxa"/>
          </w:tcPr>
          <w:p>
            <w:pPr>
              <w:spacing w:after="0"/>
              <w:rPr>
                <w:rFonts w:eastAsiaTheme="minorEastAsia"/>
                <w:lang w:val="en-US"/>
              </w:rPr>
            </w:pPr>
            <w:r>
              <w:rPr>
                <w:rFonts w:eastAsiaTheme="minorEastAsia"/>
                <w:lang w:val="en-US"/>
              </w:rPr>
              <w:lastRenderedPageBreak/>
              <w:t xml:space="preserve">High priority </w:t>
            </w:r>
          </w:p>
        </w:tc>
      </w:tr>
      <w:tr>
        <w:tc>
          <w:tcPr>
            <w:tcW w:w="1583" w:type="dxa"/>
          </w:tcPr>
          <w:p>
            <w:r>
              <w:t>Intel</w:t>
            </w:r>
          </w:p>
        </w:tc>
        <w:tc>
          <w:tcPr>
            <w:tcW w:w="6105" w:type="dxa"/>
          </w:tcPr>
          <w:p>
            <w:pPr>
              <w:spacing w:after="0"/>
              <w:rPr>
                <w:color w:val="000000" w:themeColor="text1"/>
                <w:lang w:val="en-US"/>
              </w:rPr>
            </w:pPr>
            <w:r>
              <w:rPr>
                <w:color w:val="000000" w:themeColor="text1"/>
                <w:lang w:val="en-US"/>
              </w:rPr>
              <w:t>We agree that there is not sufficient motivation to enhance unlicensed operation under a separate Rel-17 work item given the guideline that unlicensed aspects specific to other items will be addressed by those items.</w:t>
            </w:r>
          </w:p>
          <w:p>
            <w:pPr>
              <w:spacing w:after="0"/>
              <w:rPr>
                <w:color w:val="000000" w:themeColor="text1"/>
                <w:lang w:val="en-US"/>
              </w:rPr>
            </w:pPr>
          </w:p>
          <w:p>
            <w:pPr>
              <w:spacing w:after="0"/>
              <w:rPr>
                <w:color w:val="000000" w:themeColor="text1"/>
                <w:lang w:val="en-US"/>
              </w:rPr>
            </w:pPr>
            <w:r>
              <w:rPr>
                <w:color w:val="000000" w:themeColor="text1"/>
                <w:lang w:val="en-US"/>
              </w:rPr>
              <w:t>Just for the case that outcome of the Rel-16 NR-U WI does not fully cover the essential/basic aspects of unlicensed operation, the leftovers can be discussed in Rel-17. If a dedicated WI for NR-U is to be approved in rel-17, the following list of topics could be included with given priorities. The details of the scope needs to be discussed after the completion of Rel-16 NR-U work item.</w:t>
            </w:r>
          </w:p>
          <w:p>
            <w:pPr>
              <w:spacing w:after="0"/>
              <w:rPr>
                <w:color w:val="000000" w:themeColor="text1"/>
                <w:lang w:val="en-US"/>
              </w:rPr>
            </w:pPr>
          </w:p>
          <w:p>
            <w:pPr>
              <w:pStyle w:val="ListParagraph"/>
              <w:numPr>
                <w:ilvl w:val="0"/>
                <w:numId w:val="29"/>
              </w:numPr>
              <w:spacing w:after="0"/>
              <w:rPr>
                <w:lang w:val="en-US"/>
              </w:rPr>
            </w:pPr>
            <w:r>
              <w:rPr>
                <w:lang w:val="en-US"/>
              </w:rPr>
              <w:t>Flexible COT sharing in DL/UL (RAN1)</w:t>
            </w:r>
          </w:p>
          <w:p>
            <w:pPr>
              <w:pStyle w:val="ListParagraph"/>
              <w:numPr>
                <w:ilvl w:val="0"/>
                <w:numId w:val="29"/>
              </w:numPr>
              <w:spacing w:after="0"/>
              <w:rPr>
                <w:lang w:val="en-US"/>
              </w:rPr>
            </w:pPr>
            <w:r>
              <w:rPr>
                <w:lang w:val="en-US"/>
              </w:rPr>
              <w:t>FBE leftovers/enhancements (RAN1)</w:t>
            </w:r>
          </w:p>
          <w:p>
            <w:pPr>
              <w:pStyle w:val="ListParagraph"/>
              <w:numPr>
                <w:ilvl w:val="0"/>
                <w:numId w:val="29"/>
              </w:numPr>
              <w:spacing w:after="0"/>
              <w:rPr>
                <w:lang w:val="en-US"/>
              </w:rPr>
            </w:pPr>
            <w:r>
              <w:rPr>
                <w:lang w:val="en-US"/>
              </w:rPr>
              <w:t>Initial access/RRM/RLM leftovers/enhancements (RAN1/RAN2)</w:t>
            </w:r>
          </w:p>
          <w:p>
            <w:pPr>
              <w:pStyle w:val="ListParagraph"/>
              <w:numPr>
                <w:ilvl w:val="0"/>
                <w:numId w:val="29"/>
              </w:numPr>
              <w:spacing w:after="0"/>
              <w:rPr>
                <w:lang w:val="en-US"/>
              </w:rPr>
            </w:pPr>
            <w:r>
              <w:rPr>
                <w:lang w:val="en-US"/>
              </w:rPr>
              <w:t>Wideband operation leftovers/enhancements (RAN1/RAN4)</w:t>
            </w:r>
          </w:p>
          <w:p>
            <w:pPr>
              <w:pStyle w:val="ListParagraph"/>
              <w:numPr>
                <w:ilvl w:val="0"/>
                <w:numId w:val="29"/>
              </w:numPr>
              <w:spacing w:after="0"/>
              <w:rPr>
                <w:lang w:val="en-US"/>
              </w:rPr>
            </w:pPr>
            <w:r>
              <w:rPr>
                <w:lang w:val="en-US"/>
              </w:rPr>
              <w:t>2-step RACH in unlicensed operation leftovers (RAN1/RAN2)</w:t>
            </w:r>
          </w:p>
          <w:p>
            <w:pPr>
              <w:spacing w:after="0"/>
              <w:rPr>
                <w:lang w:val="en-US"/>
              </w:rPr>
            </w:pPr>
          </w:p>
          <w:p>
            <w:pPr>
              <w:pStyle w:val="ListParagraph"/>
              <w:numPr>
                <w:ilvl w:val="0"/>
                <w:numId w:val="29"/>
              </w:numPr>
              <w:spacing w:after="0"/>
              <w:rPr>
                <w:lang w:val="en-US"/>
              </w:rPr>
            </w:pPr>
            <w:r>
              <w:rPr>
                <w:lang w:val="en-US"/>
              </w:rPr>
              <w:t>Channel access enhancements, e.g., receiver assisted LBT (RAN1)</w:t>
            </w:r>
          </w:p>
          <w:p>
            <w:pPr>
              <w:pStyle w:val="ListParagraph"/>
              <w:numPr>
                <w:ilvl w:val="0"/>
                <w:numId w:val="29"/>
              </w:numPr>
              <w:spacing w:after="0"/>
              <w:rPr>
                <w:lang w:val="en-US"/>
              </w:rPr>
            </w:pPr>
            <w:r>
              <w:rPr>
                <w:lang w:val="en-US"/>
              </w:rPr>
              <w:t>HARQ/scheduling enhancements, e.g., 2-stage UL (RAN1)</w:t>
            </w:r>
          </w:p>
          <w:p>
            <w:pPr>
              <w:pStyle w:val="ListParagraph"/>
              <w:numPr>
                <w:ilvl w:val="0"/>
                <w:numId w:val="29"/>
              </w:numPr>
              <w:spacing w:after="0"/>
              <w:rPr>
                <w:lang w:val="en-US"/>
              </w:rPr>
            </w:pPr>
            <w:r>
              <w:rPr>
                <w:lang w:val="en-US"/>
              </w:rPr>
              <w:t>Configured grant enhancements, e.g., CBG-based scheme (RAN1)</w:t>
            </w:r>
          </w:p>
          <w:p>
            <w:pPr>
              <w:spacing w:after="0"/>
              <w:rPr>
                <w:lang w:val="en-US"/>
              </w:rPr>
            </w:pPr>
          </w:p>
          <w:p>
            <w:pPr>
              <w:spacing w:after="0"/>
              <w:rPr>
                <w:rFonts w:eastAsiaTheme="minorEastAsia"/>
                <w:u w:val="single"/>
              </w:rPr>
            </w:pPr>
          </w:p>
        </w:tc>
        <w:tc>
          <w:tcPr>
            <w:tcW w:w="1724" w:type="dxa"/>
          </w:tcPr>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r>
              <w:rPr>
                <w:color w:val="000000" w:themeColor="text1"/>
                <w:lang w:val="en-US"/>
              </w:rPr>
              <w:t>medium priority</w:t>
            </w: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lang w:val="en-US"/>
              </w:rPr>
            </w:pPr>
          </w:p>
          <w:p>
            <w:pPr>
              <w:spacing w:after="0"/>
              <w:rPr>
                <w:lang w:val="en-US"/>
              </w:rPr>
            </w:pPr>
          </w:p>
          <w:p>
            <w:pPr>
              <w:spacing w:after="0"/>
              <w:rPr>
                <w:rFonts w:eastAsiaTheme="minorEastAsia"/>
                <w:lang w:val="en-US"/>
              </w:rPr>
            </w:pPr>
            <w:r>
              <w:rPr>
                <w:lang w:val="en-US"/>
              </w:rPr>
              <w:t>low priority</w:t>
            </w:r>
          </w:p>
        </w:tc>
      </w:tr>
      <w:tr>
        <w:tc>
          <w:tcPr>
            <w:tcW w:w="1583" w:type="dxa"/>
          </w:tcPr>
          <w:p>
            <w:r>
              <w:t>Qualcomm</w:t>
            </w:r>
          </w:p>
        </w:tc>
        <w:tc>
          <w:tcPr>
            <w:tcW w:w="6105" w:type="dxa"/>
          </w:tcPr>
          <w:p>
            <w:r>
              <w:t xml:space="preserve">For FR1 NR-U, we see many of the essential items are completed in Rel.16. Instead of doing small enhancements to areas already extensively discussed in Rel.16 NR-U, we would prefer to spend more time on new areas and only introduce necessary enhancements to existing features if issues have been identified. On the other hand, NR-U should not be left out for Rel.17 evolution and should be considered in other Rel.17 work items (such as multi-TRP, NR-Light, multi-cast, positioning, sidelink, etc) with NR-U impact (similar to how NR-U was handled in 2-step RACH work item in Rel.16). </w:t>
            </w:r>
          </w:p>
          <w:p>
            <w:r>
              <w:t>However, some features are not very easy for other work items to pick up, especially for features channel access related. If there is a separate Rel.17 FR1 NR-U work item, we would like to focus on</w:t>
            </w:r>
          </w:p>
          <w:p>
            <w:pPr>
              <w:pStyle w:val="ListParagraph"/>
              <w:numPr>
                <w:ilvl w:val="0"/>
                <w:numId w:val="34"/>
              </w:numPr>
            </w:pPr>
            <w:r>
              <w:lastRenderedPageBreak/>
              <w:t>Channel access enhancements including message-based coexistence enhancement with NR-U waveform, receiver assisted LBT, coordinated LBT across multiple nodes and COT sharing enhancements, FBE enhancement for URLLC use case</w:t>
            </w:r>
          </w:p>
          <w:p>
            <w:pPr>
              <w:pStyle w:val="ListParagraph"/>
              <w:numPr>
                <w:ilvl w:val="0"/>
                <w:numId w:val="34"/>
              </w:numPr>
            </w:pPr>
            <w:r>
              <w:t>NR-U specific power saving features, including paging enhancement, DRX enhancements, WUS enhancements for unlicensed band, lower capability NR-U UEs (Some of these are in RAN2 scope)</w:t>
            </w:r>
          </w:p>
          <w:p>
            <w:r>
              <w:t>Some other features may worth introducing include:</w:t>
            </w:r>
          </w:p>
          <w:p>
            <w:pPr>
              <w:pStyle w:val="ListParagraph"/>
              <w:numPr>
                <w:ilvl w:val="0"/>
                <w:numId w:val="34"/>
              </w:numPr>
            </w:pPr>
            <w:r>
              <w:t>CSI-RS enhancement (CSI-RS in DRS)</w:t>
            </w:r>
          </w:p>
          <w:p>
            <w:pPr>
              <w:pStyle w:val="ListParagraph"/>
              <w:numPr>
                <w:ilvl w:val="0"/>
                <w:numId w:val="34"/>
              </w:numPr>
            </w:pPr>
            <w:r>
              <w:t>Triggered PRACH in gNB COT</w:t>
            </w:r>
          </w:p>
          <w:p>
            <w:pPr>
              <w:pStyle w:val="ListParagraph"/>
              <w:numPr>
                <w:ilvl w:val="0"/>
                <w:numId w:val="34"/>
              </w:numPr>
            </w:pPr>
            <w:r>
              <w:t>PDCCH monitoring enhancement (time/frequency domain monitoring pattern change depends on COT-SI)</w:t>
            </w:r>
          </w:p>
          <w:p>
            <w:pPr>
              <w:spacing w:after="0"/>
              <w:rPr>
                <w:color w:val="000000" w:themeColor="text1"/>
                <w:lang w:val="en-US"/>
              </w:rPr>
            </w:pPr>
            <w:r>
              <w:t>We do not see a strong need to further optimize DL/UL waveform, HARQ procedures, CG procedures, wideband operations in Rel.17. We can further optimize in future release when more issues have been identified</w:t>
            </w:r>
          </w:p>
        </w:tc>
        <w:tc>
          <w:tcPr>
            <w:tcW w:w="1724" w:type="dxa"/>
          </w:tcPr>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r>
              <w:rPr>
                <w:color w:val="000000" w:themeColor="text1"/>
                <w:lang w:val="en-US"/>
              </w:rPr>
              <w:lastRenderedPageBreak/>
              <w:t>High priority</w:t>
            </w: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r>
              <w:rPr>
                <w:color w:val="000000" w:themeColor="text1"/>
                <w:lang w:val="en-US"/>
              </w:rPr>
              <w:t>High priority</w:t>
            </w: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r>
              <w:rPr>
                <w:color w:val="000000" w:themeColor="text1"/>
                <w:lang w:val="en-US"/>
              </w:rPr>
              <w:t>Medium priority</w:t>
            </w:r>
          </w:p>
          <w:p>
            <w:pPr>
              <w:spacing w:after="0"/>
              <w:rPr>
                <w:color w:val="000000" w:themeColor="text1"/>
                <w:lang w:val="en-US"/>
              </w:rPr>
            </w:pPr>
            <w:r>
              <w:rPr>
                <w:color w:val="000000" w:themeColor="text1"/>
                <w:lang w:val="en-US"/>
              </w:rPr>
              <w:t>Medium priority</w:t>
            </w:r>
          </w:p>
          <w:p>
            <w:pPr>
              <w:spacing w:after="0"/>
              <w:rPr>
                <w:color w:val="000000" w:themeColor="text1"/>
                <w:lang w:val="en-US"/>
              </w:rPr>
            </w:pPr>
            <w:r>
              <w:rPr>
                <w:color w:val="000000" w:themeColor="text1"/>
                <w:lang w:val="en-US"/>
              </w:rPr>
              <w:t>Medium priority</w:t>
            </w:r>
          </w:p>
          <w:p>
            <w:pPr>
              <w:spacing w:after="0"/>
              <w:rPr>
                <w:color w:val="000000" w:themeColor="text1"/>
                <w:lang w:val="en-US"/>
              </w:rPr>
            </w:pPr>
          </w:p>
          <w:p>
            <w:pPr>
              <w:spacing w:after="0"/>
              <w:rPr>
                <w:color w:val="000000" w:themeColor="text1"/>
                <w:lang w:val="en-US"/>
              </w:rPr>
            </w:pPr>
          </w:p>
          <w:p>
            <w:pPr>
              <w:spacing w:after="0"/>
              <w:rPr>
                <w:color w:val="000000" w:themeColor="text1"/>
                <w:lang w:val="en-US"/>
              </w:rPr>
            </w:pPr>
            <w:r>
              <w:rPr>
                <w:color w:val="000000" w:themeColor="text1"/>
                <w:lang w:val="en-US"/>
              </w:rPr>
              <w:t>Low prioirty</w:t>
            </w:r>
          </w:p>
        </w:tc>
      </w:tr>
      <w:tr>
        <w:tc>
          <w:tcPr>
            <w:tcW w:w="1583" w:type="dxa"/>
          </w:tcPr>
          <w:p>
            <w:r>
              <w:lastRenderedPageBreak/>
              <w:t>Charter Communications</w:t>
            </w:r>
          </w:p>
        </w:tc>
        <w:tc>
          <w:tcPr>
            <w:tcW w:w="6105" w:type="dxa"/>
          </w:tcPr>
          <w:p>
            <w:r>
              <w:t>We prefer a dedicated WI for NR-U enhancements on following topics:</w:t>
            </w:r>
          </w:p>
          <w:p/>
          <w:p>
            <w:r>
              <w:t>High Priority (a)</w:t>
            </w:r>
          </w:p>
          <w:p>
            <w:pPr>
              <w:pStyle w:val="ListParagraph"/>
              <w:numPr>
                <w:ilvl w:val="0"/>
                <w:numId w:val="35"/>
              </w:numPr>
            </w:pPr>
            <w:r>
              <w:t>RACH resource enhancements for msg1 (multiple frequency opportunities) (RAN1)</w:t>
            </w:r>
          </w:p>
          <w:p>
            <w:pPr>
              <w:pStyle w:val="ListParagraph"/>
              <w:numPr>
                <w:ilvl w:val="0"/>
                <w:numId w:val="35"/>
              </w:numPr>
            </w:pPr>
            <w:r>
              <w:t>6GHz band characterization [if not completed in Rel-16 NR-U WI] (RAN4)</w:t>
            </w:r>
          </w:p>
          <w:p>
            <w:pPr>
              <w:pStyle w:val="ListParagraph"/>
              <w:numPr>
                <w:ilvl w:val="0"/>
                <w:numId w:val="35"/>
              </w:numPr>
            </w:pPr>
            <w:r>
              <w:t>Standardized solution to PCI collision in a non-homogenous environment (RAN2)</w:t>
            </w:r>
          </w:p>
          <w:p>
            <w:pPr>
              <w:pStyle w:val="ListParagraph"/>
              <w:numPr>
                <w:ilvl w:val="0"/>
                <w:numId w:val="35"/>
              </w:numPr>
            </w:pPr>
            <w:r>
              <w:t>Common preamble for operation in 6GHz unlicensed spectrum, for enhanced coexistence (RAN1/RAN2/RAN4)</w:t>
            </w:r>
          </w:p>
          <w:p/>
          <w:p>
            <w:r>
              <w:t>Medium Priority (b)</w:t>
            </w:r>
          </w:p>
          <w:p>
            <w:pPr>
              <w:pStyle w:val="ListParagraph"/>
              <w:numPr>
                <w:ilvl w:val="0"/>
                <w:numId w:val="35"/>
              </w:numPr>
            </w:pPr>
            <w:r>
              <w:t>Wideband operation enhancements such as Alt. 2 for UL (RAN1/RAN4)</w:t>
            </w:r>
          </w:p>
          <w:p>
            <w:pPr>
              <w:pStyle w:val="ListParagraph"/>
              <w:numPr>
                <w:ilvl w:val="0"/>
                <w:numId w:val="35"/>
              </w:numPr>
            </w:pPr>
            <w:r>
              <w:t>RRM/RLM leftovers (RAN1)</w:t>
            </w:r>
          </w:p>
          <w:p>
            <w:pPr>
              <w:pStyle w:val="ListParagraph"/>
              <w:numPr>
                <w:ilvl w:val="0"/>
                <w:numId w:val="35"/>
              </w:numPr>
            </w:pPr>
            <w:r>
              <w:t>SI transmission enhancements when all SIBs do not fit in one message (RAN2)</w:t>
            </w:r>
          </w:p>
          <w:p>
            <w:pPr>
              <w:pStyle w:val="ListParagraph"/>
              <w:numPr>
                <w:ilvl w:val="0"/>
                <w:numId w:val="35"/>
              </w:numPr>
            </w:pPr>
            <w:r>
              <w:t>DRX optimization based on gNB channel access (RAN2, RAN1)</w:t>
            </w:r>
          </w:p>
          <w:p>
            <w:pPr>
              <w:pStyle w:val="ListParagraph"/>
              <w:numPr>
                <w:ilvl w:val="0"/>
                <w:numId w:val="35"/>
              </w:numPr>
            </w:pPr>
            <w:r>
              <w:t>Paging enhancements via early notification of upcoming paging (RAN2, RAN1)</w:t>
            </w:r>
          </w:p>
          <w:p>
            <w:pPr>
              <w:pStyle w:val="ListParagraph"/>
              <w:numPr>
                <w:ilvl w:val="0"/>
                <w:numId w:val="35"/>
              </w:numPr>
            </w:pPr>
            <w:r>
              <w:t>2-Step RACH for unlicensed spectrum (leftovers)</w:t>
            </w:r>
          </w:p>
          <w:p/>
          <w:p>
            <w:r>
              <w:t>Low Priority (c)</w:t>
            </w:r>
          </w:p>
          <w:p>
            <w:pPr>
              <w:pStyle w:val="ListParagraph"/>
              <w:numPr>
                <w:ilvl w:val="0"/>
                <w:numId w:val="35"/>
              </w:numPr>
            </w:pPr>
            <w:r>
              <w:t>Configured grant (CG) enhancements for multiple active CGs, resolving CG and dynamic grant issues such as HARQ allocation (RAN1, RAN2)</w:t>
            </w:r>
          </w:p>
          <w:p>
            <w:pPr>
              <w:pStyle w:val="ListParagraph"/>
              <w:numPr>
                <w:ilvl w:val="0"/>
                <w:numId w:val="35"/>
              </w:numPr>
            </w:pPr>
            <w:r>
              <w:t>UL LBT failure detection leftovers (RAN2)</w:t>
            </w:r>
          </w:p>
          <w:p>
            <w:pPr>
              <w:pStyle w:val="ListParagraph"/>
              <w:numPr>
                <w:ilvl w:val="0"/>
                <w:numId w:val="35"/>
              </w:numPr>
            </w:pPr>
            <w:r>
              <w:t>NRU-related HO/CHO event-triggers specific to NR-U (RAN2)</w:t>
            </w:r>
          </w:p>
        </w:tc>
        <w:tc>
          <w:tcPr>
            <w:tcW w:w="1724" w:type="dxa"/>
          </w:tcPr>
          <w:p>
            <w:pPr>
              <w:spacing w:after="0"/>
            </w:pPr>
          </w:p>
          <w:p>
            <w:pPr>
              <w:spacing w:after="0"/>
            </w:pPr>
          </w:p>
          <w:p>
            <w:pPr>
              <w:spacing w:after="0"/>
            </w:pPr>
          </w:p>
          <w:p>
            <w:pPr>
              <w:spacing w:after="0"/>
            </w:pPr>
          </w:p>
          <w:p>
            <w:pPr>
              <w:spacing w:after="0"/>
            </w:pPr>
            <w:r>
              <w:t>High Priority (a)</w:t>
            </w: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w:t>Medium Priority (b)</w:t>
            </w: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w:t>Low Priority (c)</w:t>
            </w:r>
          </w:p>
          <w:p>
            <w:pPr>
              <w:spacing w:after="0"/>
              <w:rPr>
                <w:color w:val="000000" w:themeColor="text1"/>
                <w:lang w:val="en-US"/>
              </w:rPr>
            </w:pPr>
          </w:p>
        </w:tc>
      </w:tr>
      <w:tr>
        <w:tc>
          <w:tcPr>
            <w:tcW w:w="1583" w:type="dxa"/>
          </w:tcPr>
          <w:p>
            <w:r>
              <w:t>Mediatek</w:t>
            </w:r>
          </w:p>
        </w:tc>
        <w:tc>
          <w:tcPr>
            <w:tcW w:w="6105" w:type="dxa"/>
          </w:tcPr>
          <w:p>
            <w:r>
              <w:t>We think a dedicated WI for NR-U enhancements is necessary, since there are some core features that cannot be easily integrated into other WIs. The following list details the enhancements we would like to focus on, together with their corresponding priorities:</w:t>
            </w:r>
          </w:p>
          <w:p>
            <w:pPr>
              <w:pStyle w:val="ListParagraph"/>
              <w:numPr>
                <w:ilvl w:val="0"/>
                <w:numId w:val="36"/>
              </w:numPr>
            </w:pPr>
            <w:r>
              <w:lastRenderedPageBreak/>
              <w:t xml:space="preserve">Coexistence enhancements: </w:t>
            </w:r>
          </w:p>
          <w:p>
            <w:pPr>
              <w:pStyle w:val="ListParagraph"/>
              <w:numPr>
                <w:ilvl w:val="1"/>
                <w:numId w:val="36"/>
              </w:numPr>
            </w:pPr>
            <w:r>
              <w:t>Introduce RTS/CTS (request-to-send/clear-to-send) mechanism to NR-U to enhance coexistence and mitigate impact of hidden nodes</w:t>
            </w:r>
          </w:p>
          <w:p>
            <w:pPr>
              <w:pStyle w:val="ListParagraph"/>
              <w:numPr>
                <w:ilvl w:val="1"/>
                <w:numId w:val="36"/>
              </w:numPr>
            </w:pPr>
            <w:r>
              <w:rPr>
                <w:rFonts w:eastAsia="SimSun"/>
                <w:color w:val="000000"/>
                <w:lang w:eastAsia="ja-JP"/>
              </w:rPr>
              <w:t>“Common” preamble at least among NR-U devices</w:t>
            </w:r>
          </w:p>
          <w:p>
            <w:pPr>
              <w:pStyle w:val="ListParagraph"/>
              <w:numPr>
                <w:ilvl w:val="0"/>
                <w:numId w:val="36"/>
              </w:numPr>
            </w:pPr>
            <w:r>
              <w:t>Initial access and mobility enhancements (if no finalized agreements made in next RAN1 meeting):</w:t>
            </w:r>
          </w:p>
          <w:p>
            <w:pPr>
              <w:pStyle w:val="ListParagraph"/>
              <w:numPr>
                <w:ilvl w:val="1"/>
                <w:numId w:val="36"/>
              </w:numPr>
            </w:pPr>
            <w:r>
              <w:t>In-sync/out-of-sync indications in RLM are not yet discussed in NR-U</w:t>
            </w:r>
          </w:p>
          <w:p>
            <w:pPr>
              <w:pStyle w:val="ListParagraph"/>
              <w:numPr>
                <w:ilvl w:val="1"/>
                <w:numId w:val="36"/>
              </w:numPr>
            </w:pPr>
            <w:r>
              <w:rPr>
                <w:rFonts w:eastAsia="SimSun"/>
                <w:color w:val="000000"/>
                <w:lang w:eastAsia="ja-JP"/>
              </w:rPr>
              <w:t>2-step RACH in NR-U</w:t>
            </w:r>
          </w:p>
          <w:p>
            <w:pPr>
              <w:pStyle w:val="ListParagraph"/>
              <w:numPr>
                <w:ilvl w:val="0"/>
                <w:numId w:val="36"/>
              </w:numPr>
              <w:rPr>
                <w:lang w:val="en-US"/>
              </w:rPr>
            </w:pPr>
            <w:r>
              <w:rPr>
                <w:lang w:val="en-US"/>
              </w:rPr>
              <w:t>FBE enhancements (</w:t>
            </w:r>
            <w:r>
              <w:rPr>
                <w:u w:val="single"/>
                <w:lang w:val="en-US"/>
              </w:rPr>
              <w:t>F</w:t>
            </w:r>
            <w:r>
              <w:rPr>
                <w:lang w:val="en-US"/>
              </w:rPr>
              <w:t xml:space="preserve">ixed-frame </w:t>
            </w:r>
            <w:r>
              <w:rPr>
                <w:u w:val="single"/>
                <w:lang w:val="en-US"/>
              </w:rPr>
              <w:t>B</w:t>
            </w:r>
            <w:r>
              <w:rPr>
                <w:lang w:val="en-US"/>
              </w:rPr>
              <w:t xml:space="preserve">ased </w:t>
            </w:r>
            <w:r>
              <w:rPr>
                <w:u w:val="single"/>
                <w:lang w:val="en-US"/>
              </w:rPr>
              <w:t>E</w:t>
            </w:r>
            <w:r>
              <w:rPr>
                <w:lang w:val="en-US"/>
              </w:rPr>
              <w:t>quipment):</w:t>
            </w:r>
          </w:p>
          <w:p>
            <w:pPr>
              <w:pStyle w:val="ListParagraph"/>
              <w:numPr>
                <w:ilvl w:val="1"/>
                <w:numId w:val="36"/>
              </w:numPr>
              <w:rPr>
                <w:lang w:val="en-US"/>
              </w:rPr>
            </w:pPr>
            <w:r>
              <w:rPr>
                <w:lang w:val="en-US"/>
              </w:rPr>
              <w:t>Details to support UE to function as initiating device, if not agreed in R16</w:t>
            </w:r>
          </w:p>
          <w:p>
            <w:pPr>
              <w:pStyle w:val="ListParagraph"/>
              <w:numPr>
                <w:ilvl w:val="1"/>
                <w:numId w:val="36"/>
              </w:numPr>
              <w:rPr>
                <w:lang w:val="en-US"/>
              </w:rPr>
            </w:pPr>
            <w:r>
              <w:rPr>
                <w:lang w:val="en-US"/>
              </w:rPr>
              <w:t>Mechanisms to enhance channel utilization in FBE operation</w:t>
            </w:r>
          </w:p>
          <w:p>
            <w:pPr>
              <w:pStyle w:val="ListParagraph"/>
              <w:numPr>
                <w:ilvl w:val="0"/>
                <w:numId w:val="36"/>
              </w:numPr>
              <w:rPr>
                <w:lang w:val="en-US"/>
              </w:rPr>
            </w:pPr>
            <w:r>
              <w:rPr>
                <w:lang w:val="en-US"/>
              </w:rPr>
              <w:t>Wideband operation enhancements:</w:t>
            </w:r>
          </w:p>
          <w:p>
            <w:pPr>
              <w:pStyle w:val="ListParagraph"/>
              <w:numPr>
                <w:ilvl w:val="1"/>
                <w:numId w:val="36"/>
              </w:numPr>
              <w:rPr>
                <w:lang w:val="en-US"/>
              </w:rPr>
            </w:pPr>
            <w:r>
              <w:rPr>
                <w:lang w:val="en-US"/>
              </w:rPr>
              <w:t>Multiple UL transmission opportunities across LBT sub-bands/carriers to mitigate impact of LBT failure</w:t>
            </w:r>
          </w:p>
          <w:p>
            <w:pPr>
              <w:pStyle w:val="ListParagraph"/>
              <w:numPr>
                <w:ilvl w:val="1"/>
                <w:numId w:val="36"/>
              </w:numPr>
              <w:rPr>
                <w:lang w:val="en-US"/>
              </w:rPr>
            </w:pPr>
            <w:r>
              <w:rPr>
                <w:lang w:val="en-US"/>
              </w:rPr>
              <w:t>Utilization of guard bands between sub-bands for slots that are not initial slots in channel occupancy</w:t>
            </w:r>
          </w:p>
        </w:tc>
        <w:tc>
          <w:tcPr>
            <w:tcW w:w="1724" w:type="dxa"/>
          </w:tcPr>
          <w:p>
            <w:pPr>
              <w:spacing w:after="0"/>
            </w:pPr>
          </w:p>
          <w:p>
            <w:pPr>
              <w:spacing w:after="0"/>
            </w:pPr>
          </w:p>
          <w:p>
            <w:pPr>
              <w:spacing w:after="0"/>
            </w:pPr>
          </w:p>
          <w:p>
            <w:pPr>
              <w:spacing w:after="0"/>
            </w:pPr>
          </w:p>
          <w:p>
            <w:pPr>
              <w:spacing w:after="0"/>
            </w:pPr>
          </w:p>
          <w:p>
            <w:pPr>
              <w:spacing w:after="0"/>
            </w:pPr>
          </w:p>
          <w:p>
            <w:pPr>
              <w:spacing w:after="0"/>
            </w:pPr>
            <w:r>
              <w:t>High Priority</w:t>
            </w:r>
          </w:p>
          <w:p>
            <w:pPr>
              <w:spacing w:after="0"/>
            </w:pPr>
          </w:p>
          <w:p>
            <w:pPr>
              <w:spacing w:after="0"/>
            </w:pPr>
          </w:p>
          <w:p>
            <w:pPr>
              <w:spacing w:after="0"/>
            </w:pPr>
            <w:r>
              <w:t>High Priority</w:t>
            </w:r>
          </w:p>
          <w:p>
            <w:pPr>
              <w:spacing w:after="0"/>
            </w:pPr>
          </w:p>
          <w:p>
            <w:pPr>
              <w:spacing w:after="0"/>
            </w:pPr>
          </w:p>
          <w:p>
            <w:pPr>
              <w:spacing w:after="0"/>
            </w:pPr>
            <w:r>
              <w:t>High Priority</w:t>
            </w:r>
          </w:p>
          <w:p>
            <w:pPr>
              <w:spacing w:after="0"/>
            </w:pPr>
          </w:p>
          <w:p>
            <w:pPr>
              <w:spacing w:after="0"/>
            </w:pPr>
            <w:r>
              <w:t>High Priority</w:t>
            </w:r>
          </w:p>
          <w:p>
            <w:pPr>
              <w:spacing w:after="0"/>
            </w:pPr>
          </w:p>
          <w:p>
            <w:pPr>
              <w:spacing w:after="0"/>
            </w:pPr>
            <w:r>
              <w:t>High Priority</w:t>
            </w:r>
          </w:p>
          <w:p>
            <w:pPr>
              <w:spacing w:after="0"/>
            </w:pPr>
          </w:p>
          <w:p>
            <w:pPr>
              <w:spacing w:after="0"/>
            </w:pPr>
            <w:r>
              <w:t>High Priority</w:t>
            </w:r>
          </w:p>
          <w:p>
            <w:pPr>
              <w:spacing w:after="0"/>
            </w:pPr>
          </w:p>
          <w:p>
            <w:pPr>
              <w:spacing w:after="0"/>
            </w:pPr>
          </w:p>
          <w:p>
            <w:pPr>
              <w:spacing w:after="0"/>
            </w:pPr>
            <w:r>
              <w:t>High Priority</w:t>
            </w:r>
          </w:p>
          <w:p>
            <w:pPr>
              <w:spacing w:after="0"/>
            </w:pPr>
          </w:p>
          <w:p>
            <w:pPr>
              <w:spacing w:after="0"/>
            </w:pPr>
            <w:r>
              <w:t>Medium Priority</w:t>
            </w:r>
          </w:p>
          <w:p>
            <w:pPr>
              <w:spacing w:after="0"/>
            </w:pPr>
          </w:p>
        </w:tc>
      </w:tr>
      <w:tr>
        <w:tc>
          <w:tcPr>
            <w:tcW w:w="1583" w:type="dxa"/>
          </w:tcPr>
          <w:p>
            <w:r>
              <w:lastRenderedPageBreak/>
              <w:t>ZTE</w:t>
            </w:r>
          </w:p>
        </w:tc>
        <w:tc>
          <w:tcPr>
            <w:tcW w:w="6105" w:type="dxa"/>
          </w:tcPr>
          <w:p>
            <w:r>
              <w:t>Whether a separate Work Item is needed for NR-U in Rel-17 depends on the scope of enhancements. In our view, the following aspects can be considered for unlicensed operation for sub-7 GHz and beyond 7 GHz:</w:t>
            </w:r>
          </w:p>
          <w:p>
            <w:r>
              <w:t>RAN1:</w:t>
            </w:r>
          </w:p>
          <w:p>
            <w:pPr>
              <w:pStyle w:val="ListParagraph"/>
              <w:numPr>
                <w:ilvl w:val="0"/>
                <w:numId w:val="39"/>
              </w:numPr>
              <w:rPr>
                <w:rFonts w:ascii="Arial" w:hAnsi="Arial"/>
              </w:rPr>
            </w:pPr>
            <w:r>
              <w:t xml:space="preserve">Directional LBT </w:t>
            </w:r>
          </w:p>
          <w:p>
            <w:pPr>
              <w:pStyle w:val="ListParagraph"/>
              <w:numPr>
                <w:ilvl w:val="0"/>
                <w:numId w:val="39"/>
              </w:numPr>
              <w:rPr>
                <w:rFonts w:ascii="Arial" w:hAnsi="Arial"/>
              </w:rPr>
            </w:pPr>
            <w:r>
              <w:t>LBT to facilitate spatial reuse</w:t>
            </w:r>
          </w:p>
          <w:p>
            <w:pPr>
              <w:pStyle w:val="ListParagraph"/>
              <w:numPr>
                <w:ilvl w:val="0"/>
                <w:numId w:val="39"/>
              </w:numPr>
              <w:rPr>
                <w:rFonts w:ascii="Arial" w:hAnsi="Arial"/>
              </w:rPr>
            </w:pPr>
            <w:r>
              <w:t>Receiver assisted LBT</w:t>
            </w:r>
          </w:p>
          <w:p>
            <w:pPr>
              <w:pStyle w:val="ListParagraph"/>
              <w:numPr>
                <w:ilvl w:val="0"/>
                <w:numId w:val="39"/>
              </w:numPr>
              <w:rPr>
                <w:rFonts w:ascii="Arial" w:hAnsi="Arial"/>
              </w:rPr>
            </w:pPr>
            <w:r>
              <w:t>Enhancement on DRS/SSB</w:t>
            </w:r>
          </w:p>
          <w:p>
            <w:pPr>
              <w:pStyle w:val="ListParagraph"/>
              <w:numPr>
                <w:ilvl w:val="0"/>
                <w:numId w:val="39"/>
              </w:numPr>
              <w:rPr>
                <w:rFonts w:ascii="Arial" w:hAnsi="Arial"/>
              </w:rPr>
            </w:pPr>
            <w:r>
              <w:t>2-stage UL grant</w:t>
            </w:r>
          </w:p>
          <w:p>
            <w:pPr>
              <w:pStyle w:val="ListParagraph"/>
              <w:numPr>
                <w:ilvl w:val="0"/>
                <w:numId w:val="39"/>
              </w:numPr>
              <w:rPr>
                <w:rFonts w:ascii="Arial" w:hAnsi="Arial"/>
              </w:rPr>
            </w:pPr>
            <w:r>
              <w:t>CWS adjustment (not finished in Rel-16)</w:t>
            </w:r>
          </w:p>
          <w:p>
            <w:pPr>
              <w:pStyle w:val="ListParagraph"/>
              <w:numPr>
                <w:ilvl w:val="0"/>
                <w:numId w:val="39"/>
              </w:numPr>
              <w:rPr>
                <w:rFonts w:ascii="Arial" w:hAnsi="Arial"/>
              </w:rPr>
            </w:pPr>
            <w:r>
              <w:t>CBG based transmission with configured grant resource and HARQ feedback for TB &amp; CBG hybrid feedback</w:t>
            </w:r>
          </w:p>
          <w:p>
            <w:pPr>
              <w:pStyle w:val="ListParagraph"/>
              <w:numPr>
                <w:ilvl w:val="0"/>
                <w:numId w:val="39"/>
              </w:numPr>
              <w:rPr>
                <w:rFonts w:ascii="Arial" w:hAnsi="Arial"/>
              </w:rPr>
            </w:pPr>
            <w:r>
              <w:t>Multiple starting position within a PUSCH</w:t>
            </w:r>
          </w:p>
          <w:p>
            <w:pPr>
              <w:pStyle w:val="ListParagraph"/>
              <w:numPr>
                <w:ilvl w:val="0"/>
                <w:numId w:val="40"/>
              </w:numPr>
              <w:rPr>
                <w:rFonts w:ascii="Arial" w:hAnsi="Arial"/>
              </w:rPr>
            </w:pPr>
            <w:r>
              <w:t>Multiple frequency domain opportunities for HARQ ACK in UL CA case and/or wideband CC case</w:t>
            </w:r>
          </w:p>
          <w:p>
            <w:pPr>
              <w:pStyle w:val="ListParagraph"/>
              <w:numPr>
                <w:ilvl w:val="0"/>
                <w:numId w:val="40"/>
              </w:numPr>
              <w:rPr>
                <w:rFonts w:ascii="Arial" w:hAnsi="Arial"/>
              </w:rPr>
            </w:pPr>
            <w:r>
              <w:t>Support non-contiguous PUSCH in wideband operation</w:t>
            </w:r>
          </w:p>
          <w:p>
            <w:r>
              <w:t>RAN2:</w:t>
            </w:r>
          </w:p>
          <w:p>
            <w:pPr>
              <w:pStyle w:val="ListParagraph"/>
              <w:numPr>
                <w:ilvl w:val="0"/>
                <w:numId w:val="39"/>
              </w:numPr>
            </w:pPr>
            <w:r>
              <w:t>Multiple transmission opportunities for Msg 1and Msg 3</w:t>
            </w:r>
          </w:p>
          <w:p>
            <w:pPr>
              <w:pStyle w:val="ListParagraph"/>
              <w:numPr>
                <w:ilvl w:val="0"/>
                <w:numId w:val="39"/>
              </w:numPr>
            </w:pPr>
            <w:r>
              <w:t>PDCP duplication</w:t>
            </w:r>
          </w:p>
          <w:p>
            <w:pPr>
              <w:pStyle w:val="ListParagraph"/>
              <w:numPr>
                <w:ilvl w:val="0"/>
                <w:numId w:val="39"/>
              </w:numPr>
            </w:pPr>
            <w:r>
              <w:t>DC and CA enhancements</w:t>
            </w:r>
          </w:p>
          <w:p>
            <w:pPr>
              <w:pStyle w:val="ListParagraph"/>
              <w:numPr>
                <w:ilvl w:val="0"/>
                <w:numId w:val="39"/>
              </w:numPr>
            </w:pPr>
            <w:r>
              <w:t>MDT</w:t>
            </w:r>
          </w:p>
          <w:p>
            <w:pPr>
              <w:pStyle w:val="ListParagraph"/>
              <w:numPr>
                <w:ilvl w:val="0"/>
                <w:numId w:val="39"/>
              </w:numPr>
            </w:pPr>
            <w:r>
              <w:t>Mobility enhancement in idle/inactive and connected mode</w:t>
            </w:r>
          </w:p>
        </w:tc>
        <w:tc>
          <w:tcPr>
            <w:tcW w:w="1724" w:type="dxa"/>
          </w:tcPr>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w:t>Medium Priority</w:t>
            </w:r>
          </w:p>
        </w:tc>
      </w:tr>
      <w:tr>
        <w:tc>
          <w:tcPr>
            <w:tcW w:w="1583" w:type="dxa"/>
          </w:tcPr>
          <w:p>
            <w:r>
              <w:t>OPPO</w:t>
            </w:r>
          </w:p>
        </w:tc>
        <w:tc>
          <w:tcPr>
            <w:tcW w:w="6105" w:type="dxa"/>
          </w:tcPr>
          <w:p>
            <w:pPr>
              <w:jc w:val="both"/>
              <w:rPr>
                <w:rFonts w:eastAsia="Yu Mincho"/>
              </w:rPr>
            </w:pPr>
            <w:r>
              <w:rPr>
                <w:rFonts w:eastAsia="Yu Mincho"/>
              </w:rPr>
              <w:t xml:space="preserve">We think that a separate WI for Rel.17 NRU needs to be considered for the following reasons: we have identified quite amount of necessary enhancements during the SI phase. These enhancements were supposed to be done in Rel.16. But due to the time constraints, most of them were down-scoped in June plenary meeting. Thus, we believe that we need to finalize these engaged enhancements in Rel.17 and this deserves a separate WI. </w:t>
            </w:r>
          </w:p>
          <w:p>
            <w:pPr>
              <w:jc w:val="both"/>
              <w:rPr>
                <w:rFonts w:eastAsia="Yu Mincho"/>
              </w:rPr>
            </w:pPr>
            <w:r>
              <w:rPr>
                <w:rFonts w:eastAsia="Yu Mincho" w:hint="eastAsia"/>
              </w:rPr>
              <w:t>L</w:t>
            </w:r>
            <w:r>
              <w:rPr>
                <w:rFonts w:eastAsia="Yu Mincho"/>
              </w:rPr>
              <w:t>isted down-scoped items, which were originally planned for Rel.16:</w:t>
            </w:r>
          </w:p>
          <w:p>
            <w:pPr>
              <w:spacing w:after="0"/>
              <w:rPr>
                <w:rFonts w:eastAsia="Yu Mincho"/>
              </w:rPr>
            </w:pPr>
            <w:r>
              <w:rPr>
                <w:rFonts w:eastAsia="Yu Mincho"/>
              </w:rPr>
              <w:t>Initial signal and procedure</w:t>
            </w:r>
          </w:p>
          <w:p>
            <w:pPr>
              <w:numPr>
                <w:ilvl w:val="0"/>
                <w:numId w:val="41"/>
              </w:numPr>
              <w:spacing w:after="0"/>
              <w:rPr>
                <w:lang w:val="en-US"/>
              </w:rPr>
            </w:pPr>
            <w:r>
              <w:rPr>
                <w:lang w:val="en-US"/>
              </w:rPr>
              <w:t xml:space="preserve">CSI-RS FDM with SSB </w:t>
            </w:r>
          </w:p>
          <w:p>
            <w:pPr>
              <w:numPr>
                <w:ilvl w:val="0"/>
                <w:numId w:val="41"/>
              </w:numPr>
              <w:spacing w:after="0"/>
              <w:rPr>
                <w:lang w:val="en-US"/>
              </w:rPr>
            </w:pPr>
            <w:r>
              <w:rPr>
                <w:lang w:val="en-US"/>
              </w:rPr>
              <w:t>Additional PRACH numerology</w:t>
            </w:r>
          </w:p>
          <w:p>
            <w:pPr>
              <w:numPr>
                <w:ilvl w:val="0"/>
                <w:numId w:val="41"/>
              </w:numPr>
              <w:spacing w:after="0"/>
              <w:rPr>
                <w:lang w:val="en-US"/>
              </w:rPr>
            </w:pPr>
            <w:r>
              <w:rPr>
                <w:lang w:val="en-US"/>
              </w:rPr>
              <w:t>Multiplexing of PRACH and other channels</w:t>
            </w:r>
          </w:p>
          <w:p>
            <w:pPr>
              <w:numPr>
                <w:ilvl w:val="0"/>
                <w:numId w:val="41"/>
              </w:numPr>
              <w:spacing w:after="0"/>
              <w:rPr>
                <w:lang w:val="en-US"/>
              </w:rPr>
            </w:pPr>
            <w:r>
              <w:rPr>
                <w:lang w:val="en-US"/>
              </w:rPr>
              <w:lastRenderedPageBreak/>
              <w:t>Whether to introduce LBT gap between ROs</w:t>
            </w:r>
          </w:p>
          <w:p>
            <w:pPr>
              <w:numPr>
                <w:ilvl w:val="0"/>
                <w:numId w:val="41"/>
              </w:numPr>
              <w:spacing w:after="0"/>
              <w:rPr>
                <w:lang w:val="en-US"/>
              </w:rPr>
            </w:pPr>
            <w:r>
              <w:rPr>
                <w:lang w:val="en-US"/>
              </w:rPr>
              <w:t>Msg1 enhancements with more opportunities in frequency domain (over multiple LBT subbands) and time domain</w:t>
            </w:r>
          </w:p>
          <w:p>
            <w:pPr>
              <w:numPr>
                <w:ilvl w:val="0"/>
                <w:numId w:val="41"/>
              </w:numPr>
              <w:spacing w:after="0"/>
              <w:rPr>
                <w:lang w:val="en-US"/>
              </w:rPr>
            </w:pPr>
            <w:r>
              <w:rPr>
                <w:lang w:val="en-US"/>
              </w:rPr>
              <w:t>RLM enhancement based on CSI-RS</w:t>
            </w:r>
          </w:p>
          <w:p>
            <w:pPr>
              <w:numPr>
                <w:ilvl w:val="0"/>
                <w:numId w:val="41"/>
              </w:numPr>
              <w:spacing w:after="0"/>
              <w:rPr>
                <w:lang w:val="en-US"/>
              </w:rPr>
            </w:pPr>
            <w:r>
              <w:rPr>
                <w:lang w:val="en-US"/>
              </w:rPr>
              <w:t>PRACH resource enhancements including connected mode UE and idle mode UE</w:t>
            </w:r>
          </w:p>
          <w:p>
            <w:pPr>
              <w:numPr>
                <w:ilvl w:val="0"/>
                <w:numId w:val="41"/>
              </w:numPr>
              <w:spacing w:after="0"/>
              <w:rPr>
                <w:lang w:val="en-US"/>
              </w:rPr>
            </w:pPr>
            <w:r>
              <w:rPr>
                <w:lang w:val="en-US"/>
              </w:rPr>
              <w:t>Msg3 enhancements including multiple opportunities and 2-step scheduling</w:t>
            </w:r>
          </w:p>
          <w:p>
            <w:pPr>
              <w:spacing w:before="240" w:after="0"/>
              <w:rPr>
                <w:rFonts w:eastAsia="Yu Mincho"/>
                <w:lang w:val="en-US"/>
              </w:rPr>
            </w:pPr>
            <w:r>
              <w:rPr>
                <w:rFonts w:eastAsia="Yu Mincho" w:hint="eastAsia"/>
                <w:lang w:val="en-US"/>
              </w:rPr>
              <w:t>DL</w:t>
            </w:r>
            <w:r>
              <w:rPr>
                <w:rFonts w:eastAsia="Yu Mincho"/>
                <w:lang w:val="en-US"/>
              </w:rPr>
              <w:t xml:space="preserve"> signal/channel</w:t>
            </w:r>
          </w:p>
          <w:p>
            <w:pPr>
              <w:numPr>
                <w:ilvl w:val="0"/>
                <w:numId w:val="43"/>
              </w:numPr>
              <w:spacing w:after="0"/>
              <w:rPr>
                <w:lang w:val="en-US"/>
              </w:rPr>
            </w:pPr>
            <w:r>
              <w:rPr>
                <w:lang w:val="en-US"/>
              </w:rPr>
              <w:t>CSI-RS enhancement outside of DRS</w:t>
            </w:r>
          </w:p>
          <w:p>
            <w:pPr>
              <w:numPr>
                <w:ilvl w:val="1"/>
                <w:numId w:val="43"/>
              </w:numPr>
              <w:spacing w:after="0"/>
              <w:rPr>
                <w:lang w:val="en-US"/>
              </w:rPr>
            </w:pPr>
            <w:r>
              <w:rPr>
                <w:lang w:val="en-US"/>
              </w:rPr>
              <w:t>More opportunities for CSI-RS to compensate the possible LBT failure</w:t>
            </w:r>
          </w:p>
          <w:p>
            <w:pPr>
              <w:numPr>
                <w:ilvl w:val="1"/>
                <w:numId w:val="43"/>
              </w:numPr>
              <w:spacing w:after="0"/>
              <w:rPr>
                <w:lang w:val="en-US"/>
              </w:rPr>
            </w:pPr>
            <w:r>
              <w:rPr>
                <w:lang w:val="en-US"/>
              </w:rPr>
              <w:t>A-TRS directly QCL with SSB</w:t>
            </w:r>
          </w:p>
          <w:p>
            <w:pPr>
              <w:numPr>
                <w:ilvl w:val="0"/>
                <w:numId w:val="43"/>
              </w:numPr>
              <w:spacing w:after="0"/>
              <w:rPr>
                <w:lang w:val="en-US"/>
              </w:rPr>
            </w:pPr>
            <w:r>
              <w:rPr>
                <w:lang w:val="en-US"/>
              </w:rPr>
              <w:t>Behavior when P/SP-CSI-RS fail to transmit due to LBT</w:t>
            </w:r>
          </w:p>
          <w:p>
            <w:pPr>
              <w:spacing w:before="240" w:after="0"/>
              <w:rPr>
                <w:rFonts w:eastAsia="Yu Mincho"/>
                <w:lang w:val="en-US"/>
              </w:rPr>
            </w:pPr>
            <w:r>
              <w:rPr>
                <w:rFonts w:eastAsia="Yu Mincho" w:hint="eastAsia"/>
                <w:lang w:val="en-US"/>
              </w:rPr>
              <w:t>U</w:t>
            </w:r>
            <w:r>
              <w:rPr>
                <w:rFonts w:eastAsia="Yu Mincho"/>
                <w:lang w:val="en-US"/>
              </w:rPr>
              <w:t>L signal/channel</w:t>
            </w:r>
          </w:p>
          <w:p>
            <w:pPr>
              <w:numPr>
                <w:ilvl w:val="0"/>
                <w:numId w:val="44"/>
              </w:numPr>
              <w:spacing w:after="0"/>
              <w:rPr>
                <w:lang w:val="en-US"/>
              </w:rPr>
            </w:pPr>
            <w:r>
              <w:rPr>
                <w:lang w:val="en-US"/>
              </w:rPr>
              <w:t>Alt-2 PUSCH with puncturing</w:t>
            </w:r>
          </w:p>
          <w:p>
            <w:pPr>
              <w:numPr>
                <w:ilvl w:val="0"/>
                <w:numId w:val="44"/>
              </w:numPr>
              <w:spacing w:after="0"/>
              <w:rPr>
                <w:lang w:val="en-US"/>
              </w:rPr>
            </w:pPr>
            <w:r>
              <w:rPr>
                <w:lang w:val="en-US"/>
              </w:rPr>
              <w:t>60KHz PUSCH interlaced waveform</w:t>
            </w:r>
          </w:p>
          <w:p>
            <w:pPr>
              <w:numPr>
                <w:ilvl w:val="0"/>
                <w:numId w:val="44"/>
              </w:numPr>
              <w:spacing w:after="0"/>
              <w:rPr>
                <w:lang w:val="en-US"/>
              </w:rPr>
            </w:pPr>
            <w:r>
              <w:rPr>
                <w:lang w:val="en-US"/>
              </w:rPr>
              <w:t xml:space="preserve">SRS waveform enhancement </w:t>
            </w:r>
          </w:p>
          <w:p>
            <w:pPr>
              <w:numPr>
                <w:ilvl w:val="0"/>
                <w:numId w:val="44"/>
              </w:numPr>
              <w:spacing w:after="0"/>
              <w:rPr>
                <w:lang w:val="en-US"/>
              </w:rPr>
            </w:pPr>
            <w:r>
              <w:rPr>
                <w:lang w:val="en-US"/>
              </w:rPr>
              <w:t>P/SP-SRS multiple opportunities</w:t>
            </w:r>
          </w:p>
          <w:p>
            <w:pPr>
              <w:numPr>
                <w:ilvl w:val="0"/>
                <w:numId w:val="44"/>
              </w:numPr>
              <w:spacing w:after="0"/>
              <w:rPr>
                <w:lang w:val="en-US"/>
              </w:rPr>
            </w:pPr>
            <w:r>
              <w:rPr>
                <w:lang w:val="en-US"/>
              </w:rPr>
              <w:t>PUCCH multiple opportunities for CSI report</w:t>
            </w:r>
          </w:p>
          <w:p>
            <w:pPr>
              <w:spacing w:before="240" w:after="0"/>
              <w:rPr>
                <w:rFonts w:eastAsia="Yu Mincho"/>
                <w:lang w:val="en-US"/>
              </w:rPr>
            </w:pPr>
            <w:r>
              <w:rPr>
                <w:rFonts w:eastAsia="Yu Mincho" w:hint="eastAsia"/>
                <w:lang w:val="en-US"/>
              </w:rPr>
              <w:t>C</w:t>
            </w:r>
            <w:r>
              <w:rPr>
                <w:rFonts w:eastAsia="Yu Mincho"/>
                <w:lang w:val="en-US"/>
              </w:rPr>
              <w:t>hannel access</w:t>
            </w:r>
          </w:p>
          <w:p>
            <w:pPr>
              <w:numPr>
                <w:ilvl w:val="0"/>
                <w:numId w:val="45"/>
              </w:numPr>
              <w:spacing w:after="0"/>
              <w:rPr>
                <w:lang w:val="en-US"/>
              </w:rPr>
            </w:pPr>
            <w:r>
              <w:rPr>
                <w:lang w:val="en-US"/>
              </w:rPr>
              <w:t>Wideband LBT with common measurement</w:t>
            </w:r>
          </w:p>
          <w:p>
            <w:pPr>
              <w:numPr>
                <w:ilvl w:val="0"/>
                <w:numId w:val="45"/>
              </w:numPr>
              <w:spacing w:after="0"/>
              <w:rPr>
                <w:lang w:val="en-US"/>
              </w:rPr>
            </w:pPr>
            <w:r>
              <w:rPr>
                <w:lang w:val="en-US"/>
              </w:rPr>
              <w:t>Directional LBT</w:t>
            </w:r>
          </w:p>
          <w:p>
            <w:pPr>
              <w:numPr>
                <w:ilvl w:val="0"/>
                <w:numId w:val="45"/>
              </w:numPr>
              <w:spacing w:after="0"/>
              <w:rPr>
                <w:lang w:val="en-US"/>
              </w:rPr>
            </w:pPr>
            <w:r>
              <w:rPr>
                <w:lang w:val="en-US"/>
              </w:rPr>
              <w:t>LBT to facilitate spatial reuse</w:t>
            </w:r>
          </w:p>
          <w:p>
            <w:pPr>
              <w:numPr>
                <w:ilvl w:val="0"/>
                <w:numId w:val="45"/>
              </w:numPr>
              <w:spacing w:after="0"/>
              <w:rPr>
                <w:lang w:val="en-US"/>
              </w:rPr>
            </w:pPr>
            <w:r>
              <w:rPr>
                <w:lang w:val="en-US"/>
              </w:rPr>
              <w:t>Receiver assisted LBT</w:t>
            </w:r>
          </w:p>
          <w:p>
            <w:pPr>
              <w:numPr>
                <w:ilvl w:val="0"/>
                <w:numId w:val="45"/>
              </w:numPr>
              <w:spacing w:after="0"/>
              <w:rPr>
                <w:lang w:val="en-US"/>
              </w:rPr>
            </w:pPr>
            <w:r>
              <w:rPr>
                <w:lang w:val="en-US"/>
              </w:rPr>
              <w:t>LBT enhancement to FBE structure</w:t>
            </w:r>
          </w:p>
          <w:p>
            <w:pPr>
              <w:numPr>
                <w:ilvl w:val="0"/>
                <w:numId w:val="45"/>
              </w:numPr>
              <w:spacing w:after="0"/>
              <w:rPr>
                <w:lang w:val="en-US"/>
              </w:rPr>
            </w:pPr>
            <w:r>
              <w:rPr>
                <w:lang w:val="en-US"/>
              </w:rPr>
              <w:t xml:space="preserve">LBT enhancement to 6 GHz band </w:t>
            </w:r>
          </w:p>
          <w:p>
            <w:pPr>
              <w:spacing w:before="240" w:after="0"/>
              <w:rPr>
                <w:rFonts w:eastAsia="Yu Mincho"/>
                <w:lang w:val="en-US"/>
              </w:rPr>
            </w:pPr>
            <w:r>
              <w:rPr>
                <w:rFonts w:eastAsia="Yu Mincho" w:hint="eastAsia"/>
                <w:lang w:val="en-US"/>
              </w:rPr>
              <w:t>HARQ</w:t>
            </w:r>
            <w:r>
              <w:rPr>
                <w:rFonts w:eastAsia="Yu Mincho"/>
                <w:lang w:val="en-US"/>
              </w:rPr>
              <w:t xml:space="preserve"> </w:t>
            </w:r>
          </w:p>
          <w:p>
            <w:pPr>
              <w:numPr>
                <w:ilvl w:val="0"/>
                <w:numId w:val="46"/>
              </w:numPr>
              <w:spacing w:after="0"/>
              <w:rPr>
                <w:lang w:val="en-US"/>
              </w:rPr>
            </w:pPr>
            <w:r>
              <w:rPr>
                <w:lang w:val="en-US"/>
              </w:rPr>
              <w:t>HARQ-ACK retransmission for semi-static codebook</w:t>
            </w:r>
          </w:p>
          <w:p>
            <w:pPr>
              <w:numPr>
                <w:ilvl w:val="0"/>
                <w:numId w:val="46"/>
              </w:numPr>
              <w:spacing w:after="0"/>
              <w:rPr>
                <w:lang w:val="en-US"/>
              </w:rPr>
            </w:pPr>
            <w:r>
              <w:rPr>
                <w:lang w:val="en-US"/>
              </w:rPr>
              <w:t>Multiple frequency domain opportunities for HARQ-ACK in UL CA case and/or wideband CC case</w:t>
            </w:r>
          </w:p>
          <w:p>
            <w:pPr>
              <w:numPr>
                <w:ilvl w:val="0"/>
                <w:numId w:val="46"/>
              </w:numPr>
              <w:spacing w:after="0"/>
              <w:rPr>
                <w:lang w:val="en-US"/>
              </w:rPr>
            </w:pPr>
            <w:r>
              <w:rPr>
                <w:lang w:val="en-US"/>
              </w:rPr>
              <w:t>Larger K1 values</w:t>
            </w:r>
          </w:p>
          <w:p>
            <w:pPr>
              <w:numPr>
                <w:ilvl w:val="0"/>
                <w:numId w:val="46"/>
              </w:numPr>
              <w:spacing w:after="0"/>
              <w:rPr>
                <w:lang w:val="en-US"/>
              </w:rPr>
            </w:pPr>
            <w:r>
              <w:rPr>
                <w:lang w:val="en-US"/>
              </w:rPr>
              <w:t>Larger K2 values</w:t>
            </w:r>
          </w:p>
          <w:p>
            <w:pPr>
              <w:numPr>
                <w:ilvl w:val="0"/>
                <w:numId w:val="46"/>
              </w:numPr>
              <w:spacing w:after="0"/>
              <w:rPr>
                <w:lang w:val="en-US"/>
              </w:rPr>
            </w:pPr>
            <w:r>
              <w:rPr>
                <w:lang w:val="en-US"/>
              </w:rPr>
              <w:t>CBG-based HARQ-ACK feedback</w:t>
            </w:r>
          </w:p>
          <w:p>
            <w:pPr>
              <w:spacing w:before="240" w:after="0"/>
              <w:rPr>
                <w:rFonts w:eastAsia="Yu Mincho"/>
                <w:lang w:val="en-US"/>
              </w:rPr>
            </w:pPr>
            <w:r>
              <w:rPr>
                <w:rFonts w:eastAsia="Yu Mincho" w:hint="eastAsia"/>
                <w:lang w:val="en-US"/>
              </w:rPr>
              <w:t>C</w:t>
            </w:r>
            <w:r>
              <w:rPr>
                <w:rFonts w:eastAsia="Yu Mincho"/>
                <w:lang w:val="en-US"/>
              </w:rPr>
              <w:t>onfigured grant</w:t>
            </w:r>
          </w:p>
          <w:p>
            <w:pPr>
              <w:numPr>
                <w:ilvl w:val="0"/>
                <w:numId w:val="47"/>
              </w:numPr>
              <w:spacing w:after="0"/>
              <w:rPr>
                <w:lang w:val="en-US"/>
              </w:rPr>
            </w:pPr>
            <w:r>
              <w:rPr>
                <w:lang w:val="en-US"/>
              </w:rPr>
              <w:t>CBG based transmission with CG resource</w:t>
            </w:r>
          </w:p>
          <w:p>
            <w:pPr>
              <w:numPr>
                <w:ilvl w:val="0"/>
                <w:numId w:val="47"/>
              </w:numPr>
              <w:spacing w:after="0"/>
              <w:rPr>
                <w:lang w:val="en-US"/>
              </w:rPr>
            </w:pPr>
            <w:r>
              <w:rPr>
                <w:lang w:val="en-US"/>
              </w:rPr>
              <w:t>DFI including CBG-based HARQ-ACK feedback</w:t>
            </w:r>
          </w:p>
          <w:p>
            <w:pPr>
              <w:numPr>
                <w:ilvl w:val="0"/>
                <w:numId w:val="47"/>
              </w:numPr>
              <w:spacing w:after="0"/>
              <w:rPr>
                <w:lang w:val="en-US"/>
              </w:rPr>
            </w:pPr>
            <w:r>
              <w:rPr>
                <w:lang w:val="en-US"/>
              </w:rPr>
              <w:t>UE determined MCS and/or TBS</w:t>
            </w:r>
          </w:p>
        </w:tc>
        <w:tc>
          <w:tcPr>
            <w:tcW w:w="1724" w:type="dxa"/>
          </w:tcPr>
          <w:p>
            <w:pPr>
              <w:spacing w:after="0"/>
            </w:pPr>
          </w:p>
        </w:tc>
      </w:tr>
      <w:tr>
        <w:tc>
          <w:tcPr>
            <w:tcW w:w="1583" w:type="dxa"/>
          </w:tcPr>
          <w:p>
            <w:pPr>
              <w:rPr>
                <w:rFonts w:eastAsia="MS Mincho"/>
              </w:rPr>
            </w:pPr>
            <w:r>
              <w:rPr>
                <w:rFonts w:eastAsia="MS Mincho" w:hint="eastAsia"/>
              </w:rPr>
              <w:t>Sp</w:t>
            </w:r>
            <w:r>
              <w:rPr>
                <w:rFonts w:eastAsia="MS Mincho"/>
              </w:rPr>
              <w:t>readtrum</w:t>
            </w:r>
          </w:p>
        </w:tc>
        <w:tc>
          <w:tcPr>
            <w:tcW w:w="6105" w:type="dxa"/>
          </w:tcPr>
          <w:p>
            <w:pPr>
              <w:rPr>
                <w:color w:val="1F497D"/>
                <w:sz w:val="21"/>
                <w:szCs w:val="21"/>
                <w:lang w:val="en-US" w:eastAsia="zh-CN"/>
              </w:rPr>
            </w:pPr>
            <w:r>
              <w:t>Both R16 leftover (non-essential functionalities) and R17 new feature can be considered in R17.</w:t>
            </w:r>
          </w:p>
          <w:p>
            <w:pPr>
              <w:rPr>
                <w:color w:val="1F497D"/>
                <w:sz w:val="21"/>
                <w:szCs w:val="21"/>
                <w:lang w:val="en-US" w:eastAsia="zh-CN"/>
              </w:rPr>
            </w:pPr>
            <w:r>
              <w:rPr>
                <w:color w:val="1F497D"/>
                <w:sz w:val="21"/>
                <w:szCs w:val="21"/>
                <w:lang w:val="en-US" w:eastAsia="zh-CN"/>
              </w:rPr>
              <w:t xml:space="preserve">- </w:t>
            </w:r>
            <w:r>
              <w:t>Initial access signal/channel (RAN1/RAN2): Half-slot Type0-PDCCH, PRACH enhancement (if no consensus in R16), CSI-RS in DRS</w:t>
            </w:r>
          </w:p>
          <w:p>
            <w:r>
              <w:t>- DL signal/channel (RAN1/RAN2): Initial signal (including common preamble) enhancement, GC-PDCCH enhancement, PDCCH monitoring enhancement for different phases</w:t>
            </w:r>
          </w:p>
          <w:p>
            <w:r>
              <w:t>- UL signal/channel (RAN1/RAN2): Multiple transmission opportunities in frequency domain for PUCCH/PRACH, SRS enhancement, interlace enhancement</w:t>
            </w:r>
          </w:p>
          <w:p>
            <w:r>
              <w:t>- Channel access (RAN1/RAN2): Wideband LBT, FBE enhancement, receiver assisted LBT, directional LBT</w:t>
            </w:r>
          </w:p>
          <w:p>
            <w:r>
              <w:lastRenderedPageBreak/>
              <w:t>- Initial access procedure/RRM/RLM (RAN1/RAN2): 4-step RACH enhancement, 2-step RACH enhancement, OSI/paging enhancement, RLM enhancement</w:t>
            </w:r>
          </w:p>
          <w:p>
            <w:r>
              <w:t>- HARQ/scheduling (RAN1): Multiple freq domain opportunities for HARQ ACK in UL CA case and/or wideband CC case, larger K1/K2 value, 2-stage UL</w:t>
            </w:r>
          </w:p>
          <w:p>
            <w:r>
              <w:t>- Configured grant (RAN1): CBG-based scheme</w:t>
            </w:r>
          </w:p>
          <w:p>
            <w:pPr>
              <w:rPr>
                <w:rFonts w:eastAsia="MS Mincho"/>
              </w:rPr>
            </w:pPr>
            <w:r>
              <w:t>- Wideband operation (RAN1/RAN4/RAN2): Guard band resource utilization, PUSCH Alt-2</w:t>
            </w:r>
          </w:p>
        </w:tc>
        <w:tc>
          <w:tcPr>
            <w:tcW w:w="1724" w:type="dxa"/>
          </w:tcPr>
          <w:p>
            <w:pPr>
              <w:spacing w:after="0"/>
            </w:pPr>
          </w:p>
        </w:tc>
      </w:tr>
      <w:tr>
        <w:tc>
          <w:tcPr>
            <w:tcW w:w="1583" w:type="dxa"/>
          </w:tcPr>
          <w:p>
            <w:pPr>
              <w:rPr>
                <w:rFonts w:eastAsia="MS Mincho"/>
              </w:rPr>
            </w:pPr>
            <w:r>
              <w:rPr>
                <w:rFonts w:eastAsia="MS Mincho" w:hint="eastAsia"/>
              </w:rPr>
              <w:t>F</w:t>
            </w:r>
            <w:r>
              <w:rPr>
                <w:rFonts w:eastAsia="MS Mincho"/>
              </w:rPr>
              <w:t>ujitsu</w:t>
            </w:r>
          </w:p>
        </w:tc>
        <w:tc>
          <w:tcPr>
            <w:tcW w:w="6105" w:type="dxa"/>
          </w:tcPr>
          <w:p>
            <w:pPr>
              <w:rPr>
                <w:rFonts w:eastAsia="Yu Mincho"/>
              </w:rPr>
            </w:pPr>
            <w:r>
              <w:rPr>
                <w:rFonts w:eastAsia="Yu Mincho"/>
              </w:rPr>
              <w:t>Whether to have a separate WI for NR-U on sub-7GHz may depend on the scope of other high-priority items. The following enhancements c</w:t>
            </w:r>
            <w:r>
              <w:rPr>
                <w:rFonts w:eastAsia="Yu Mincho" w:hint="eastAsia"/>
              </w:rPr>
              <w:t>a</w:t>
            </w:r>
            <w:r>
              <w:rPr>
                <w:rFonts w:eastAsia="Yu Mincho"/>
              </w:rPr>
              <w:t>n be considered in Rel-17 if there is a separate WI,</w:t>
            </w:r>
          </w:p>
          <w:p>
            <w:r>
              <w:rPr>
                <w:rFonts w:eastAsia="Yu Mincho"/>
              </w:rPr>
              <w:t>-</w:t>
            </w:r>
            <w:r>
              <w:t xml:space="preserve"> Wideband operation: PUSCH Alt-2, Guard band resource utilization</w:t>
            </w:r>
          </w:p>
          <w:p>
            <w:pPr>
              <w:rPr>
                <w:rFonts w:eastAsia="Yu Mincho"/>
              </w:rPr>
            </w:pPr>
            <w:r>
              <w:rPr>
                <w:rFonts w:eastAsia="Yu Mincho" w:hint="eastAsia"/>
              </w:rPr>
              <w:t>-</w:t>
            </w:r>
            <w:r>
              <w:rPr>
                <w:rFonts w:eastAsia="Yu Mincho"/>
              </w:rPr>
              <w:t xml:space="preserve"> RLM enhancement</w:t>
            </w:r>
          </w:p>
          <w:p>
            <w:pPr>
              <w:rPr>
                <w:rFonts w:eastAsia="Yu Mincho"/>
              </w:rPr>
            </w:pPr>
            <w:r>
              <w:rPr>
                <w:rFonts w:eastAsia="Yu Mincho" w:hint="eastAsia"/>
              </w:rPr>
              <w:t xml:space="preserve">- </w:t>
            </w:r>
            <w:r>
              <w:rPr>
                <w:lang w:val="en-US"/>
              </w:rPr>
              <w:t>PRACH resource enhancements</w:t>
            </w:r>
          </w:p>
          <w:p>
            <w:pPr>
              <w:rPr>
                <w:rFonts w:eastAsia="Yu Mincho"/>
              </w:rPr>
            </w:pPr>
            <w:r>
              <w:rPr>
                <w:rFonts w:eastAsia="Yu Mincho"/>
              </w:rPr>
              <w:t>-</w:t>
            </w:r>
            <w:r>
              <w:t xml:space="preserve"> </w:t>
            </w:r>
            <w:r>
              <w:rPr>
                <w:rFonts w:eastAsia="Yu Mincho"/>
              </w:rPr>
              <w:t>Minimization of periodic resources, e.g. using triggered PRACH in gNB-initiated COT</w:t>
            </w:r>
          </w:p>
          <w:p>
            <w:r>
              <w:t xml:space="preserve">- </w:t>
            </w:r>
            <w:r>
              <w:rPr>
                <w:rFonts w:eastAsia="Yu Mincho" w:hint="eastAsia"/>
              </w:rPr>
              <w:t>Multiplexing</w:t>
            </w:r>
            <w:r>
              <w:t xml:space="preserve"> of PUSCH/PUCCH/PRACH</w:t>
            </w:r>
          </w:p>
          <w:p>
            <w:pPr>
              <w:rPr>
                <w:rFonts w:eastAsia="Yu Mincho"/>
              </w:rPr>
            </w:pPr>
            <w:r>
              <w:t>- 2 step RACH enhancements, 4 step RACH enhancements (e.g. Msg. 3 with multiple transmission opportunities)</w:t>
            </w:r>
          </w:p>
          <w:p>
            <w:pPr>
              <w:rPr>
                <w:rFonts w:eastAsia="Yu Mincho"/>
              </w:rPr>
            </w:pPr>
            <w:r>
              <w:t>- 2-stage UL grant</w:t>
            </w:r>
          </w:p>
        </w:tc>
        <w:tc>
          <w:tcPr>
            <w:tcW w:w="1724" w:type="dxa"/>
          </w:tcPr>
          <w:p>
            <w:pPr>
              <w:spacing w:after="0"/>
            </w:pPr>
            <w:r>
              <w:t>Medium Priority</w:t>
            </w:r>
          </w:p>
        </w:tc>
      </w:tr>
      <w:tr>
        <w:tc>
          <w:tcPr>
            <w:tcW w:w="1583" w:type="dxa"/>
          </w:tcPr>
          <w:p>
            <w:pPr>
              <w:rPr>
                <w:rFonts w:eastAsia="MS Mincho"/>
              </w:rPr>
            </w:pPr>
            <w:r>
              <w:rPr>
                <w:rFonts w:eastAsia="MS Mincho" w:hint="eastAsia"/>
              </w:rPr>
              <w:t>S</w:t>
            </w:r>
            <w:r>
              <w:rPr>
                <w:rFonts w:eastAsia="MS Mincho"/>
              </w:rPr>
              <w:t>harp</w:t>
            </w:r>
          </w:p>
        </w:tc>
        <w:tc>
          <w:tcPr>
            <w:tcW w:w="6105" w:type="dxa"/>
          </w:tcPr>
          <w:p>
            <w:pPr>
              <w:rPr>
                <w:rFonts w:eastAsia="Yu Mincho"/>
              </w:rPr>
            </w:pPr>
            <w:r>
              <w:rPr>
                <w:rFonts w:eastAsia="Yu Mincho"/>
              </w:rPr>
              <w:t>For FR1, unlicensed spectrum aspects related to other WIs can be discussed under respective WI in general. On the other hand, it may be better for some features (e.g. LBT) to be handled in NR-U dedicated WI, if there is leftover on such features from Rel-16. If the NR-U dedicated WI would be approved for Rel-17, enhancement of the following features can also be considered:</w:t>
            </w:r>
          </w:p>
          <w:p>
            <w:pPr>
              <w:pStyle w:val="ListParagraph"/>
              <w:numPr>
                <w:ilvl w:val="0"/>
                <w:numId w:val="49"/>
              </w:numPr>
              <w:rPr>
                <w:rFonts w:eastAsia="Yu Mincho"/>
              </w:rPr>
            </w:pPr>
            <w:r>
              <w:rPr>
                <w:rFonts w:eastAsia="Yu Mincho"/>
              </w:rPr>
              <w:t>FBE</w:t>
            </w:r>
          </w:p>
          <w:p>
            <w:pPr>
              <w:pStyle w:val="ListParagraph"/>
              <w:numPr>
                <w:ilvl w:val="0"/>
                <w:numId w:val="49"/>
              </w:numPr>
              <w:rPr>
                <w:rFonts w:eastAsia="Yu Mincho"/>
              </w:rPr>
            </w:pPr>
            <w:r>
              <w:rPr>
                <w:rFonts w:eastAsia="Yu Mincho"/>
              </w:rPr>
              <w:t>HARQ</w:t>
            </w:r>
          </w:p>
          <w:p>
            <w:pPr>
              <w:pStyle w:val="ListParagraph"/>
              <w:numPr>
                <w:ilvl w:val="0"/>
                <w:numId w:val="49"/>
              </w:numPr>
              <w:rPr>
                <w:rFonts w:eastAsia="Yu Mincho"/>
              </w:rPr>
            </w:pPr>
            <w:r>
              <w:rPr>
                <w:rFonts w:eastAsia="Yu Mincho"/>
              </w:rPr>
              <w:t>Wideband operation</w:t>
            </w:r>
          </w:p>
          <w:p>
            <w:pPr>
              <w:pStyle w:val="ListParagraph"/>
              <w:numPr>
                <w:ilvl w:val="0"/>
                <w:numId w:val="49"/>
              </w:numPr>
              <w:rPr>
                <w:rFonts w:eastAsia="Yu Mincho"/>
              </w:rPr>
            </w:pPr>
            <w:r>
              <w:rPr>
                <w:rFonts w:eastAsia="Yu Mincho"/>
              </w:rPr>
              <w:t>2-Step RACH</w:t>
            </w:r>
          </w:p>
          <w:p>
            <w:pPr>
              <w:pStyle w:val="ListParagraph"/>
              <w:numPr>
                <w:ilvl w:val="0"/>
                <w:numId w:val="49"/>
              </w:numPr>
              <w:rPr>
                <w:rFonts w:eastAsia="Yu Mincho"/>
              </w:rPr>
            </w:pPr>
            <w:r>
              <w:rPr>
                <w:rFonts w:eastAsia="Yu Mincho"/>
              </w:rPr>
              <w:t>RLM/RRM</w:t>
            </w:r>
          </w:p>
          <w:p>
            <w:pPr>
              <w:pStyle w:val="ListParagraph"/>
              <w:numPr>
                <w:ilvl w:val="0"/>
                <w:numId w:val="49"/>
              </w:numPr>
              <w:rPr>
                <w:rFonts w:eastAsia="Yu Mincho"/>
              </w:rPr>
            </w:pPr>
            <w:r>
              <w:rPr>
                <w:rFonts w:eastAsia="Yu Mincho"/>
              </w:rPr>
              <w:t>Multiple TXOP in frequency domain</w:t>
            </w:r>
          </w:p>
          <w:p>
            <w:pPr>
              <w:pStyle w:val="ListParagraph"/>
              <w:numPr>
                <w:ilvl w:val="0"/>
                <w:numId w:val="49"/>
              </w:numPr>
              <w:rPr>
                <w:rFonts w:eastAsia="Yu Mincho"/>
              </w:rPr>
            </w:pPr>
            <w:r>
              <w:rPr>
                <w:rFonts w:eastAsia="Yu Mincho"/>
              </w:rPr>
              <w:t>Gap between ROs</w:t>
            </w:r>
          </w:p>
          <w:p>
            <w:pPr>
              <w:pStyle w:val="ListParagraph"/>
              <w:numPr>
                <w:ilvl w:val="0"/>
                <w:numId w:val="49"/>
              </w:numPr>
              <w:rPr>
                <w:rFonts w:eastAsia="Yu Mincho"/>
              </w:rPr>
            </w:pPr>
            <w:r>
              <w:rPr>
                <w:rFonts w:eastAsia="Yu Mincho"/>
              </w:rPr>
              <w:t>DRX</w:t>
            </w:r>
          </w:p>
          <w:p>
            <w:pPr>
              <w:rPr>
                <w:rFonts w:eastAsia="Yu Mincho"/>
              </w:rPr>
            </w:pPr>
            <w:r>
              <w:rPr>
                <w:rFonts w:eastAsia="Yu Mincho"/>
              </w:rPr>
              <w:t>In addition, we agree with Docomo that enhancements for FR2 is important, because 28GHz band would be available soon as shared spectrum for “Local 5G” in Japan. Especially, the following enhancement would need to be considered for supporting of 28GHz band:</w:t>
            </w:r>
          </w:p>
          <w:p>
            <w:pPr>
              <w:pStyle w:val="ListParagraph"/>
              <w:numPr>
                <w:ilvl w:val="0"/>
                <w:numId w:val="48"/>
              </w:numPr>
              <w:rPr>
                <w:rFonts w:eastAsia="Yu Mincho"/>
              </w:rPr>
            </w:pPr>
            <w:r>
              <w:rPr>
                <w:rFonts w:eastAsia="Yu Mincho"/>
              </w:rPr>
              <w:t>Support of more than 8 beams</w:t>
            </w:r>
          </w:p>
          <w:p>
            <w:pPr>
              <w:pStyle w:val="ListParagraph"/>
              <w:numPr>
                <w:ilvl w:val="0"/>
                <w:numId w:val="48"/>
              </w:numPr>
              <w:rPr>
                <w:rFonts w:eastAsia="Yu Mincho"/>
              </w:rPr>
            </w:pPr>
            <w:r>
              <w:rPr>
                <w:rFonts w:eastAsia="Yu Mincho"/>
              </w:rPr>
              <w:t>Directional LBT</w:t>
            </w:r>
          </w:p>
          <w:p>
            <w:pPr>
              <w:pStyle w:val="ListParagraph"/>
              <w:numPr>
                <w:ilvl w:val="0"/>
                <w:numId w:val="48"/>
              </w:numPr>
              <w:rPr>
                <w:rFonts w:eastAsia="Yu Mincho"/>
              </w:rPr>
            </w:pPr>
            <w:r>
              <w:rPr>
                <w:rFonts w:eastAsia="Yu Mincho"/>
              </w:rPr>
              <w:t>Wideband LBT</w:t>
            </w:r>
          </w:p>
          <w:p>
            <w:pPr>
              <w:pStyle w:val="ListParagraph"/>
              <w:numPr>
                <w:ilvl w:val="0"/>
                <w:numId w:val="48"/>
              </w:numPr>
              <w:rPr>
                <w:rFonts w:eastAsia="Yu Mincho"/>
              </w:rPr>
            </w:pPr>
            <w:r>
              <w:rPr>
                <w:rFonts w:eastAsia="Yu Mincho"/>
              </w:rPr>
              <w:t>Support of 120kHz SCS</w:t>
            </w:r>
          </w:p>
          <w:p>
            <w:pPr>
              <w:pStyle w:val="ListParagraph"/>
              <w:numPr>
                <w:ilvl w:val="0"/>
                <w:numId w:val="48"/>
              </w:numPr>
              <w:rPr>
                <w:rFonts w:eastAsia="Yu Mincho"/>
              </w:rPr>
            </w:pPr>
            <w:r>
              <w:rPr>
                <w:rFonts w:eastAsia="Yu Mincho"/>
              </w:rPr>
              <w:t>New LBT parameters (LBT category, MCOT, etc).</w:t>
            </w:r>
          </w:p>
        </w:tc>
        <w:tc>
          <w:tcPr>
            <w:tcW w:w="1724" w:type="dxa"/>
          </w:tcPr>
          <w:p>
            <w:pPr>
              <w:spacing w:after="0"/>
              <w:rPr>
                <w:rFonts w:eastAsia="Yu Mincho"/>
              </w:rPr>
            </w:pPr>
            <w:r>
              <w:rPr>
                <w:rFonts w:eastAsiaTheme="minorEastAsia"/>
              </w:rPr>
              <w:t>Medium</w:t>
            </w:r>
            <w:r>
              <w:rPr>
                <w:rFonts w:eastAsiaTheme="minorEastAsia" w:hint="eastAsia"/>
              </w:rPr>
              <w:t xml:space="preserve"> Priority</w:t>
            </w:r>
          </w:p>
        </w:tc>
      </w:tr>
      <w:tr>
        <w:tc>
          <w:tcPr>
            <w:tcW w:w="1583" w:type="dxa"/>
          </w:tcPr>
          <w:p>
            <w:pPr>
              <w:rPr>
                <w:rFonts w:eastAsia="Malgun Gothic"/>
                <w:lang w:eastAsia="ko-KR"/>
              </w:rPr>
            </w:pPr>
            <w:r>
              <w:rPr>
                <w:rFonts w:eastAsia="Malgun Gothic" w:hint="eastAsia"/>
                <w:lang w:eastAsia="ko-KR"/>
              </w:rPr>
              <w:t>LG</w:t>
            </w:r>
          </w:p>
        </w:tc>
        <w:tc>
          <w:tcPr>
            <w:tcW w:w="6105" w:type="dxa"/>
          </w:tcPr>
          <w:p>
            <w:pPr>
              <w:rPr>
                <w:rFonts w:eastAsia="Yu Mincho"/>
              </w:rPr>
            </w:pPr>
            <w:r>
              <w:rPr>
                <w:rFonts w:eastAsia="Yu Mincho"/>
              </w:rPr>
              <w:t>In general, we think enhancements in the unlicensed band scenarios can be discussed in each work area, if necessary. Then new work item dedicated for unlicensed band itself is deemed not necessary for Rel-17.</w:t>
            </w:r>
          </w:p>
          <w:p>
            <w:pPr>
              <w:rPr>
                <w:rFonts w:eastAsia="Yu Mincho"/>
              </w:rPr>
            </w:pPr>
            <w:r>
              <w:rPr>
                <w:rFonts w:eastAsia="Yu Mincho"/>
              </w:rPr>
              <w:lastRenderedPageBreak/>
              <w:t>However, if we consider specific enhancements for leftovers from Rel-16 unlicensed band work, we identify the followings:</w:t>
            </w:r>
          </w:p>
          <w:p>
            <w:pPr>
              <w:rPr>
                <w:rFonts w:eastAsia="Yu Mincho"/>
              </w:rPr>
            </w:pPr>
            <w:r>
              <w:rPr>
                <w:rFonts w:eastAsia="Yu Mincho"/>
              </w:rPr>
              <w:t>- Wide-band operation enhancement considering noncontiguous LBT bandwidth transmission</w:t>
            </w:r>
          </w:p>
          <w:p>
            <w:pPr>
              <w:rPr>
                <w:rFonts w:eastAsia="Yu Mincho"/>
              </w:rPr>
            </w:pPr>
            <w:r>
              <w:rPr>
                <w:rFonts w:eastAsia="Yu Mincho"/>
              </w:rPr>
              <w:t>- Support of CBG based transmission with configured grant PUSCH</w:t>
            </w:r>
          </w:p>
          <w:p>
            <w:pPr>
              <w:rPr>
                <w:rFonts w:eastAsia="Yu Mincho"/>
              </w:rPr>
            </w:pPr>
            <w:r>
              <w:rPr>
                <w:rFonts w:eastAsia="Yu Mincho"/>
              </w:rPr>
              <w:t>- RACH enhancement for increased transmission opportunities</w:t>
            </w:r>
          </w:p>
          <w:p>
            <w:pPr>
              <w:rPr>
                <w:rFonts w:eastAsia="Yu Mincho"/>
              </w:rPr>
            </w:pPr>
            <w:r>
              <w:rPr>
                <w:rFonts w:eastAsia="Yu Mincho"/>
              </w:rPr>
              <w:t>- DRX enhancement for increased transmission opportunities</w:t>
            </w:r>
          </w:p>
          <w:p>
            <w:pPr>
              <w:spacing w:after="0"/>
              <w:rPr>
                <w:rFonts w:eastAsia="Yu Mincho"/>
              </w:rPr>
            </w:pPr>
          </w:p>
        </w:tc>
        <w:tc>
          <w:tcPr>
            <w:tcW w:w="1724" w:type="dxa"/>
          </w:tcPr>
          <w:p>
            <w:pPr>
              <w:spacing w:after="0"/>
              <w:rPr>
                <w:rFonts w:eastAsiaTheme="minorEastAsia"/>
              </w:rPr>
            </w:pPr>
          </w:p>
        </w:tc>
      </w:tr>
      <w:tr>
        <w:tc>
          <w:tcPr>
            <w:tcW w:w="1583" w:type="dxa"/>
          </w:tcPr>
          <w:p>
            <w:pPr>
              <w:rPr>
                <w:rFonts w:eastAsia="Malgun Gothic"/>
                <w:lang w:eastAsia="ko-KR"/>
              </w:rPr>
            </w:pPr>
            <w:r>
              <w:rPr>
                <w:rFonts w:eastAsia="Malgun Gothic"/>
                <w:lang w:eastAsia="ko-KR"/>
              </w:rPr>
              <w:t>Apple</w:t>
            </w:r>
          </w:p>
        </w:tc>
        <w:tc>
          <w:tcPr>
            <w:tcW w:w="6105" w:type="dxa"/>
          </w:tcPr>
          <w:p>
            <w:pPr>
              <w:rPr>
                <w:rFonts w:eastAsia="Yu Mincho"/>
              </w:rPr>
            </w:pPr>
            <w:r>
              <w:rPr>
                <w:rFonts w:eastAsia="Yu Mincho"/>
              </w:rPr>
              <w:t xml:space="preserve">As guided by RAN plenary, unlicensed aspects specific to other work items such as URLLC, would be covered by each feature-specific WI. On the other hand, if a separate NR-U enhancement WI was to be approved in Rel-17, we believe the following that not be included in other WIs should be prioritized: </w:t>
            </w:r>
          </w:p>
          <w:p>
            <w:pPr>
              <w:pStyle w:val="ListParagraph"/>
              <w:numPr>
                <w:ilvl w:val="0"/>
                <w:numId w:val="55"/>
              </w:numPr>
              <w:rPr>
                <w:rFonts w:eastAsia="Yu Mincho"/>
              </w:rPr>
            </w:pPr>
            <w:r>
              <w:rPr>
                <w:rFonts w:eastAsia="Yu Mincho"/>
              </w:rPr>
              <w:t xml:space="preserve">Enhancement on Initial Access Procedure </w:t>
            </w:r>
          </w:p>
          <w:p>
            <w:pPr>
              <w:pStyle w:val="ListParagraph"/>
              <w:numPr>
                <w:ilvl w:val="1"/>
                <w:numId w:val="55"/>
              </w:numPr>
              <w:rPr>
                <w:rFonts w:eastAsia="Yu Mincho"/>
              </w:rPr>
            </w:pPr>
            <w:r>
              <w:rPr>
                <w:rFonts w:eastAsia="Yu Mincho"/>
              </w:rPr>
              <w:t>Support larger number of SSB candidates &gt; 64 for FR2</w:t>
            </w:r>
          </w:p>
          <w:p>
            <w:pPr>
              <w:pStyle w:val="ListParagraph"/>
              <w:numPr>
                <w:ilvl w:val="1"/>
                <w:numId w:val="55"/>
              </w:numPr>
              <w:rPr>
                <w:rFonts w:eastAsia="Yu Mincho"/>
              </w:rPr>
            </w:pPr>
            <w:r>
              <w:rPr>
                <w:rFonts w:eastAsia="Yu Mincho"/>
              </w:rPr>
              <w:t>DRS Enhancements (e.g. including RMSI and resource mapping of RMSI)</w:t>
            </w:r>
          </w:p>
          <w:p>
            <w:pPr>
              <w:pStyle w:val="ListParagraph"/>
              <w:numPr>
                <w:ilvl w:val="0"/>
                <w:numId w:val="55"/>
              </w:numPr>
              <w:rPr>
                <w:rFonts w:eastAsia="Yu Mincho"/>
              </w:rPr>
            </w:pPr>
            <w:r>
              <w:rPr>
                <w:rFonts w:eastAsia="Yu Mincho"/>
              </w:rPr>
              <w:t>Beam Management Enhancement for NR unlicensed band</w:t>
            </w:r>
          </w:p>
          <w:p>
            <w:pPr>
              <w:pStyle w:val="ListParagraph"/>
              <w:numPr>
                <w:ilvl w:val="0"/>
                <w:numId w:val="55"/>
              </w:numPr>
              <w:rPr>
                <w:rFonts w:eastAsia="Yu Mincho"/>
              </w:rPr>
            </w:pPr>
            <w:r>
              <w:rPr>
                <w:rFonts w:eastAsia="Yu Mincho"/>
              </w:rPr>
              <w:t>Enhanced to channel access procedure (e.g. targeting FR2)</w:t>
            </w:r>
          </w:p>
          <w:p>
            <w:pPr>
              <w:pStyle w:val="ListParagraph"/>
              <w:numPr>
                <w:ilvl w:val="1"/>
                <w:numId w:val="55"/>
              </w:numPr>
              <w:rPr>
                <w:rFonts w:eastAsia="Yu Mincho"/>
              </w:rPr>
            </w:pPr>
            <w:r>
              <w:rPr>
                <w:rFonts w:eastAsia="Yu Mincho"/>
              </w:rPr>
              <w:t>Directional LBT</w:t>
            </w:r>
          </w:p>
          <w:p>
            <w:pPr>
              <w:pStyle w:val="ListParagraph"/>
              <w:numPr>
                <w:ilvl w:val="1"/>
                <w:numId w:val="55"/>
              </w:numPr>
              <w:rPr>
                <w:rFonts w:eastAsia="Yu Mincho"/>
              </w:rPr>
            </w:pPr>
            <w:r>
              <w:rPr>
                <w:rFonts w:eastAsia="Yu Mincho"/>
              </w:rPr>
              <w:t>UE-assist channel Access</w:t>
            </w:r>
          </w:p>
          <w:p>
            <w:pPr>
              <w:pStyle w:val="ListParagraph"/>
              <w:numPr>
                <w:ilvl w:val="1"/>
                <w:numId w:val="55"/>
              </w:numPr>
              <w:rPr>
                <w:rFonts w:eastAsia="Yu Mincho"/>
              </w:rPr>
            </w:pPr>
            <w:r>
              <w:rPr>
                <w:rFonts w:eastAsia="Yu Mincho"/>
              </w:rPr>
              <w:t>DG-based UE-initiated COT sharing</w:t>
            </w:r>
          </w:p>
          <w:p>
            <w:pPr>
              <w:pStyle w:val="ListParagraph"/>
              <w:numPr>
                <w:ilvl w:val="0"/>
                <w:numId w:val="55"/>
              </w:numPr>
              <w:rPr>
                <w:rFonts w:eastAsia="Yu Mincho"/>
              </w:rPr>
            </w:pPr>
            <w:r>
              <w:rPr>
                <w:rFonts w:eastAsia="Yu Mincho"/>
              </w:rPr>
              <w:t>Enhancement on UL transmission (multiple PUCCH candidates over LBT sub-bands)</w:t>
            </w:r>
          </w:p>
          <w:p>
            <w:pPr>
              <w:rPr>
                <w:rFonts w:eastAsia="Yu Mincho"/>
              </w:rPr>
            </w:pPr>
            <w:r>
              <w:rPr>
                <w:rFonts w:eastAsia="Yu Mincho"/>
              </w:rPr>
              <w:t>Enhancement on Frame-Based Equipment (FBE) operations</w:t>
            </w:r>
          </w:p>
        </w:tc>
        <w:tc>
          <w:tcPr>
            <w:tcW w:w="1724" w:type="dxa"/>
          </w:tcPr>
          <w:p>
            <w:pPr>
              <w:spacing w:after="0"/>
              <w:rPr>
                <w:rFonts w:eastAsiaTheme="minorEastAsia"/>
              </w:rPr>
            </w:pPr>
          </w:p>
        </w:tc>
      </w:tr>
      <w:tr>
        <w:tc>
          <w:tcPr>
            <w:tcW w:w="1583" w:type="dxa"/>
          </w:tcPr>
          <w:p>
            <w:pPr>
              <w:rPr>
                <w:rFonts w:eastAsia="MS Mincho"/>
                <w:color w:val="auto"/>
              </w:rPr>
            </w:pPr>
            <w:r>
              <w:rPr>
                <w:rFonts w:eastAsia="MS Mincho"/>
                <w:color w:val="auto"/>
              </w:rPr>
              <w:t>CableLabs (Late)</w:t>
            </w:r>
          </w:p>
        </w:tc>
        <w:tc>
          <w:tcPr>
            <w:tcW w:w="6105" w:type="dxa"/>
          </w:tcPr>
          <w:p>
            <w:pPr>
              <w:rPr>
                <w:color w:val="auto"/>
              </w:rPr>
            </w:pPr>
            <w:r>
              <w:rPr>
                <w:color w:val="auto"/>
              </w:rPr>
              <w:t>We consider neccessary a dedicated WI for NR-U targeting a number of high and medium priority enhancements:</w:t>
            </w:r>
          </w:p>
          <w:p>
            <w:pPr>
              <w:rPr>
                <w:color w:val="auto"/>
              </w:rPr>
            </w:pPr>
            <w:r>
              <w:rPr>
                <w:color w:val="auto"/>
              </w:rPr>
              <w:t>High Priority (a)</w:t>
            </w:r>
          </w:p>
          <w:p>
            <w:pPr>
              <w:pStyle w:val="ListParagraph"/>
              <w:numPr>
                <w:ilvl w:val="0"/>
                <w:numId w:val="35"/>
              </w:numPr>
            </w:pPr>
            <w:r>
              <w:t>6GHz band characterization targeting specifically the NR-U and 802.11ax coexistence (RAN1/RAN4), based on a clearly defined Fairness Coexistence Criterion</w:t>
            </w:r>
          </w:p>
          <w:p>
            <w:pPr>
              <w:pStyle w:val="ListParagraph"/>
              <w:numPr>
                <w:ilvl w:val="0"/>
                <w:numId w:val="35"/>
              </w:numPr>
            </w:pPr>
            <w:r>
              <w:t>Common preamble for operation in unlicensed spectrum, for enhanced coexistence (RAN1/RAN2/RAN4). At the minimum this may include a correlator based channel sensing solution.</w:t>
            </w:r>
          </w:p>
          <w:p>
            <w:pPr>
              <w:rPr>
                <w:color w:val="auto"/>
              </w:rPr>
            </w:pPr>
          </w:p>
          <w:p>
            <w:pPr>
              <w:rPr>
                <w:color w:val="auto"/>
              </w:rPr>
            </w:pPr>
            <w:r>
              <w:rPr>
                <w:color w:val="auto"/>
              </w:rPr>
              <w:t>Medium Priority (b)</w:t>
            </w:r>
          </w:p>
          <w:p>
            <w:pPr>
              <w:pStyle w:val="ListParagraph"/>
              <w:numPr>
                <w:ilvl w:val="0"/>
                <w:numId w:val="35"/>
              </w:numPr>
            </w:pPr>
            <w:r>
              <w:t>Optimized LBT including directional and wide band LBT</w:t>
            </w:r>
          </w:p>
          <w:p>
            <w:pPr>
              <w:pStyle w:val="ListParagraph"/>
              <w:numPr>
                <w:ilvl w:val="0"/>
                <w:numId w:val="35"/>
              </w:numPr>
            </w:pPr>
            <w:r>
              <w:t>PRACh resource enhancements</w:t>
            </w:r>
          </w:p>
        </w:tc>
        <w:tc>
          <w:tcPr>
            <w:tcW w:w="1724" w:type="dxa"/>
          </w:tcPr>
          <w:p>
            <w:pPr>
              <w:spacing w:after="0"/>
              <w:rPr>
                <w:rFonts w:eastAsiaTheme="minorEastAsia"/>
                <w:color w:val="auto"/>
              </w:rPr>
            </w:pPr>
          </w:p>
        </w:tc>
      </w:tr>
      <w:tr>
        <w:tc>
          <w:tcPr>
            <w:tcW w:w="1583" w:type="dxa"/>
          </w:tcPr>
          <w:p>
            <w:pPr>
              <w:rPr>
                <w:rFonts w:eastAsia="MS Mincho"/>
                <w:color w:val="auto"/>
              </w:rPr>
            </w:pPr>
            <w:r>
              <w:rPr>
                <w:rFonts w:eastAsia="MS Mincho"/>
                <w:color w:val="auto"/>
              </w:rPr>
              <w:t>Broadcom (Late)</w:t>
            </w:r>
          </w:p>
        </w:tc>
        <w:tc>
          <w:tcPr>
            <w:tcW w:w="6105" w:type="dxa"/>
          </w:tcPr>
          <w:p>
            <w:pPr>
              <w:rPr>
                <w:color w:val="auto"/>
              </w:rPr>
            </w:pPr>
            <w:r>
              <w:rPr>
                <w:color w:val="auto"/>
              </w:rPr>
              <w:t xml:space="preserve">We think a dedicated WI for NRU is useful and should include the following enhancements: </w:t>
            </w:r>
          </w:p>
          <w:p>
            <w:pPr>
              <w:pStyle w:val="ListParagraph"/>
              <w:numPr>
                <w:ilvl w:val="0"/>
                <w:numId w:val="57"/>
              </w:numPr>
            </w:pPr>
            <w:r>
              <w:t xml:space="preserve">Channel access enhancements </w:t>
            </w:r>
          </w:p>
          <w:p>
            <w:pPr>
              <w:pStyle w:val="ListParagraph"/>
              <w:numPr>
                <w:ilvl w:val="1"/>
                <w:numId w:val="57"/>
              </w:numPr>
            </w:pPr>
            <w:r>
              <w:t>Cross-technology detection and deferral in the unlicensed spectrum (5 and 6 GHz) by using a preamble. The preamble can be based on the IEEE 802.11a preamble. Enhancements over this scheme that omit the reliance on channel coding and demodulation of the L-SIG part of the 802.11a preamble, should also be evaluated.</w:t>
            </w:r>
          </w:p>
          <w:p>
            <w:pPr>
              <w:pStyle w:val="ListParagraph"/>
              <w:numPr>
                <w:ilvl w:val="1"/>
                <w:numId w:val="57"/>
              </w:numPr>
            </w:pPr>
            <w:r>
              <w:t xml:space="preserve">Receiver assisted LBT </w:t>
            </w:r>
          </w:p>
          <w:p>
            <w:pPr>
              <w:pStyle w:val="ListParagraph"/>
              <w:numPr>
                <w:ilvl w:val="1"/>
                <w:numId w:val="57"/>
              </w:numPr>
            </w:pPr>
            <w:r>
              <w:t>Directional LBT (for frequencies &gt;&gt; 7 GHz)</w:t>
            </w:r>
          </w:p>
          <w:p>
            <w:pPr>
              <w:pStyle w:val="ListParagraph"/>
              <w:numPr>
                <w:ilvl w:val="0"/>
                <w:numId w:val="57"/>
              </w:numPr>
            </w:pPr>
            <w:r>
              <w:lastRenderedPageBreak/>
              <w:t>Coexistence between NR-U and 802.11ax including definition of relevant coexistence criteria</w:t>
            </w:r>
          </w:p>
        </w:tc>
        <w:tc>
          <w:tcPr>
            <w:tcW w:w="1724" w:type="dxa"/>
          </w:tcPr>
          <w:p>
            <w:pPr>
              <w:spacing w:after="0"/>
              <w:rPr>
                <w:rFonts w:eastAsiaTheme="minorEastAsia"/>
                <w:color w:val="auto"/>
              </w:rPr>
            </w:pPr>
          </w:p>
        </w:tc>
      </w:tr>
      <w:tr>
        <w:tc>
          <w:tcPr>
            <w:tcW w:w="1583" w:type="dxa"/>
          </w:tcPr>
          <w:p>
            <w:pPr>
              <w:rPr>
                <w:rFonts w:eastAsia="MS Mincho"/>
                <w:color w:val="auto"/>
              </w:rPr>
            </w:pPr>
            <w:r>
              <w:rPr>
                <w:rFonts w:eastAsia="MS Mincho"/>
                <w:color w:val="auto"/>
              </w:rPr>
              <w:t>HPE (Late)</w:t>
            </w:r>
          </w:p>
        </w:tc>
        <w:tc>
          <w:tcPr>
            <w:tcW w:w="6105" w:type="dxa"/>
          </w:tcPr>
          <w:p>
            <w:pPr>
              <w:rPr>
                <w:color w:val="auto"/>
              </w:rPr>
            </w:pPr>
            <w:r>
              <w:rPr>
                <w:color w:val="auto"/>
              </w:rPr>
              <w:t>HPE favours a dedicated WI for NR-U, including consideration of:</w:t>
            </w:r>
          </w:p>
          <w:p>
            <w:pPr>
              <w:pStyle w:val="ListParagraph"/>
              <w:numPr>
                <w:ilvl w:val="0"/>
                <w:numId w:val="58"/>
              </w:numPr>
            </w:pPr>
            <w:r>
              <w:t>Consideration of a common mechanism across technologies, such as a common preamble, to distinguish information from noise.  We see particular merit in the proposal offered by AT&amp;T at the joint 3GPP/IEEE coexistence workshop in July 2019 and would favour further study of this proposal to determine whether this may be a feasible approach to improving coexistence.</w:t>
            </w:r>
          </w:p>
          <w:p>
            <w:pPr>
              <w:pStyle w:val="ListParagraph"/>
              <w:numPr>
                <w:ilvl w:val="0"/>
                <w:numId w:val="58"/>
              </w:numPr>
            </w:pPr>
            <w:r>
              <w:t>Establishment of coexistence criteria between NR-U and 802.11ax and among NR-U systems</w:t>
            </w:r>
          </w:p>
          <w:p>
            <w:pPr>
              <w:pStyle w:val="ListParagraph"/>
              <w:numPr>
                <w:ilvl w:val="0"/>
                <w:numId w:val="58"/>
              </w:numPr>
            </w:pPr>
            <w:r>
              <w:t>Assessment of the impact of MCOT values on fair coexistence</w:t>
            </w:r>
          </w:p>
        </w:tc>
        <w:tc>
          <w:tcPr>
            <w:tcW w:w="1724" w:type="dxa"/>
          </w:tcPr>
          <w:p>
            <w:pPr>
              <w:spacing w:after="0"/>
              <w:rPr>
                <w:rFonts w:eastAsiaTheme="minorEastAsia"/>
                <w:color w:val="auto"/>
              </w:rPr>
            </w:pPr>
          </w:p>
          <w:p>
            <w:pPr>
              <w:spacing w:after="0"/>
              <w:rPr>
                <w:rFonts w:eastAsiaTheme="minorEastAsia"/>
                <w:color w:val="auto"/>
              </w:rPr>
            </w:pPr>
          </w:p>
          <w:p>
            <w:pPr>
              <w:spacing w:after="0"/>
              <w:rPr>
                <w:rFonts w:eastAsiaTheme="minorEastAsia"/>
                <w:color w:val="auto"/>
              </w:rPr>
            </w:pPr>
            <w:r>
              <w:rPr>
                <w:rFonts w:eastAsiaTheme="minorEastAsia"/>
                <w:color w:val="auto"/>
              </w:rPr>
              <w:t>High Priority</w:t>
            </w:r>
          </w:p>
          <w:p>
            <w:pPr>
              <w:spacing w:after="0"/>
              <w:rPr>
                <w:rFonts w:eastAsiaTheme="minorEastAsia"/>
                <w:color w:val="auto"/>
              </w:rPr>
            </w:pPr>
          </w:p>
          <w:p>
            <w:pPr>
              <w:spacing w:after="0"/>
              <w:rPr>
                <w:rFonts w:eastAsiaTheme="minorEastAsia"/>
                <w:color w:val="auto"/>
              </w:rPr>
            </w:pPr>
          </w:p>
          <w:p>
            <w:pPr>
              <w:spacing w:after="0"/>
              <w:rPr>
                <w:rFonts w:eastAsiaTheme="minorEastAsia"/>
                <w:color w:val="auto"/>
              </w:rPr>
            </w:pPr>
          </w:p>
          <w:p>
            <w:pPr>
              <w:spacing w:after="0"/>
              <w:rPr>
                <w:rFonts w:eastAsiaTheme="minorEastAsia"/>
                <w:color w:val="auto"/>
              </w:rPr>
            </w:pPr>
          </w:p>
          <w:p>
            <w:pPr>
              <w:spacing w:after="0"/>
              <w:rPr>
                <w:rFonts w:eastAsiaTheme="minorEastAsia"/>
                <w:color w:val="auto"/>
              </w:rPr>
            </w:pPr>
          </w:p>
          <w:p>
            <w:pPr>
              <w:spacing w:after="0"/>
              <w:rPr>
                <w:rFonts w:eastAsiaTheme="minorEastAsia"/>
                <w:color w:val="auto"/>
              </w:rPr>
            </w:pPr>
            <w:r>
              <w:rPr>
                <w:rFonts w:eastAsiaTheme="minorEastAsia"/>
                <w:color w:val="auto"/>
              </w:rPr>
              <w:t>High Priority</w:t>
            </w:r>
          </w:p>
          <w:p>
            <w:pPr>
              <w:spacing w:after="0"/>
              <w:rPr>
                <w:rFonts w:eastAsiaTheme="minorEastAsia"/>
                <w:color w:val="auto"/>
              </w:rPr>
            </w:pPr>
          </w:p>
          <w:p>
            <w:pPr>
              <w:spacing w:after="0"/>
              <w:rPr>
                <w:rFonts w:eastAsiaTheme="minorEastAsia"/>
                <w:color w:val="auto"/>
              </w:rPr>
            </w:pPr>
            <w:r>
              <w:rPr>
                <w:rFonts w:eastAsiaTheme="minorEastAsia"/>
                <w:color w:val="auto"/>
              </w:rPr>
              <w:t>High Priority</w:t>
            </w:r>
          </w:p>
        </w:tc>
      </w:tr>
    </w:tbl>
    <w:p/>
    <w:p>
      <w:pPr>
        <w:overflowPunct/>
        <w:autoSpaceDE/>
        <w:autoSpaceDN/>
        <w:adjustRightInd/>
        <w:spacing w:after="0"/>
        <w:textAlignment w:val="auto"/>
        <w:rPr>
          <w:rFonts w:ascii="Arial" w:hAnsi="Arial"/>
          <w:color w:val="auto"/>
          <w:sz w:val="36"/>
        </w:rPr>
      </w:pPr>
      <w:r>
        <w:br w:type="page"/>
      </w:r>
    </w:p>
    <w:p>
      <w:pPr>
        <w:pStyle w:val="Heading1"/>
        <w:numPr>
          <w:ilvl w:val="0"/>
          <w:numId w:val="0"/>
        </w:numPr>
      </w:pPr>
      <w:r>
        <w:lastRenderedPageBreak/>
        <w:t>Annex B:  Company inputs to Step 2</w:t>
      </w:r>
    </w:p>
    <w:p>
      <w:pPr>
        <w:pStyle w:val="ListParagraph"/>
        <w:ind w:left="0"/>
      </w:pPr>
    </w:p>
    <w:p>
      <w:pPr>
        <w:pStyle w:val="ListParagraph"/>
        <w:ind w:left="0"/>
        <w:rPr>
          <w:b/>
          <w:u w:val="single"/>
        </w:rPr>
      </w:pPr>
      <w:r>
        <w:rPr>
          <w:b/>
          <w:u w:val="single"/>
        </w:rPr>
        <w:t>Question 1</w:t>
      </w:r>
    </w:p>
    <w:p>
      <w:pPr>
        <w:pStyle w:val="ListParagraph"/>
        <w:ind w:left="0"/>
      </w:pPr>
    </w:p>
    <w:p>
      <w:pPr>
        <w:pStyle w:val="ListParagraph"/>
        <w:ind w:left="0"/>
      </w:pPr>
      <w:r>
        <w:t xml:space="preserve">If a SI/WI on Beyond 52.6GHz is approved, it is likely that LBT enhancements (directional LBT and receiver-assisted / closed-loop LBT) will be handled there for the 60 GHz band. Is it necessary to study these LBT enhancements separately for spectrum below 52.6GHz? </w:t>
      </w:r>
    </w:p>
    <w:p>
      <w:pPr>
        <w:pStyle w:val="ListParagraph"/>
        <w:ind w:left="0"/>
      </w:pPr>
      <w:r>
        <w:t>(Notes:</w:t>
      </w:r>
    </w:p>
    <w:p>
      <w:pPr>
        <w:pStyle w:val="ListParagraph"/>
        <w:numPr>
          <w:ilvl w:val="0"/>
          <w:numId w:val="52"/>
        </w:numPr>
      </w:pPr>
      <w:r>
        <w:t>NR-U has so far been designed for FR1 only.</w:t>
      </w:r>
    </w:p>
    <w:p>
      <w:pPr>
        <w:pStyle w:val="ListParagraph"/>
        <w:numPr>
          <w:ilvl w:val="0"/>
          <w:numId w:val="52"/>
        </w:numPr>
      </w:pPr>
      <w:r>
        <w:t>In relation to 28 GHz spectrum in Japan, further information on any applicable regulations for channel access may be needed.)</w:t>
      </w:r>
    </w:p>
    <w:p>
      <w:pPr>
        <w:pStyle w:val="ListParagraph"/>
        <w:ind w:left="0"/>
      </w:pPr>
    </w:p>
    <w:tbl>
      <w:tblPr>
        <w:tblStyle w:val="TableGrid"/>
        <w:tblW w:w="9493" w:type="dxa"/>
        <w:tblLook w:val="04A0" w:firstRow="1" w:lastRow="0" w:firstColumn="1" w:lastColumn="0" w:noHBand="0" w:noVBand="1"/>
      </w:tblPr>
      <w:tblGrid>
        <w:gridCol w:w="1583"/>
        <w:gridCol w:w="7910"/>
      </w:tblGrid>
      <w:tr>
        <w:tc>
          <w:tcPr>
            <w:tcW w:w="1583" w:type="dxa"/>
          </w:tcPr>
          <w:p>
            <w:pPr>
              <w:pStyle w:val="ListParagraph"/>
              <w:ind w:left="0"/>
              <w:rPr>
                <w:b/>
              </w:rPr>
            </w:pPr>
            <w:r>
              <w:rPr>
                <w:b/>
              </w:rPr>
              <w:t>Company</w:t>
            </w:r>
          </w:p>
        </w:tc>
        <w:tc>
          <w:tcPr>
            <w:tcW w:w="7910" w:type="dxa"/>
          </w:tcPr>
          <w:p>
            <w:pPr>
              <w:pStyle w:val="ListParagraph"/>
              <w:ind w:left="0"/>
              <w:rPr>
                <w:b/>
              </w:rPr>
            </w:pPr>
            <w:r>
              <w:rPr>
                <w:b/>
              </w:rPr>
              <w:t>Answer</w:t>
            </w:r>
          </w:p>
        </w:tc>
      </w:tr>
      <w:tr>
        <w:tc>
          <w:tcPr>
            <w:tcW w:w="1583" w:type="dxa"/>
          </w:tcPr>
          <w:p>
            <w:pPr>
              <w:pStyle w:val="ListParagraph"/>
              <w:ind w:left="0"/>
            </w:pPr>
            <w:r>
              <w:t>Nokia, Nokia Shanghai Bell</w:t>
            </w:r>
          </w:p>
        </w:tc>
        <w:tc>
          <w:tcPr>
            <w:tcW w:w="7910" w:type="dxa"/>
          </w:tcPr>
          <w:p>
            <w:r>
              <w:t>We do not see a need to consider these aspects in a separate WI for sub-52.6 GHz. Firstly, the regulatory aspects at FR1 do not encourage the use of narrow beams (as the restrictions relate EIRP rather than total TX power). Secondly, the regulations with respect to applicability of directional LBT at FR1 are unclear, and extensive co-existence evaluations with legacy RATs would be required. Thirdly, for receiver assisted (e.g. RTS/CTS) type of schemes, the numerologies and processing times applied in NR at FR1 are not well suited for exchange of very short messages, and number of technical challenges exist, while the gain is unclear.</w:t>
            </w:r>
          </w:p>
          <w:p>
            <w:pPr>
              <w:pStyle w:val="ListParagraph"/>
              <w:ind w:left="0"/>
            </w:pPr>
            <w:r>
              <w:t xml:space="preserve">At the same time the regulatory work on 60GHz unlicensed spectrum is progressing fast, and several new aspects of channel access will need to be considered, resulting in significant workload. In our view, the necessary channel access work for 60GHz should clearly be prioritized compared to FR1 channel access optimizations, and parallel work on channel access enhancements for different frequency ranges should be avoided.   </w:t>
            </w:r>
          </w:p>
        </w:tc>
      </w:tr>
      <w:tr>
        <w:tc>
          <w:tcPr>
            <w:tcW w:w="1583" w:type="dxa"/>
          </w:tcPr>
          <w:p>
            <w:pPr>
              <w:pStyle w:val="ListParagraph"/>
              <w:ind w:left="0"/>
            </w:pPr>
            <w:r>
              <w:rPr>
                <w:rFonts w:hint="eastAsia"/>
                <w:lang w:eastAsia="ja-JP"/>
              </w:rPr>
              <w:t xml:space="preserve">NTT </w:t>
            </w:r>
            <w:r>
              <w:t>DOCOMO</w:t>
            </w:r>
          </w:p>
        </w:tc>
        <w:tc>
          <w:tcPr>
            <w:tcW w:w="7910" w:type="dxa"/>
          </w:tcPr>
          <w:p>
            <w:pPr>
              <w:pStyle w:val="ListParagraph"/>
              <w:ind w:left="0"/>
              <w:rPr>
                <w:lang w:eastAsia="ja-JP"/>
              </w:rPr>
            </w:pPr>
            <w:r>
              <w:rPr>
                <w:rFonts w:hint="eastAsia"/>
                <w:lang w:eastAsia="ja-JP"/>
              </w:rPr>
              <w:t xml:space="preserve">First, we would like to clarify that </w:t>
            </w:r>
            <w:r>
              <w:rPr>
                <w:lang w:eastAsia="ja-JP"/>
              </w:rPr>
              <w:t>“</w:t>
            </w:r>
            <w:r>
              <w:rPr>
                <w:rFonts w:hint="eastAsia"/>
                <w:lang w:eastAsia="ja-JP"/>
              </w:rPr>
              <w:t>Local 5G</w:t>
            </w:r>
            <w:r>
              <w:rPr>
                <w:lang w:eastAsia="ja-JP"/>
              </w:rPr>
              <w:t xml:space="preserve">” in Japan does not have any regulations for channel access so far (i.e., only licensees are allowed to use the spectrum </w:t>
            </w:r>
            <w:r>
              <w:rPr>
                <w:rFonts w:hint="eastAsia"/>
                <w:lang w:eastAsia="ja-JP"/>
              </w:rPr>
              <w:t xml:space="preserve">in </w:t>
            </w:r>
            <w:r>
              <w:rPr>
                <w:lang w:eastAsia="ja-JP"/>
              </w:rPr>
              <w:t>their own buildings/sites</w:t>
            </w:r>
            <w:r>
              <w:rPr>
                <w:rFonts w:hint="eastAsia"/>
                <w:lang w:eastAsia="ja-JP"/>
              </w:rPr>
              <w:t>, and so on</w:t>
            </w:r>
            <w:r>
              <w:rPr>
                <w:lang w:eastAsia="ja-JP"/>
              </w:rPr>
              <w:t xml:space="preserve">). Nevertheless, spectrum sharing and/or secondary use of spectrum for 5G would be an interesting scenario in </w:t>
            </w:r>
            <w:r>
              <w:rPr>
                <w:rFonts w:hint="eastAsia"/>
                <w:lang w:eastAsia="ja-JP"/>
              </w:rPr>
              <w:t xml:space="preserve">the </w:t>
            </w:r>
            <w:r>
              <w:rPr>
                <w:lang w:eastAsia="ja-JP"/>
              </w:rPr>
              <w:t xml:space="preserve">future, due to the huge demand for 5G spectrum. In such scenario, Rel-16 NR-U technology may be one of candidate mechanisms for the opportunistic channel access system. Although specific </w:t>
            </w:r>
            <w:r>
              <w:t xml:space="preserve">LBT enhancements such as directional LBT and receiver-assisted / closed-loop LBT would not be necessary for the scenario, general enhancement of NR-U including the expansion of applicable frequency band/range would be beneficial. </w:t>
            </w:r>
            <w:r>
              <w:rPr>
                <w:lang w:eastAsia="ja-JP"/>
              </w:rPr>
              <w:t xml:space="preserve">In addition, it is possible to consider more efficient channel access mechanism for better frequency reuse in the scenario where coexisting system(s) is/are known by each other. </w:t>
            </w:r>
            <w:r>
              <w:rPr>
                <w:rFonts w:hint="eastAsia"/>
                <w:lang w:eastAsia="ja-JP"/>
              </w:rPr>
              <w:t xml:space="preserve">Considering the future possibility of </w:t>
            </w:r>
            <w:r>
              <w:rPr>
                <w:lang w:eastAsia="ja-JP"/>
              </w:rPr>
              <w:t xml:space="preserve">shared or secondary </w:t>
            </w:r>
            <w:r>
              <w:rPr>
                <w:rFonts w:hint="eastAsia"/>
                <w:lang w:eastAsia="ja-JP"/>
              </w:rPr>
              <w:t xml:space="preserve">spectrum </w:t>
            </w:r>
            <w:r>
              <w:rPr>
                <w:lang w:eastAsia="ja-JP"/>
              </w:rPr>
              <w:t>us</w:t>
            </w:r>
            <w:r>
              <w:rPr>
                <w:rFonts w:hint="eastAsia"/>
                <w:lang w:eastAsia="ja-JP"/>
              </w:rPr>
              <w:t xml:space="preserve">age, </w:t>
            </w:r>
            <w:r>
              <w:rPr>
                <w:lang w:eastAsia="ja-JP"/>
              </w:rPr>
              <w:t>Rel-17 work on such general enhancement of NR-U targeting arbitrary frequency would be beneficial.</w:t>
            </w:r>
          </w:p>
        </w:tc>
      </w:tr>
      <w:tr>
        <w:tc>
          <w:tcPr>
            <w:tcW w:w="1583" w:type="dxa"/>
          </w:tcPr>
          <w:p>
            <w:pPr>
              <w:pStyle w:val="ListParagraph"/>
              <w:ind w:left="0"/>
            </w:pPr>
            <w:r>
              <w:t>ZTE</w:t>
            </w:r>
          </w:p>
        </w:tc>
        <w:tc>
          <w:tcPr>
            <w:tcW w:w="7910" w:type="dxa"/>
          </w:tcPr>
          <w:p>
            <w:pPr>
              <w:pStyle w:val="ListParagraph"/>
              <w:ind w:left="0"/>
            </w:pPr>
            <w:r>
              <w:rPr>
                <w:rFonts w:eastAsia="SimSun"/>
                <w:lang w:val="en-US" w:eastAsia="zh-CN"/>
              </w:rPr>
              <w:t xml:space="preserve">If a SI/WI on Beyond 52.6 GHz is approved and </w:t>
            </w:r>
            <w:r>
              <w:rPr>
                <w:rFonts w:eastAsia="SimSun" w:hint="eastAsia"/>
                <w:lang w:val="en-US" w:eastAsia="zh-CN"/>
              </w:rPr>
              <w:t xml:space="preserve">the </w:t>
            </w:r>
            <w:r>
              <w:rPr>
                <w:rFonts w:eastAsia="SimSun"/>
                <w:lang w:val="en-US" w:eastAsia="zh-CN"/>
              </w:rPr>
              <w:t>u</w:t>
            </w:r>
            <w:r>
              <w:rPr>
                <w:rFonts w:eastAsia="SimSun" w:hint="eastAsia"/>
                <w:lang w:val="en-US" w:eastAsia="zh-CN"/>
              </w:rPr>
              <w:t>n</w:t>
            </w:r>
            <w:r>
              <w:rPr>
                <w:rFonts w:eastAsia="SimSun"/>
                <w:lang w:val="en-US" w:eastAsia="zh-CN"/>
              </w:rPr>
              <w:t xml:space="preserve">licensed </w:t>
            </w:r>
            <w:r>
              <w:rPr>
                <w:rFonts w:eastAsia="SimSun" w:hint="eastAsia"/>
                <w:lang w:val="en-US" w:eastAsia="zh-CN"/>
              </w:rPr>
              <w:t xml:space="preserve">spectrum </w:t>
            </w:r>
            <w:r>
              <w:rPr>
                <w:rFonts w:eastAsia="SimSun"/>
                <w:lang w:val="en-US" w:eastAsia="zh-CN"/>
              </w:rPr>
              <w:t>related features for 60 GHz bands are handled specifically</w:t>
            </w:r>
            <w:r>
              <w:rPr>
                <w:rFonts w:eastAsia="SimSun" w:hint="eastAsia"/>
                <w:lang w:val="en-US" w:eastAsia="zh-CN"/>
              </w:rPr>
              <w:t xml:space="preserve"> </w:t>
            </w:r>
            <w:r>
              <w:rPr>
                <w:rFonts w:eastAsia="SimSun"/>
                <w:lang w:val="en-US" w:eastAsia="zh-CN"/>
              </w:rPr>
              <w:t xml:space="preserve">in the SI/WI, the study of the separate LBT enhancements for </w:t>
            </w:r>
            <w:r>
              <w:rPr>
                <w:rFonts w:eastAsia="SimSun" w:hint="eastAsia"/>
                <w:lang w:val="en-US" w:eastAsia="zh-CN"/>
              </w:rPr>
              <w:t xml:space="preserve">unlicensed </w:t>
            </w:r>
            <w:r>
              <w:rPr>
                <w:rFonts w:eastAsia="SimSun"/>
                <w:lang w:val="en-US" w:eastAsia="zh-CN"/>
              </w:rPr>
              <w:t>spectrum below 52.6 GHz</w:t>
            </w:r>
            <w:r>
              <w:rPr>
                <w:rFonts w:eastAsia="SimSun" w:hint="eastAsia"/>
                <w:lang w:val="en-US" w:eastAsia="zh-CN"/>
              </w:rPr>
              <w:t xml:space="preserve"> </w:t>
            </w:r>
            <w:r>
              <w:rPr>
                <w:rFonts w:eastAsia="SimSun"/>
                <w:lang w:val="en-US" w:eastAsia="zh-CN"/>
              </w:rPr>
              <w:t>is not needed</w:t>
            </w:r>
            <w:r>
              <w:rPr>
                <w:rFonts w:eastAsia="SimSun" w:hint="eastAsia"/>
                <w:lang w:val="en-US" w:eastAsia="zh-CN"/>
              </w:rPr>
              <w:t>.</w:t>
            </w:r>
          </w:p>
        </w:tc>
      </w:tr>
      <w:tr>
        <w:tc>
          <w:tcPr>
            <w:tcW w:w="1583" w:type="dxa"/>
          </w:tcPr>
          <w:p>
            <w:pPr>
              <w:pStyle w:val="ListParagraph"/>
              <w:ind w:left="0"/>
            </w:pPr>
            <w:r>
              <w:t>MediaTek</w:t>
            </w:r>
          </w:p>
        </w:tc>
        <w:tc>
          <w:tcPr>
            <w:tcW w:w="7910" w:type="dxa"/>
          </w:tcPr>
          <w:p>
            <w:pPr>
              <w:pStyle w:val="ListParagraph"/>
              <w:ind w:left="0"/>
              <w:rPr>
                <w:lang w:val="en-US"/>
              </w:rPr>
            </w:pPr>
            <w:r>
              <w:rPr>
                <w:lang w:val="en-US"/>
              </w:rPr>
              <w:t>We believe challenges facing directional operation in unlicensed band is similar in nature to the hidden node problem. The issues all arise due to the asymmetry between the channel occupancy perceived by a sensing device and the interference perceived by other devices when that sensing device proceeds with its subsequent transmission. And many of the solutions are applicable to both cases. So the study can be conducted in either &gt;52.6 GHz or NR-U and we don’t have any strong preference.</w:t>
            </w:r>
          </w:p>
        </w:tc>
      </w:tr>
      <w:tr>
        <w:tc>
          <w:tcPr>
            <w:tcW w:w="1583" w:type="dxa"/>
          </w:tcPr>
          <w:p>
            <w:pPr>
              <w:pStyle w:val="ListParagraph"/>
              <w:ind w:left="0"/>
            </w:pPr>
            <w:r>
              <w:t>Ericsson</w:t>
            </w:r>
          </w:p>
        </w:tc>
        <w:tc>
          <w:tcPr>
            <w:tcW w:w="7910" w:type="dxa"/>
          </w:tcPr>
          <w:p>
            <w:pPr>
              <w:pStyle w:val="ListParagraph"/>
              <w:ind w:left="0"/>
            </w:pPr>
            <w:r>
              <w:t xml:space="preserve">We don’t see a need for any LBT enhancements for spectrum below 52.6 GHz. </w:t>
            </w:r>
          </w:p>
          <w:p>
            <w:pPr>
              <w:pStyle w:val="ListParagraph"/>
              <w:ind w:left="0"/>
              <w:rPr>
                <w:lang w:val="en-US"/>
              </w:rPr>
            </w:pPr>
            <w:r>
              <w:t>Channel access mechanism for FR1 has been investigated extensively in 3GPP in Rel-13, 14, 15 and 16. We believe all beneficial solutions have been incorporated into applicable 3GPP specifications.</w:t>
            </w:r>
            <w:r>
              <w:rPr>
                <w:lang w:val="en-US"/>
              </w:rPr>
              <w:t xml:space="preserve"> </w:t>
            </w:r>
          </w:p>
          <w:p>
            <w:pPr>
              <w:pStyle w:val="ListParagraph"/>
              <w:ind w:left="0"/>
              <w:rPr>
                <w:lang w:val="en-US"/>
              </w:rPr>
            </w:pPr>
            <w:r>
              <w:rPr>
                <w:lang w:val="en-US"/>
              </w:rPr>
              <w:t xml:space="preserve">With respect to closed-loop LBT, the RSSI measurements in Rel-16 for NR-U should be defined to be capable of being used to obtain one-shot measurements at specific instances similar to LTE-LAA. This should provide a mechanism for the gNB and the UE to perform simultaneous carrier sensing and hidden node detection. Beyond this, considering that it is impossible to avoid a delay in any closed loop scheme due to the time needed to process the </w:t>
            </w:r>
            <w:r>
              <w:rPr>
                <w:lang w:val="en-US"/>
              </w:rPr>
              <w:lastRenderedPageBreak/>
              <w:t>input from the UE, and given that with any delay, however small, the conditions on the channel may always change between the time of measurement and the time of transmission, the need for further enhancements is not clear.</w:t>
            </w:r>
          </w:p>
          <w:p>
            <w:pPr>
              <w:pStyle w:val="ListParagraph"/>
              <w:ind w:left="0"/>
              <w:rPr>
                <w:sz w:val="22"/>
                <w:szCs w:val="22"/>
                <w:lang w:val="en-US"/>
              </w:rPr>
            </w:pPr>
            <w:r>
              <w:rPr>
                <w:lang w:val="en-US"/>
              </w:rPr>
              <w:t>Considering the workload in Rel-17, it would be preferable to prioritize work on new frequency ranges. Regarding 28 GHz spectrum in Japan we agree with Note 2) that further information on applicable regulation may be needed before considering any work targeted to this band</w:t>
            </w:r>
            <w:r>
              <w:rPr>
                <w:sz w:val="22"/>
                <w:szCs w:val="22"/>
                <w:lang w:val="en-US"/>
              </w:rPr>
              <w:t>.</w:t>
            </w:r>
          </w:p>
        </w:tc>
      </w:tr>
      <w:tr>
        <w:tc>
          <w:tcPr>
            <w:tcW w:w="1583" w:type="dxa"/>
          </w:tcPr>
          <w:p>
            <w:pPr>
              <w:pStyle w:val="ListParagraph"/>
              <w:ind w:left="0"/>
            </w:pPr>
            <w:r>
              <w:rPr>
                <w:rFonts w:hint="eastAsia"/>
              </w:rPr>
              <w:lastRenderedPageBreak/>
              <w:t>H</w:t>
            </w:r>
            <w:r>
              <w:t>uawei, HiSilicon</w:t>
            </w:r>
          </w:p>
        </w:tc>
        <w:tc>
          <w:tcPr>
            <w:tcW w:w="7910" w:type="dxa"/>
          </w:tcPr>
          <w:p>
            <w:pPr>
              <w:pStyle w:val="ListParagraph"/>
              <w:ind w:left="0"/>
            </w:pPr>
            <w:r>
              <w:t>LBT aspects related to directional LBT and receiver-assisted / closed-loop LBT become more relevant at higher frequencies (FR2 and higher) than at lower frequencies (FR1). It was not deemed necessary in Rel-16 to specify support for directional LBT and receiver-assisted / closed-loop LBT for 5 GHz unlicensed operation.</w:t>
            </w:r>
          </w:p>
          <w:p>
            <w:pPr>
              <w:pStyle w:val="ListParagraph"/>
              <w:ind w:left="0"/>
            </w:pPr>
          </w:p>
          <w:p>
            <w:pPr>
              <w:pStyle w:val="ListParagraph"/>
              <w:ind w:left="0"/>
            </w:pPr>
            <w:r>
              <w:t xml:space="preserve">As a general consideration, considering that ETSI BRAN is working on updating the European harmonized standard for 5 GHz and developing a new harmonized standard for 6 GHz, we think it would be best to avoid updating the channel access mechanism for NR-U in 5~6 GHz specified in Rel-16 unless it is required by regulations. </w:t>
            </w:r>
          </w:p>
          <w:p>
            <w:pPr>
              <w:pStyle w:val="ListParagraph"/>
              <w:ind w:left="0"/>
            </w:pPr>
          </w:p>
          <w:p>
            <w:pPr>
              <w:pStyle w:val="ListParagraph"/>
              <w:ind w:left="0"/>
              <w:rPr>
                <w:lang w:val="en-US"/>
              </w:rPr>
            </w:pPr>
            <w:r>
              <w:t>If any enhancement to channel access mechanisms is considered for Rel-17, it should not affect the basic type of NR-U operation under normal coexistence with Wi-Fi, and could instead consider improvements for LBE that would allow increased spatial reuse for cases where it is ensured that there is no Wi-Fi sharing the channel.</w:t>
            </w:r>
          </w:p>
        </w:tc>
      </w:tr>
      <w:tr>
        <w:tc>
          <w:tcPr>
            <w:tcW w:w="1583" w:type="dxa"/>
          </w:tcPr>
          <w:p>
            <w:pPr>
              <w:pStyle w:val="ListParagraph"/>
              <w:ind w:left="0"/>
            </w:pPr>
            <w:r>
              <w:t>Qualcomm</w:t>
            </w:r>
          </w:p>
        </w:tc>
        <w:tc>
          <w:tcPr>
            <w:tcW w:w="7910" w:type="dxa"/>
          </w:tcPr>
          <w:p>
            <w:pPr>
              <w:pStyle w:val="ListParagraph"/>
              <w:ind w:left="0"/>
            </w:pPr>
            <w:r>
              <w:t>Our view is channel access aspect of both 60GHz band and other FR2 unlicensed band should be studied together in a NR-U focused work item. Preferably a common channel access mechanism is designed applies to all these bands to cover the unlicensed and shared use case, with some configurable/adjustable parameters to adapt to different bands.</w:t>
            </w:r>
          </w:p>
          <w:p>
            <w:pPr>
              <w:pStyle w:val="ListParagraph"/>
              <w:ind w:left="0"/>
            </w:pPr>
          </w:p>
          <w:p>
            <w:pPr>
              <w:pStyle w:val="ListParagraph"/>
              <w:ind w:left="0"/>
            </w:pPr>
            <w:r>
              <w:t xml:space="preserve">Additionally, due to the time to market pressure of 60GHz band and requirement from regulation, we believe extensive study on the waveform for that band is not necessary. We should have an accelerated portion of the above 52.6GHz waveform SI/WI in a separate NR-U work item reusing current FR2 as much as possible. </w:t>
            </w:r>
          </w:p>
          <w:p>
            <w:pPr>
              <w:pStyle w:val="ListParagraph"/>
              <w:ind w:left="0"/>
            </w:pPr>
          </w:p>
          <w:p>
            <w:pPr>
              <w:pStyle w:val="ListParagraph"/>
              <w:ind w:left="0"/>
            </w:pPr>
            <w:r>
              <w:t>As to FR1 channel access mechanism, consider WiFi channel access is evolving for 6 GHz band, NR-U channel access should evolve as well to avoid being left behind. The features to be further considered including but not limited to receiver assisted / closed-loop LBT, directional LBT, sync LBT, and gNB to gNB COT sharing for mTRP.</w:t>
            </w:r>
          </w:p>
        </w:tc>
      </w:tr>
      <w:tr>
        <w:tc>
          <w:tcPr>
            <w:tcW w:w="1583" w:type="dxa"/>
          </w:tcPr>
          <w:p>
            <w:pPr>
              <w:pStyle w:val="ListParagraph"/>
              <w:ind w:left="0"/>
            </w:pPr>
            <w:r>
              <w:t>Charter Communications</w:t>
            </w:r>
          </w:p>
        </w:tc>
        <w:tc>
          <w:tcPr>
            <w:tcW w:w="7910" w:type="dxa"/>
          </w:tcPr>
          <w:p>
            <w:pPr>
              <w:pStyle w:val="ListParagraph"/>
              <w:ind w:left="0"/>
            </w:pPr>
            <w:r>
              <w:t>It is more efficient to discuss potential LBT enhancements in related SI/WI. Our preference is that all channel access enhancements, with exception of those relevant to Beyond 52.6GHz, should be handled in NR-U enhancement WI. Channel access issues related to &gt;52GHz to be discussed in Beyond 52.6GHz SI/WI.</w:t>
            </w:r>
          </w:p>
        </w:tc>
      </w:tr>
      <w:tr>
        <w:tc>
          <w:tcPr>
            <w:tcW w:w="1583" w:type="dxa"/>
          </w:tcPr>
          <w:p>
            <w:pPr>
              <w:pStyle w:val="ListParagraph"/>
              <w:ind w:left="0"/>
              <w:rPr>
                <w:rFonts w:eastAsia="Malgun Gothic"/>
                <w:lang w:eastAsia="ko-KR"/>
              </w:rPr>
            </w:pPr>
            <w:r>
              <w:rPr>
                <w:rFonts w:eastAsia="Malgun Gothic" w:hint="eastAsia"/>
                <w:lang w:eastAsia="ko-KR"/>
              </w:rPr>
              <w:t>S</w:t>
            </w:r>
            <w:r>
              <w:rPr>
                <w:rFonts w:eastAsia="Malgun Gothic"/>
                <w:lang w:eastAsia="ko-KR"/>
              </w:rPr>
              <w:t>amsung</w:t>
            </w:r>
          </w:p>
        </w:tc>
        <w:tc>
          <w:tcPr>
            <w:tcW w:w="7910" w:type="dxa"/>
          </w:tcPr>
          <w:p>
            <w:pPr>
              <w:pStyle w:val="ListParagraph"/>
              <w:ind w:left="0"/>
            </w:pPr>
            <w:r>
              <w:rPr>
                <w:rFonts w:eastAsia="SimSun"/>
                <w:lang w:val="en-US" w:eastAsia="zh-CN"/>
              </w:rPr>
              <w:t>If features/aspects (e.g., numerology) for 60GHz u</w:t>
            </w:r>
            <w:r>
              <w:rPr>
                <w:rFonts w:eastAsia="SimSun" w:hint="eastAsia"/>
                <w:lang w:val="en-US" w:eastAsia="zh-CN"/>
              </w:rPr>
              <w:t>n</w:t>
            </w:r>
            <w:r>
              <w:rPr>
                <w:rFonts w:eastAsia="SimSun"/>
                <w:lang w:val="en-US" w:eastAsia="zh-CN"/>
              </w:rPr>
              <w:t xml:space="preserve">licensed </w:t>
            </w:r>
            <w:r>
              <w:rPr>
                <w:rFonts w:eastAsia="SimSun" w:hint="eastAsia"/>
                <w:lang w:val="en-US" w:eastAsia="zh-CN"/>
              </w:rPr>
              <w:t xml:space="preserve">spectrum </w:t>
            </w:r>
            <w:r>
              <w:rPr>
                <w:rFonts w:eastAsia="SimSun"/>
                <w:lang w:val="en-US" w:eastAsia="zh-CN"/>
              </w:rPr>
              <w:t>are handled in a SI/WI on Beyond 52.6GHz, it is preferable that LBT enhancements are also studied in the SI/WI. LBT enhancements for 60GHz should be prioritized but applicability of some of the LBT enhancements to FR1, if feasible, can be further considered in a later phase.</w:t>
            </w:r>
          </w:p>
        </w:tc>
      </w:tr>
      <w:tr>
        <w:tc>
          <w:tcPr>
            <w:tcW w:w="1583" w:type="dxa"/>
          </w:tcPr>
          <w:p>
            <w:pPr>
              <w:pStyle w:val="ListParagraph"/>
              <w:ind w:left="0"/>
              <w:rPr>
                <w:rFonts w:eastAsia="Malgun Gothic"/>
                <w:lang w:eastAsia="ko-KR"/>
              </w:rPr>
            </w:pPr>
            <w:r>
              <w:t>Apple</w:t>
            </w:r>
          </w:p>
        </w:tc>
        <w:tc>
          <w:tcPr>
            <w:tcW w:w="7910" w:type="dxa"/>
          </w:tcPr>
          <w:p>
            <w:pPr>
              <w:pStyle w:val="ListParagraph"/>
              <w:ind w:left="0"/>
            </w:pPr>
            <w:r>
              <w:t>We believe it is important to study and enhance Rel-16 channel access and initial access schemes, targeting for higher frequency range i.e. FR2 and above. Regarding the exact Rel-17 WI to handle it, NR-U enhancement vs. above 52.6GHz, we are flexible in either way. But, a unified design for high frequency is clearly beneficial from standardization/implementation/testing efforts perspective.</w:t>
            </w:r>
          </w:p>
          <w:p>
            <w:pPr>
              <w:pStyle w:val="ListParagraph"/>
              <w:ind w:left="0"/>
            </w:pPr>
          </w:p>
          <w:p>
            <w:pPr>
              <w:pStyle w:val="ListParagraph"/>
              <w:ind w:left="0"/>
              <w:rPr>
                <w:rFonts w:eastAsia="SimSun"/>
                <w:lang w:val="en-US" w:eastAsia="zh-CN"/>
              </w:rPr>
            </w:pPr>
            <w:r>
              <w:t xml:space="preserve">As replied in the Step 1, the enhanced channel access schemes, e.g. direction LBT, UE-assist Channel Access should be considered for the design. </w:t>
            </w:r>
          </w:p>
        </w:tc>
      </w:tr>
      <w:tr>
        <w:tc>
          <w:tcPr>
            <w:tcW w:w="1583" w:type="dxa"/>
          </w:tcPr>
          <w:p>
            <w:pPr>
              <w:pStyle w:val="ListParagraph"/>
              <w:ind w:left="0"/>
            </w:pPr>
            <w:r>
              <w:t>Intel</w:t>
            </w:r>
          </w:p>
        </w:tc>
        <w:tc>
          <w:tcPr>
            <w:tcW w:w="7910" w:type="dxa"/>
          </w:tcPr>
          <w:p>
            <w:pPr>
              <w:pStyle w:val="ListParagraph"/>
              <w:ind w:left="0"/>
            </w:pPr>
            <w:r>
              <w:t xml:space="preserve">As stated in the question, if a SI/WI on Beyond 52.6GHz is approved, LBT enhancements for 60GHz band needs to be handled in that item. </w:t>
            </w:r>
          </w:p>
          <w:p>
            <w:pPr>
              <w:pStyle w:val="ListParagraph"/>
              <w:ind w:left="0"/>
            </w:pPr>
            <w:r>
              <w:t xml:space="preserve">For spectrum below 52.6GHz (FR1+FR2), we are negative on the enhancement of LBT aspects. For unlicensed spectrum in FR2, we do not see a big motivation or market demand on that band. Besides, regulation is not clear for unlicensed band in FR2. So we do not think FR2 can be a target scenario for NR-U enhancement in Rel-17. Given that FR2 is not considered in Rel-17 NR-U enhancement, directional LBT may not be a good topic for further enhancement in </w:t>
            </w:r>
            <w:r>
              <w:lastRenderedPageBreak/>
              <w:t>Rel-17 since directional LBT is more related to high frequency band such as FR2. Receiver-assisted LBT was something RAN1 has been interested in during the study item phase but no clear gain has been seen.</w:t>
            </w:r>
          </w:p>
        </w:tc>
      </w:tr>
      <w:tr>
        <w:tc>
          <w:tcPr>
            <w:tcW w:w="1583" w:type="dxa"/>
          </w:tcPr>
          <w:p>
            <w:pPr>
              <w:pStyle w:val="ListParagraph"/>
              <w:ind w:left="0"/>
            </w:pPr>
            <w:r>
              <w:rPr>
                <w:rFonts w:hint="eastAsia"/>
                <w:lang w:eastAsia="ja-JP"/>
              </w:rPr>
              <w:lastRenderedPageBreak/>
              <w:t>Sony</w:t>
            </w:r>
          </w:p>
        </w:tc>
        <w:tc>
          <w:tcPr>
            <w:tcW w:w="7910" w:type="dxa"/>
          </w:tcPr>
          <w:p>
            <w:pPr>
              <w:pStyle w:val="ListParagraph"/>
              <w:ind w:left="0"/>
            </w:pPr>
            <w:r>
              <w:rPr>
                <w:lang w:eastAsia="ja-JP"/>
              </w:rPr>
              <w:t>We think a separate WI for FR1 would be necessary to study LBT enhancements such as receiver assisted LBT and wideband LBT because it has been concluded in Rel-16 SI that further consideration is required for these LBT enhancements.</w:t>
            </w:r>
          </w:p>
        </w:tc>
      </w:tr>
      <w:tr>
        <w:tc>
          <w:tcPr>
            <w:tcW w:w="1583" w:type="dxa"/>
          </w:tcPr>
          <w:p>
            <w:pPr>
              <w:pStyle w:val="ListParagraph"/>
              <w:ind w:left="0"/>
              <w:rPr>
                <w:lang w:eastAsia="ja-JP"/>
              </w:rPr>
            </w:pPr>
            <w:r>
              <w:rPr>
                <w:lang w:eastAsia="ja-JP"/>
              </w:rPr>
              <w:t>InterDigital</w:t>
            </w:r>
          </w:p>
        </w:tc>
        <w:tc>
          <w:tcPr>
            <w:tcW w:w="7910" w:type="dxa"/>
          </w:tcPr>
          <w:p>
            <w:pPr>
              <w:rPr>
                <w:color w:val="auto"/>
                <w:lang w:val="en-US" w:eastAsia="en-US"/>
              </w:rPr>
            </w:pPr>
            <w:r>
              <w:t xml:space="preserve">We think that a single WI should handle LBT enhancements for all frequency ranges. It is always best practice to harmonize solutions across frequency ranges as much as possible. We agree that the motivation for some LBT enhancements may not be as strong in FR1 as they are in FR2 (e.g. directional LBT). However, other LBT enhancements (e.g. receiver-assisted / closed-loop LBT, LBT to facilitate spatial reuse, wideband LBT) show benefits in different frequency ranges. </w:t>
            </w:r>
          </w:p>
        </w:tc>
      </w:tr>
      <w:tr>
        <w:tc>
          <w:tcPr>
            <w:tcW w:w="1583" w:type="dxa"/>
          </w:tcPr>
          <w:p>
            <w:pPr>
              <w:pStyle w:val="ListParagraph"/>
              <w:ind w:left="0"/>
              <w:rPr>
                <w:lang w:eastAsia="ja-JP"/>
              </w:rPr>
            </w:pPr>
            <w:r>
              <w:rPr>
                <w:rFonts w:hint="eastAsia"/>
                <w:lang w:eastAsia="ja-JP"/>
              </w:rPr>
              <w:t>Sharp</w:t>
            </w:r>
          </w:p>
        </w:tc>
        <w:tc>
          <w:tcPr>
            <w:tcW w:w="7910" w:type="dxa"/>
          </w:tcPr>
          <w:p>
            <w:r>
              <w:t>In our view, enhanced channel access procedure should be studied targeting for both above 52.6GHz and the current FR2. For handling it, there are two choices, dedicated NR-U enhancement WI or work for above 52.5GHz. We can take either way.</w:t>
            </w:r>
          </w:p>
        </w:tc>
      </w:tr>
      <w:tr>
        <w:tc>
          <w:tcPr>
            <w:tcW w:w="1583" w:type="dxa"/>
          </w:tcPr>
          <w:p>
            <w:pPr>
              <w:pStyle w:val="ListParagraph"/>
              <w:ind w:left="0"/>
              <w:rPr>
                <w:rFonts w:eastAsia="SimSun"/>
                <w:color w:val="000000"/>
                <w:lang w:eastAsia="ja-JP"/>
              </w:rPr>
            </w:pPr>
            <w:r>
              <w:rPr>
                <w:rFonts w:eastAsia="SimSun"/>
                <w:color w:val="000000"/>
                <w:lang w:eastAsia="ja-JP"/>
              </w:rPr>
              <w:t>LG</w:t>
            </w:r>
          </w:p>
        </w:tc>
        <w:tc>
          <w:tcPr>
            <w:tcW w:w="7910" w:type="dxa"/>
          </w:tcPr>
          <w:p>
            <w:pPr>
              <w:pStyle w:val="ListParagraph"/>
              <w:ind w:left="0"/>
              <w:rPr>
                <w:rFonts w:eastAsia="Malgun Gothic"/>
                <w:color w:val="000000"/>
                <w:lang w:eastAsia="ko-KR"/>
              </w:rPr>
            </w:pPr>
            <w:r>
              <w:rPr>
                <w:rFonts w:eastAsia="Malgun Gothic" w:hint="eastAsia"/>
                <w:color w:val="000000"/>
                <w:lang w:eastAsia="ko-KR"/>
              </w:rPr>
              <w:t>We don</w:t>
            </w:r>
            <w:r>
              <w:rPr>
                <w:rFonts w:eastAsia="Malgun Gothic"/>
                <w:color w:val="000000"/>
                <w:lang w:eastAsia="ko-KR"/>
              </w:rPr>
              <w:t>’t see an urgency to specify unlicensed band operation in FR2 below 52.6GHz in Rel-17. As moderator mentioned, potential support of unlicensed band operation above 52.6GHz will be discussed in that work area.</w:t>
            </w:r>
          </w:p>
        </w:tc>
      </w:tr>
      <w:tr>
        <w:tc>
          <w:tcPr>
            <w:tcW w:w="1583" w:type="dxa"/>
          </w:tcPr>
          <w:p>
            <w:pPr>
              <w:pStyle w:val="ListParagraph"/>
              <w:ind w:left="0"/>
              <w:rPr>
                <w:rFonts w:eastAsia="SimSun"/>
                <w:lang w:eastAsia="ja-JP"/>
              </w:rPr>
            </w:pPr>
            <w:r>
              <w:t>Lenovo, Motorola Mobility</w:t>
            </w:r>
          </w:p>
        </w:tc>
        <w:tc>
          <w:tcPr>
            <w:tcW w:w="7910" w:type="dxa"/>
          </w:tcPr>
          <w:p>
            <w:pPr>
              <w:pStyle w:val="ListParagraph"/>
              <w:ind w:left="0"/>
              <w:rPr>
                <w:rFonts w:eastAsia="Malgun Gothic"/>
                <w:lang w:eastAsia="ko-KR"/>
              </w:rPr>
            </w:pPr>
            <w:r>
              <w:t xml:space="preserve">We currently don't see a need to discuss LBT enhancements for FR1 in Rel-17. Given that beamforming and receiver characteristics are generally comparable for 5 and 6 GHz, there seems to be little to gain at this point of time. However, this may need to be reconsidered if channel access regulations for 6 GHz turn out to be very different from 5 GHz, even though we don't anticipate such a situation – see also Q2. </w:t>
            </w:r>
          </w:p>
        </w:tc>
      </w:tr>
      <w:tr>
        <w:tc>
          <w:tcPr>
            <w:tcW w:w="1583" w:type="dxa"/>
          </w:tcPr>
          <w:p>
            <w:pPr>
              <w:pStyle w:val="ListParagraph"/>
              <w:ind w:left="0"/>
            </w:pPr>
            <w:r>
              <w:rPr>
                <w:rFonts w:hint="eastAsia"/>
              </w:rPr>
              <w:t>Spreadtrum</w:t>
            </w:r>
          </w:p>
        </w:tc>
        <w:tc>
          <w:tcPr>
            <w:tcW w:w="7910" w:type="dxa"/>
          </w:tcPr>
          <w:p>
            <w:pPr>
              <w:pStyle w:val="ListParagraph"/>
              <w:ind w:left="0"/>
            </w:pPr>
            <w:r>
              <w:t>I</w:t>
            </w:r>
            <w:r>
              <w:rPr>
                <w:rFonts w:hint="eastAsia"/>
              </w:rPr>
              <w:t xml:space="preserve">n </w:t>
            </w:r>
            <w:r>
              <w:t>our view, multi-panel and multi-user MIMO are enhanced in R16, and the corresponding spatial diversity can be exploited in unlicensed band even below 52.5GHz. The related impact may include channel access, e.g. directional LBT and receiver-assisted LBT. Below 52.6GHz, e.g. FR1 or 6GHz band, due to larger coverage than above 52.6GHz, the hidden node issue may be more worth considering.</w:t>
            </w:r>
          </w:p>
        </w:tc>
      </w:tr>
      <w:tr>
        <w:tc>
          <w:tcPr>
            <w:tcW w:w="1583" w:type="dxa"/>
          </w:tcPr>
          <w:p>
            <w:pPr>
              <w:pStyle w:val="ListParagraph"/>
              <w:ind w:left="0"/>
            </w:pPr>
            <w:r>
              <w:t>AT&amp;T</w:t>
            </w:r>
          </w:p>
        </w:tc>
        <w:tc>
          <w:tcPr>
            <w:tcW w:w="7910" w:type="dxa"/>
          </w:tcPr>
          <w:p>
            <w:pPr>
              <w:pStyle w:val="ListParagraph"/>
              <w:ind w:left="0"/>
            </w:pPr>
            <w:r>
              <w:t xml:space="preserve">LBT enhancements such as directional LBT and receiver-assisted / closed-loop LBT can be handled for the 60 GHz band and spectrum below 52.6GHz together. For example, procedures and measurements, if any, could either be independent of the band, or optimized for the 60 GHz band while also being applicable to the 5 and 6 GHz bands. Especially those closed-loop schemes that are based on (e.g., CSI) measurement enhancements can equally apply to 5/6 and 60 GHz band. For RTS/CTS-like message based schemes, they can be optimized for beyond 52.6 GHz but as this point we don’t see why the spec would preclude them from FR1. If anything, such questions could be addressed in the Rel. 17 NR UE feature list discussions for NR-U.  </w:t>
            </w:r>
          </w:p>
        </w:tc>
      </w:tr>
      <w:tr>
        <w:tc>
          <w:tcPr>
            <w:tcW w:w="1583" w:type="dxa"/>
          </w:tcPr>
          <w:p>
            <w:pPr>
              <w:pStyle w:val="ListParagraph"/>
              <w:ind w:left="0"/>
            </w:pPr>
            <w:r>
              <w:t>CableLabs</w:t>
            </w:r>
          </w:p>
        </w:tc>
        <w:tc>
          <w:tcPr>
            <w:tcW w:w="7910" w:type="dxa"/>
          </w:tcPr>
          <w:p>
            <w:pPr>
              <w:pStyle w:val="ListParagraph"/>
              <w:ind w:left="0"/>
            </w:pPr>
            <w:r>
              <w:t>Some of the LBT enhancements for &gt;24 GHz spectra could provide an increased performance/functionality vs. the LBT capability for the sub 7 GHz spectra, due to the superior beam forming performance &gt;24 GHz. All LBT enhancements related to spectra &gt;24GHz should be studied together by the NR-U group.</w:t>
            </w:r>
          </w:p>
        </w:tc>
      </w:tr>
      <w:tr>
        <w:tc>
          <w:tcPr>
            <w:tcW w:w="1583" w:type="dxa"/>
          </w:tcPr>
          <w:p>
            <w:pPr>
              <w:pStyle w:val="ListParagraph"/>
              <w:ind w:left="0"/>
            </w:pPr>
            <w:r>
              <w:t>BlackBerry</w:t>
            </w:r>
          </w:p>
        </w:tc>
        <w:tc>
          <w:tcPr>
            <w:tcW w:w="7910" w:type="dxa"/>
          </w:tcPr>
          <w:p>
            <w:pPr>
              <w:pStyle w:val="ListParagraph"/>
              <w:ind w:left="0"/>
            </w:pPr>
            <w:r>
              <w:t>We believe many of the channel access enhancements as discussed above e.g. directional LBT, receiver assisted LBT whist benefiting 60 GHz band may also be applicable to FR1 bands including the 6 GHz band. We believe these would be best handled within a common NR-U enhancement package.</w:t>
            </w:r>
          </w:p>
        </w:tc>
      </w:tr>
      <w:tr>
        <w:tc>
          <w:tcPr>
            <w:tcW w:w="1583" w:type="dxa"/>
          </w:tcPr>
          <w:p>
            <w:pPr>
              <w:pStyle w:val="ListParagraph"/>
              <w:ind w:left="0"/>
            </w:pPr>
            <w:r>
              <w:t>Broadcom</w:t>
            </w:r>
          </w:p>
        </w:tc>
        <w:tc>
          <w:tcPr>
            <w:tcW w:w="7910" w:type="dxa"/>
          </w:tcPr>
          <w:p>
            <w:pPr>
              <w:pStyle w:val="ListParagraph"/>
              <w:ind w:left="0"/>
            </w:pPr>
            <w:r>
              <w:t>Some of the channel access procedures that are more suitable for FR2 and higher are also beneficial for 5 and 6 GHz. So, in our view, channel access enhancements for NR-U should be considered together.</w:t>
            </w:r>
          </w:p>
        </w:tc>
      </w:tr>
      <w:tr>
        <w:tc>
          <w:tcPr>
            <w:tcW w:w="1583" w:type="dxa"/>
          </w:tcPr>
          <w:p>
            <w:pPr>
              <w:pStyle w:val="ListParagraph"/>
              <w:ind w:left="0"/>
            </w:pPr>
            <w:r>
              <w:t>TCL</w:t>
            </w:r>
          </w:p>
        </w:tc>
        <w:tc>
          <w:tcPr>
            <w:tcW w:w="7910" w:type="dxa"/>
          </w:tcPr>
          <w:p>
            <w:pPr>
              <w:pStyle w:val="ListParagraph"/>
              <w:ind w:left="0"/>
            </w:pPr>
            <w:r>
              <w:t>We think that certain LBT enhancements are more relevant to high frequencies, e.g. directional LBT, and may be studied for beyond 52.6 GHz range in its WI.</w:t>
            </w:r>
          </w:p>
          <w:p>
            <w:pPr>
              <w:pStyle w:val="ListParagraph"/>
              <w:ind w:left="0"/>
            </w:pPr>
          </w:p>
          <w:p>
            <w:pPr>
              <w:pStyle w:val="ListParagraph"/>
              <w:ind w:left="0"/>
            </w:pPr>
            <w:r>
              <w:t xml:space="preserve">Independently, we believe that the channel access mechanisms in general need optimization, which could be broadly applicable to all frequency ranges. To this end, it would make more </w:t>
            </w:r>
            <w:r>
              <w:lastRenderedPageBreak/>
              <w:t xml:space="preserve">sense to have a dedicated NR-U WI which considers enhancements related to channel access for all frequency ranges. </w:t>
            </w:r>
          </w:p>
        </w:tc>
      </w:tr>
    </w:tbl>
    <w:p>
      <w:pPr>
        <w:pStyle w:val="ListParagraph"/>
        <w:ind w:left="0"/>
      </w:pPr>
    </w:p>
    <w:p>
      <w:pPr>
        <w:pStyle w:val="ListParagraph"/>
        <w:ind w:left="0"/>
      </w:pPr>
    </w:p>
    <w:p>
      <w:pPr>
        <w:pStyle w:val="ListParagraph"/>
        <w:ind w:left="0"/>
        <w:rPr>
          <w:b/>
          <w:u w:val="single"/>
        </w:rPr>
      </w:pPr>
      <w:r>
        <w:rPr>
          <w:b/>
          <w:u w:val="single"/>
        </w:rPr>
        <w:t>Question 2</w:t>
      </w:r>
    </w:p>
    <w:p>
      <w:pPr>
        <w:pStyle w:val="ListParagraph"/>
        <w:ind w:left="0"/>
      </w:pPr>
    </w:p>
    <w:p>
      <w:pPr>
        <w:pStyle w:val="ListParagraph"/>
        <w:ind w:left="0"/>
      </w:pPr>
      <w:r>
        <w:t>How should work for 6 GHz channel access be handled in the light of the regulatory status outside 3GPP?</w:t>
      </w:r>
    </w:p>
    <w:p>
      <w:pPr>
        <w:pStyle w:val="ListParagraph"/>
        <w:ind w:left="0"/>
      </w:pPr>
    </w:p>
    <w:tbl>
      <w:tblPr>
        <w:tblStyle w:val="TableGrid"/>
        <w:tblW w:w="9493" w:type="dxa"/>
        <w:tblLook w:val="04A0" w:firstRow="1" w:lastRow="0" w:firstColumn="1" w:lastColumn="0" w:noHBand="0" w:noVBand="1"/>
      </w:tblPr>
      <w:tblGrid>
        <w:gridCol w:w="1583"/>
        <w:gridCol w:w="7910"/>
      </w:tblGrid>
      <w:tr>
        <w:tc>
          <w:tcPr>
            <w:tcW w:w="1583" w:type="dxa"/>
          </w:tcPr>
          <w:p>
            <w:pPr>
              <w:pStyle w:val="ListParagraph"/>
              <w:ind w:left="0"/>
              <w:rPr>
                <w:b/>
              </w:rPr>
            </w:pPr>
            <w:r>
              <w:rPr>
                <w:b/>
              </w:rPr>
              <w:t>Company</w:t>
            </w:r>
          </w:p>
        </w:tc>
        <w:tc>
          <w:tcPr>
            <w:tcW w:w="7910" w:type="dxa"/>
          </w:tcPr>
          <w:p>
            <w:pPr>
              <w:pStyle w:val="ListParagraph"/>
              <w:ind w:left="0"/>
              <w:rPr>
                <w:b/>
              </w:rPr>
            </w:pPr>
            <w:r>
              <w:rPr>
                <w:b/>
              </w:rPr>
              <w:t>Answer</w:t>
            </w:r>
          </w:p>
        </w:tc>
      </w:tr>
      <w:tr>
        <w:tc>
          <w:tcPr>
            <w:tcW w:w="1583" w:type="dxa"/>
          </w:tcPr>
          <w:p>
            <w:pPr>
              <w:pStyle w:val="ListParagraph"/>
              <w:ind w:left="0"/>
            </w:pPr>
            <w:r>
              <w:t>Nokia, Nokia Shanghai Bell</w:t>
            </w:r>
          </w:p>
        </w:tc>
        <w:tc>
          <w:tcPr>
            <w:tcW w:w="7910" w:type="dxa"/>
          </w:tcPr>
          <w:p>
            <w:pPr>
              <w:pStyle w:val="ListParagraph"/>
              <w:ind w:left="0"/>
            </w:pPr>
            <w:r>
              <w:t>The work in the Rel-16 NR-U SI/WI has considered 6GHz spectrum from the start¸ and Rel-16 is expected to be able to operate at 6 GHz as such.</w:t>
            </w:r>
          </w:p>
          <w:p>
            <w:pPr>
              <w:pStyle w:val="ListParagraph"/>
              <w:ind w:left="0"/>
            </w:pPr>
          </w:p>
          <w:p>
            <w:pPr>
              <w:pStyle w:val="ListParagraph"/>
              <w:ind w:left="0"/>
            </w:pPr>
            <w:r>
              <w:t xml:space="preserve">As the regulatory situation for 6GHz spectrum, including related channel access, is open in many regions, it is yet premature to initiate a separate WI/SI for that. However, if aspects requiring changes to specs with respect to channel access at 6 GHz are identified later, it should be possible to initiate either a work item or a TEI addressing the relevant issues. This can be similar as e.g. the situation in RAN4 where CA and spectrum related items can be taken up when they emerge. Correspondingly, some limited amount of time may need to be allocated for related work in Rel-17, but not starting until later during the Release. </w:t>
            </w:r>
          </w:p>
        </w:tc>
      </w:tr>
      <w:tr>
        <w:tc>
          <w:tcPr>
            <w:tcW w:w="1583" w:type="dxa"/>
          </w:tcPr>
          <w:p>
            <w:pPr>
              <w:pStyle w:val="ListParagraph"/>
              <w:ind w:left="0"/>
            </w:pPr>
            <w:r>
              <w:t>ZTE</w:t>
            </w:r>
          </w:p>
        </w:tc>
        <w:tc>
          <w:tcPr>
            <w:tcW w:w="7910" w:type="dxa"/>
          </w:tcPr>
          <w:p>
            <w:pPr>
              <w:pStyle w:val="ListParagraph"/>
              <w:ind w:left="0"/>
            </w:pPr>
            <w:r>
              <w:rPr>
                <w:rFonts w:eastAsia="SimSun" w:hint="eastAsia"/>
                <w:lang w:val="en-US" w:eastAsia="zh-CN"/>
              </w:rPr>
              <w:t xml:space="preserve">It is too early </w:t>
            </w:r>
            <w:r>
              <w:t>to initiate a separate WI/SI for</w:t>
            </w:r>
            <w:r>
              <w:rPr>
                <w:rFonts w:eastAsia="SimSun" w:hint="eastAsia"/>
                <w:lang w:val="en-US" w:eastAsia="zh-CN"/>
              </w:rPr>
              <w:t xml:space="preserve"> 6</w:t>
            </w:r>
            <w:r>
              <w:rPr>
                <w:rFonts w:eastAsia="SimSun"/>
                <w:lang w:val="en-US" w:eastAsia="zh-CN"/>
              </w:rPr>
              <w:t xml:space="preserve"> </w:t>
            </w:r>
            <w:r>
              <w:rPr>
                <w:rFonts w:eastAsia="SimSun" w:hint="eastAsia"/>
                <w:lang w:val="en-US" w:eastAsia="zh-CN"/>
              </w:rPr>
              <w:t xml:space="preserve">GHz band in Rel-17, since the </w:t>
            </w:r>
            <w:r>
              <w:t>regulatory</w:t>
            </w:r>
            <w:r>
              <w:rPr>
                <w:rFonts w:eastAsia="SimSun" w:hint="eastAsia"/>
                <w:lang w:val="en-US" w:eastAsia="zh-CN"/>
              </w:rPr>
              <w:t xml:space="preserve"> of 6</w:t>
            </w:r>
            <w:r>
              <w:rPr>
                <w:rFonts w:eastAsia="SimSun"/>
                <w:lang w:val="en-US" w:eastAsia="zh-CN"/>
              </w:rPr>
              <w:t xml:space="preserve"> </w:t>
            </w:r>
            <w:r>
              <w:rPr>
                <w:rFonts w:eastAsia="SimSun" w:hint="eastAsia"/>
                <w:lang w:val="en-US" w:eastAsia="zh-CN"/>
              </w:rPr>
              <w:t>GHz band has not been clearly defined in many regions.</w:t>
            </w:r>
          </w:p>
        </w:tc>
      </w:tr>
      <w:tr>
        <w:tc>
          <w:tcPr>
            <w:tcW w:w="1583" w:type="dxa"/>
          </w:tcPr>
          <w:p>
            <w:pPr>
              <w:pStyle w:val="ListParagraph"/>
              <w:ind w:left="0"/>
            </w:pPr>
            <w:r>
              <w:t>MediaTek</w:t>
            </w:r>
          </w:p>
        </w:tc>
        <w:tc>
          <w:tcPr>
            <w:tcW w:w="7910" w:type="dxa"/>
          </w:tcPr>
          <w:p>
            <w:pPr>
              <w:pStyle w:val="ListParagraph"/>
              <w:ind w:left="0"/>
            </w:pPr>
            <w:r>
              <w:t>We believe there are still essential left over works from R-16 that are generic to all use cases that warrant a separate NR-U WI. They are given in our phase I response and repeated here (with some revision)</w:t>
            </w:r>
          </w:p>
          <w:p>
            <w:pPr>
              <w:pStyle w:val="ListParagraph"/>
              <w:numPr>
                <w:ilvl w:val="0"/>
                <w:numId w:val="53"/>
              </w:numPr>
            </w:pPr>
            <w:r>
              <w:t>Initial access and mobility enhancements (if no finalized agreements made in next RAN1 meeting)</w:t>
            </w:r>
          </w:p>
          <w:p>
            <w:pPr>
              <w:pStyle w:val="ListParagraph"/>
              <w:numPr>
                <w:ilvl w:val="1"/>
                <w:numId w:val="53"/>
              </w:numPr>
            </w:pPr>
            <w:r>
              <w:t>In-sync/out-of-sync indications in RLM</w:t>
            </w:r>
          </w:p>
          <w:p>
            <w:pPr>
              <w:pStyle w:val="ListParagraph"/>
              <w:numPr>
                <w:ilvl w:val="1"/>
                <w:numId w:val="53"/>
              </w:numPr>
            </w:pPr>
            <w:r>
              <w:t>2-step RACH in NR-U</w:t>
            </w:r>
          </w:p>
          <w:p>
            <w:pPr>
              <w:pStyle w:val="ListParagraph"/>
              <w:numPr>
                <w:ilvl w:val="1"/>
                <w:numId w:val="53"/>
              </w:numPr>
            </w:pPr>
            <w:r>
              <w:t>Mechanism for UE to handle consistent missing of downlink reference signals</w:t>
            </w:r>
          </w:p>
          <w:p>
            <w:pPr>
              <w:pStyle w:val="ListParagraph"/>
              <w:numPr>
                <w:ilvl w:val="0"/>
                <w:numId w:val="53"/>
              </w:numPr>
            </w:pPr>
            <w:r>
              <w:t>Wideband operation enhancements</w:t>
            </w:r>
          </w:p>
          <w:p>
            <w:pPr>
              <w:pStyle w:val="ListParagraph"/>
              <w:numPr>
                <w:ilvl w:val="1"/>
                <w:numId w:val="53"/>
              </w:numPr>
            </w:pPr>
            <w:r>
              <w:t>Multiple UL transmission opportunities across LBT sub-bands/carriers to mitigate impact of LBT failure</w:t>
            </w:r>
          </w:p>
          <w:p>
            <w:pPr>
              <w:pStyle w:val="ListParagraph"/>
              <w:numPr>
                <w:ilvl w:val="1"/>
                <w:numId w:val="53"/>
              </w:numPr>
            </w:pPr>
            <w:r>
              <w:t>Utilization of guard bands between sub-bands for slots that are not initial slots in channel occupancy</w:t>
            </w:r>
          </w:p>
          <w:p>
            <w:pPr>
              <w:pStyle w:val="ListParagraph"/>
              <w:ind w:left="0"/>
            </w:pPr>
            <w:r>
              <w:t xml:space="preserve">Therefore, with a separate NR-U WI, the 6 GHz channel access and any regulatory concerns can be addressed here without having to introduce TEI or new working item. </w:t>
            </w:r>
          </w:p>
        </w:tc>
      </w:tr>
      <w:tr>
        <w:tc>
          <w:tcPr>
            <w:tcW w:w="1583" w:type="dxa"/>
          </w:tcPr>
          <w:p>
            <w:pPr>
              <w:pStyle w:val="ListParagraph"/>
              <w:ind w:left="0"/>
            </w:pPr>
            <w:r>
              <w:t>Ericsson</w:t>
            </w:r>
          </w:p>
        </w:tc>
        <w:tc>
          <w:tcPr>
            <w:tcW w:w="7910" w:type="dxa"/>
          </w:tcPr>
          <w:p>
            <w:pPr>
              <w:rPr>
                <w:color w:val="auto"/>
                <w:lang w:val="en-US" w:eastAsia="sv-SE"/>
              </w:rPr>
            </w:pPr>
            <w:r>
              <w:rPr>
                <w:lang w:val="en-US"/>
              </w:rPr>
              <w:t xml:space="preserve">The 6 GHz band is part of the scope of the Rel-16 work and NR should be able to operate in 6 GHz. Once the 6 GHz regulations are settled, there will be some work needed in RAN4, but this can probably be handled in a release independent way as has been done for other such aspects. If any other changes are considered necessary, these can be discussed when the 6 GHz regulations are settled and handled preferably as TEI. </w:t>
            </w:r>
          </w:p>
        </w:tc>
      </w:tr>
      <w:tr>
        <w:tc>
          <w:tcPr>
            <w:tcW w:w="1583" w:type="dxa"/>
          </w:tcPr>
          <w:p>
            <w:pPr>
              <w:pStyle w:val="ListParagraph"/>
              <w:ind w:left="0"/>
            </w:pPr>
            <w:r>
              <w:rPr>
                <w:rFonts w:hint="eastAsia"/>
              </w:rPr>
              <w:t>H</w:t>
            </w:r>
            <w:r>
              <w:t>uawei, HiSilicon</w:t>
            </w:r>
          </w:p>
        </w:tc>
        <w:tc>
          <w:tcPr>
            <w:tcW w:w="7910" w:type="dxa"/>
          </w:tcPr>
          <w:p>
            <w:pPr>
              <w:pStyle w:val="ListParagraph"/>
              <w:ind w:left="0"/>
            </w:pPr>
            <w:r>
              <w:t xml:space="preserve">The general consideration provided in response to question 1 also applies here. </w:t>
            </w:r>
            <w:r>
              <w:rPr>
                <w:rFonts w:hint="eastAsia"/>
              </w:rPr>
              <w:t>We do not see a ne</w:t>
            </w:r>
            <w:r>
              <w:t>cessity</w:t>
            </w:r>
            <w:r>
              <w:rPr>
                <w:rFonts w:hint="eastAsia"/>
              </w:rPr>
              <w:t xml:space="preserve"> to enhance the channel access mechanism for operation in 6 GHz spectrum</w:t>
            </w:r>
            <w:r>
              <w:t xml:space="preserve"> in Rel-17</w:t>
            </w:r>
            <w:r>
              <w:rPr>
                <w:rFonts w:hint="eastAsia"/>
              </w:rPr>
              <w:t xml:space="preserve">. </w:t>
            </w:r>
            <w:r>
              <w:t>Rel-16 specifications are in place and the creation of the relevant harmonized standard by ETSI BRAN requires stable specifications for the relevant standards (NR-U, 11ax). If specific work in RAN4 is required to ensure compliance to the regulations in 6 GHz spectrum then this can be handled by RAN4 in Rel-17 without impacting the channel access mechanism specified by RAN1. RAN4 could also consider the support of wideband LBT, i.e. LBT bandwidth larger than 20 MHz in a BWP larger than 20 MHz.</w:t>
            </w:r>
          </w:p>
        </w:tc>
      </w:tr>
      <w:tr>
        <w:tc>
          <w:tcPr>
            <w:tcW w:w="1583" w:type="dxa"/>
          </w:tcPr>
          <w:p>
            <w:pPr>
              <w:pStyle w:val="ListParagraph"/>
              <w:ind w:left="0"/>
            </w:pPr>
            <w:r>
              <w:t>Qualcomm</w:t>
            </w:r>
          </w:p>
        </w:tc>
        <w:tc>
          <w:tcPr>
            <w:tcW w:w="7910" w:type="dxa"/>
          </w:tcPr>
          <w:p>
            <w:pPr>
              <w:pStyle w:val="ListParagraph"/>
              <w:ind w:left="0"/>
            </w:pPr>
            <w:r>
              <w:t xml:space="preserve">We expect the 6GHz regulation to stabilize around the end of 2020. We would suggest to include that in the objectives of Re1.17 NR-U work item as 6GHz channel access enhancement, but start the work relatively late, say Q3 of 2020. If the 6GHz regulation turns out to be the same as 5GHz regulation, a general channel access enhancement can apply. If the 6GHz </w:t>
            </w:r>
            <w:r>
              <w:lastRenderedPageBreak/>
              <w:t>regulation is not identical from 5GHz regulation, a more specific 6GHz channel access enhancement may be needed.</w:t>
            </w:r>
          </w:p>
        </w:tc>
      </w:tr>
      <w:tr>
        <w:tc>
          <w:tcPr>
            <w:tcW w:w="1583" w:type="dxa"/>
          </w:tcPr>
          <w:p>
            <w:pPr>
              <w:pStyle w:val="ListParagraph"/>
              <w:ind w:left="0"/>
            </w:pPr>
            <w:r>
              <w:lastRenderedPageBreak/>
              <w:t>Charter Communications</w:t>
            </w:r>
          </w:p>
        </w:tc>
        <w:tc>
          <w:tcPr>
            <w:tcW w:w="7910" w:type="dxa"/>
          </w:tcPr>
          <w:p>
            <w:pPr>
              <w:pStyle w:val="ListParagraph"/>
              <w:ind w:left="0"/>
            </w:pPr>
            <w:r>
              <w:t>NR-U in Release-16 includes operation in 6GHz. Any necessary action, in light of upcoming 6GHz regulatory announcements in year 2020, or any potential enhancements, e.g. coexistence enhancements topics such as common preamble, can be treated in NR-U Enhancement WI.</w:t>
            </w:r>
          </w:p>
        </w:tc>
      </w:tr>
      <w:tr>
        <w:tc>
          <w:tcPr>
            <w:tcW w:w="1583" w:type="dxa"/>
          </w:tcPr>
          <w:p>
            <w:pPr>
              <w:pStyle w:val="ListParagraph"/>
              <w:ind w:left="0"/>
            </w:pPr>
            <w:r>
              <w:rPr>
                <w:rFonts w:eastAsia="Malgun Gothic" w:hint="eastAsia"/>
                <w:lang w:eastAsia="ko-KR"/>
              </w:rPr>
              <w:t>Samsung</w:t>
            </w:r>
          </w:p>
        </w:tc>
        <w:tc>
          <w:tcPr>
            <w:tcW w:w="7910" w:type="dxa"/>
          </w:tcPr>
          <w:p>
            <w:pPr>
              <w:pStyle w:val="ListParagraph"/>
              <w:ind w:left="0"/>
            </w:pPr>
            <w:r>
              <w:rPr>
                <w:rFonts w:eastAsia="Malgun Gothic"/>
                <w:lang w:eastAsia="ko-KR"/>
              </w:rPr>
              <w:t>Rel-16 NR-U has considered t</w:t>
            </w:r>
            <w:r>
              <w:rPr>
                <w:rFonts w:eastAsia="Malgun Gothic" w:hint="eastAsia"/>
                <w:lang w:eastAsia="ko-KR"/>
              </w:rPr>
              <w:t>he 6GHz</w:t>
            </w:r>
            <w:r>
              <w:rPr>
                <w:rFonts w:eastAsia="Malgun Gothic"/>
                <w:lang w:eastAsia="ko-KR"/>
              </w:rPr>
              <w:t xml:space="preserve"> band from the beginning and all or most of NR-U features are expected to be applicable to 6GHz. If a</w:t>
            </w:r>
            <w:r>
              <w:t>ny essential issues related to regulation (e.g. channelization) are identified, those can be considered as part of Rel-17, but may not need a separate WI.</w:t>
            </w:r>
          </w:p>
        </w:tc>
      </w:tr>
      <w:tr>
        <w:tc>
          <w:tcPr>
            <w:tcW w:w="1583" w:type="dxa"/>
          </w:tcPr>
          <w:p>
            <w:pPr>
              <w:pStyle w:val="ListParagraph"/>
              <w:ind w:left="0"/>
              <w:rPr>
                <w:rFonts w:eastAsia="Malgun Gothic"/>
                <w:lang w:eastAsia="ko-KR"/>
              </w:rPr>
            </w:pPr>
            <w:r>
              <w:t>Apple</w:t>
            </w:r>
          </w:p>
        </w:tc>
        <w:tc>
          <w:tcPr>
            <w:tcW w:w="7910" w:type="dxa"/>
          </w:tcPr>
          <w:p>
            <w:pPr>
              <w:pStyle w:val="ListParagraph"/>
              <w:ind w:left="0"/>
            </w:pPr>
            <w:r>
              <w:t xml:space="preserve">We share the views that it is sort of pre-mature to start the standardization work for 6GHz due to the unclear regulation status. </w:t>
            </w:r>
          </w:p>
        </w:tc>
      </w:tr>
      <w:tr>
        <w:tc>
          <w:tcPr>
            <w:tcW w:w="1583" w:type="dxa"/>
          </w:tcPr>
          <w:p>
            <w:pPr>
              <w:pStyle w:val="ListParagraph"/>
              <w:ind w:left="0"/>
            </w:pPr>
            <w:r>
              <w:t>Intel</w:t>
            </w:r>
          </w:p>
        </w:tc>
        <w:tc>
          <w:tcPr>
            <w:tcW w:w="7910" w:type="dxa"/>
          </w:tcPr>
          <w:p>
            <w:pPr>
              <w:pStyle w:val="ListParagraph"/>
              <w:ind w:left="0"/>
            </w:pPr>
            <w:r>
              <w:t>6GHz operation was one of the main scenarios for Rel-16 NR-U but harmonized standard on 6GHz regulation are currently being worked on by ETSI BRAN. Given that there is no clear guideline for 6GHz regulation, Rel-17 is not a good choice for enhancing 6GHz channel access. If 6GHz regulation is stabilized and it is clearly identified that enhancement is needed for 6GHz channel access, then we can revisit this question whether additional work is needed or not.</w:t>
            </w:r>
          </w:p>
        </w:tc>
      </w:tr>
      <w:tr>
        <w:tc>
          <w:tcPr>
            <w:tcW w:w="1583" w:type="dxa"/>
          </w:tcPr>
          <w:p>
            <w:pPr>
              <w:pStyle w:val="ListParagraph"/>
              <w:ind w:left="0"/>
            </w:pPr>
            <w:r>
              <w:rPr>
                <w:rFonts w:hint="eastAsia"/>
                <w:lang w:eastAsia="ja-JP"/>
              </w:rPr>
              <w:t>S</w:t>
            </w:r>
            <w:r>
              <w:rPr>
                <w:lang w:eastAsia="ja-JP"/>
              </w:rPr>
              <w:t>ony</w:t>
            </w:r>
          </w:p>
        </w:tc>
        <w:tc>
          <w:tcPr>
            <w:tcW w:w="7910" w:type="dxa"/>
          </w:tcPr>
          <w:p>
            <w:pPr>
              <w:pStyle w:val="ListParagraph"/>
              <w:ind w:left="0"/>
              <w:rPr>
                <w:lang w:eastAsia="ja-JP"/>
              </w:rPr>
            </w:pPr>
            <w:r>
              <w:rPr>
                <w:rFonts w:hint="eastAsia"/>
                <w:lang w:eastAsia="ja-JP"/>
              </w:rPr>
              <w:t>A</w:t>
            </w:r>
            <w:r>
              <w:rPr>
                <w:lang w:eastAsia="ja-JP"/>
              </w:rPr>
              <w:t>ny technical enhancements for 6 GHz channel access cannot be discussed until 6 GHz regulatory requirements are identified.</w:t>
            </w:r>
          </w:p>
          <w:p>
            <w:pPr>
              <w:pStyle w:val="ListParagraph"/>
              <w:ind w:left="0"/>
            </w:pPr>
            <w:r>
              <w:rPr>
                <w:lang w:eastAsia="ja-JP"/>
              </w:rPr>
              <w:t>6 GHz channel access can start to be discussed at later phase of Rel-17 on the WI on LBT enhancements for FR1 if this WI is approved in Rel-17, or on dedicated WI for 6 GHz channel access otherwise.</w:t>
            </w:r>
          </w:p>
        </w:tc>
      </w:tr>
      <w:tr>
        <w:tc>
          <w:tcPr>
            <w:tcW w:w="1583" w:type="dxa"/>
          </w:tcPr>
          <w:p>
            <w:pPr>
              <w:pStyle w:val="ListParagraph"/>
              <w:ind w:left="0"/>
              <w:rPr>
                <w:lang w:eastAsia="ja-JP"/>
              </w:rPr>
            </w:pPr>
            <w:r>
              <w:rPr>
                <w:lang w:eastAsia="ja-JP"/>
              </w:rPr>
              <w:t>InterDigital</w:t>
            </w:r>
          </w:p>
        </w:tc>
        <w:tc>
          <w:tcPr>
            <w:tcW w:w="7910" w:type="dxa"/>
          </w:tcPr>
          <w:p>
            <w:pPr>
              <w:rPr>
                <w:color w:val="auto"/>
                <w:lang w:val="en-US" w:eastAsia="en-US"/>
              </w:rPr>
            </w:pPr>
            <w:r>
              <w:t>Similar to our answer for Question 1, we believe that channel access for all frequency bands should be as harmonized as possible. The best way to ensure this is by having a single WI to handle channel access for all frequency bands. If necessary, the work on channel access for 6 GHz could be delayed within a R17 WI until the regulatory situation for 6 GHz spectrum reaches consensus.</w:t>
            </w:r>
          </w:p>
        </w:tc>
      </w:tr>
      <w:tr>
        <w:tc>
          <w:tcPr>
            <w:tcW w:w="1583" w:type="dxa"/>
          </w:tcPr>
          <w:p>
            <w:pPr>
              <w:pStyle w:val="ListParagraph"/>
              <w:ind w:left="0"/>
              <w:rPr>
                <w:lang w:eastAsia="ja-JP"/>
              </w:rPr>
            </w:pPr>
            <w:r>
              <w:rPr>
                <w:rFonts w:hint="eastAsia"/>
                <w:lang w:eastAsia="ja-JP"/>
              </w:rPr>
              <w:t>S</w:t>
            </w:r>
            <w:r>
              <w:rPr>
                <w:lang w:eastAsia="ja-JP"/>
              </w:rPr>
              <w:t>harp</w:t>
            </w:r>
          </w:p>
        </w:tc>
        <w:tc>
          <w:tcPr>
            <w:tcW w:w="7910" w:type="dxa"/>
          </w:tcPr>
          <w:p>
            <w:r>
              <w:t xml:space="preserve">Rel-16 NR-U scope covers 6GHz band already. When the 6GHz regulation gets </w:t>
            </w:r>
            <w:r>
              <w:rPr>
                <w:lang w:val="en-US"/>
              </w:rPr>
              <w:t>settled and only if any requirement change is identified by the stable regulation</w:t>
            </w:r>
            <w:r>
              <w:t>, the channel access for the 6GHz can be discussed in a new WI (e.g. TEI) or the WI which is running at that time.</w:t>
            </w:r>
          </w:p>
        </w:tc>
      </w:tr>
      <w:tr>
        <w:tc>
          <w:tcPr>
            <w:tcW w:w="1583" w:type="dxa"/>
          </w:tcPr>
          <w:p>
            <w:pPr>
              <w:pStyle w:val="ListParagraph"/>
              <w:ind w:left="0"/>
              <w:rPr>
                <w:rFonts w:eastAsia="Malgun Gothic"/>
                <w:lang w:eastAsia="ko-KR"/>
              </w:rPr>
            </w:pPr>
            <w:r>
              <w:rPr>
                <w:rFonts w:eastAsia="Malgun Gothic" w:hint="eastAsia"/>
                <w:lang w:eastAsia="ko-KR"/>
              </w:rPr>
              <w:t>LG</w:t>
            </w:r>
          </w:p>
        </w:tc>
        <w:tc>
          <w:tcPr>
            <w:tcW w:w="7910" w:type="dxa"/>
          </w:tcPr>
          <w:p>
            <w:pPr>
              <w:pStyle w:val="ListParagraph"/>
              <w:ind w:left="0"/>
              <w:rPr>
                <w:rFonts w:eastAsia="Malgun Gothic"/>
                <w:lang w:eastAsia="ko-KR"/>
              </w:rPr>
            </w:pPr>
            <w:r>
              <w:rPr>
                <w:rFonts w:eastAsia="Malgun Gothic" w:hint="eastAsia"/>
                <w:lang w:eastAsia="ko-KR"/>
              </w:rPr>
              <w:t xml:space="preserve">It is premature to initiate a separate work for LBT operation in 6GHz band since we should conclude on the </w:t>
            </w:r>
            <w:r>
              <w:rPr>
                <w:rFonts w:eastAsia="Malgun Gothic"/>
                <w:lang w:eastAsia="ko-KR"/>
              </w:rPr>
              <w:t xml:space="preserve">level of </w:t>
            </w:r>
            <w:r>
              <w:rPr>
                <w:rFonts w:eastAsia="Malgun Gothic" w:hint="eastAsia"/>
                <w:lang w:eastAsia="ko-KR"/>
              </w:rPr>
              <w:t xml:space="preserve">commonality </w:t>
            </w:r>
            <w:r>
              <w:rPr>
                <w:rFonts w:eastAsia="Malgun Gothic"/>
                <w:lang w:eastAsia="ko-KR"/>
              </w:rPr>
              <w:t xml:space="preserve">in the LBT operation </w:t>
            </w:r>
            <w:r>
              <w:rPr>
                <w:rFonts w:eastAsia="Malgun Gothic" w:hint="eastAsia"/>
                <w:lang w:eastAsia="ko-KR"/>
              </w:rPr>
              <w:t xml:space="preserve">between 6GHz and below 6GHz </w:t>
            </w:r>
            <w:r>
              <w:rPr>
                <w:rFonts w:eastAsia="Malgun Gothic"/>
                <w:lang w:eastAsia="ko-KR"/>
              </w:rPr>
              <w:t>first. RAN4 work may be necessary to specify, e.g., channel raster, band allocation in 6GHz band, which depends on the situation on the overall 6GHz discussion again.</w:t>
            </w:r>
          </w:p>
        </w:tc>
      </w:tr>
      <w:tr>
        <w:tc>
          <w:tcPr>
            <w:tcW w:w="1583" w:type="dxa"/>
          </w:tcPr>
          <w:p>
            <w:pPr>
              <w:pStyle w:val="ListParagraph"/>
              <w:ind w:left="0"/>
            </w:pPr>
            <w:r>
              <w:t>Lenovo, Motorola Mobility</w:t>
            </w:r>
          </w:p>
        </w:tc>
        <w:tc>
          <w:tcPr>
            <w:tcW w:w="7910" w:type="dxa"/>
          </w:tcPr>
          <w:p>
            <w:pPr>
              <w:pStyle w:val="ListParagraph"/>
              <w:ind w:left="0"/>
            </w:pPr>
            <w:r>
              <w:t xml:space="preserve">At this point of time, it seems premature to conclude on the need of 6 GHz-specific enhancements since the reguation process is ongoing. For the time being, it appears reasonable to assume that 3GPP's channel access rules can be at least a baseline for 6 GHz. We think it should be possible to initiate a Rel-17 SI/WI on 6 GHz-specific issues at a later time. </w:t>
            </w:r>
          </w:p>
        </w:tc>
      </w:tr>
      <w:tr>
        <w:tc>
          <w:tcPr>
            <w:tcW w:w="1583" w:type="dxa"/>
          </w:tcPr>
          <w:p>
            <w:pPr>
              <w:pStyle w:val="ListParagraph"/>
              <w:ind w:left="0"/>
            </w:pPr>
            <w:r>
              <w:rPr>
                <w:rFonts w:hint="eastAsia"/>
              </w:rPr>
              <w:t>Spreadtrum</w:t>
            </w:r>
          </w:p>
        </w:tc>
        <w:tc>
          <w:tcPr>
            <w:tcW w:w="7910" w:type="dxa"/>
          </w:tcPr>
          <w:p>
            <w:pPr>
              <w:pStyle w:val="ListParagraph"/>
              <w:ind w:left="0"/>
            </w:pPr>
            <w:r>
              <w:t xml:space="preserve">The WI can be prepared for the coming 6GHz regulation, and common preamble for better coexistence can be studied. </w:t>
            </w:r>
          </w:p>
        </w:tc>
      </w:tr>
      <w:tr>
        <w:tc>
          <w:tcPr>
            <w:tcW w:w="1583" w:type="dxa"/>
          </w:tcPr>
          <w:p>
            <w:pPr>
              <w:pStyle w:val="ListParagraph"/>
              <w:ind w:left="0"/>
            </w:pPr>
            <w:r>
              <w:t>AT&amp;T</w:t>
            </w:r>
          </w:p>
        </w:tc>
        <w:tc>
          <w:tcPr>
            <w:tcW w:w="7910" w:type="dxa"/>
          </w:tcPr>
          <w:p>
            <w:pPr>
              <w:pStyle w:val="ListParagraph"/>
              <w:ind w:left="0"/>
            </w:pPr>
            <w:r>
              <w:t xml:space="preserve">Since the 6 GHz band has already been in the scope for Rel. 16, we don’t see why this could become an issue in Rel. 17, specifically in RAN1. As mentioned by others, there may be some RAN4 work necessary especially for the 6 GHz band, but when it comes to channel access procedures in RAN1, and particularly to LBT enhancements such as directional LBT and receiver-assisted / closed-loop LBT we don’t see the situation as being different from Rel. 16 where except for the fairness criterion for coexistence, we never specifically discussed either the 5 or 6 GHz band. </w:t>
            </w:r>
          </w:p>
        </w:tc>
      </w:tr>
      <w:tr>
        <w:tc>
          <w:tcPr>
            <w:tcW w:w="1583" w:type="dxa"/>
          </w:tcPr>
          <w:p>
            <w:pPr>
              <w:pStyle w:val="ListParagraph"/>
              <w:ind w:left="0"/>
            </w:pPr>
            <w:r>
              <w:t>CableLabs</w:t>
            </w:r>
          </w:p>
        </w:tc>
        <w:tc>
          <w:tcPr>
            <w:tcW w:w="7910" w:type="dxa"/>
          </w:tcPr>
          <w:p>
            <w:pPr>
              <w:pStyle w:val="ListParagraph"/>
              <w:ind w:left="0"/>
            </w:pPr>
            <w:r>
              <w:t>We expect to see some of the future regulatory rulings (e.g. EU, FCC) to eventually not overlap with some of both the channel access mechanisms and spectra specifications. The second part of the NR-U Rel 17 WID should be able to address these possible changes.</w:t>
            </w:r>
          </w:p>
        </w:tc>
      </w:tr>
      <w:tr>
        <w:tc>
          <w:tcPr>
            <w:tcW w:w="1583" w:type="dxa"/>
          </w:tcPr>
          <w:p>
            <w:pPr>
              <w:pStyle w:val="ListParagraph"/>
              <w:ind w:left="0"/>
            </w:pPr>
            <w:r>
              <w:t>BlackBerry</w:t>
            </w:r>
          </w:p>
        </w:tc>
        <w:tc>
          <w:tcPr>
            <w:tcW w:w="7910" w:type="dxa"/>
          </w:tcPr>
          <w:p>
            <w:pPr>
              <w:pStyle w:val="ListParagraph"/>
              <w:ind w:left="0"/>
            </w:pPr>
            <w:r>
              <w:t xml:space="preserve">Our expectation, is also that the regulatory aspects relating to 6 GHz band are expected to be available within REL-17 timeline. We support the idea proposed to capture studying aspects </w:t>
            </w:r>
            <w:r>
              <w:lastRenderedPageBreak/>
              <w:t xml:space="preserve">relating to enhanced channel access for this band explicitly within a common REL-17 NR-U WID. </w:t>
            </w:r>
          </w:p>
        </w:tc>
      </w:tr>
      <w:tr>
        <w:tc>
          <w:tcPr>
            <w:tcW w:w="1583" w:type="dxa"/>
          </w:tcPr>
          <w:p>
            <w:pPr>
              <w:pStyle w:val="ListParagraph"/>
              <w:ind w:left="0"/>
            </w:pPr>
            <w:r>
              <w:lastRenderedPageBreak/>
              <w:t>Broadcom</w:t>
            </w:r>
          </w:p>
        </w:tc>
        <w:tc>
          <w:tcPr>
            <w:tcW w:w="7910" w:type="dxa"/>
          </w:tcPr>
          <w:p>
            <w:pPr>
              <w:pStyle w:val="ListParagraph"/>
              <w:ind w:left="0"/>
            </w:pPr>
            <w:r>
              <w:t>Channel access regulations in 6 GHz are not expected to preclude those applicable for 5 GHz. However, there is an opportunity to consider channel access enhancements anew for NR-U in 6 GHz, for better performance of NR-U as also better coexistence between NR-U and other unlicensed technologies.</w:t>
            </w:r>
          </w:p>
        </w:tc>
      </w:tr>
      <w:tr>
        <w:tc>
          <w:tcPr>
            <w:tcW w:w="1583" w:type="dxa"/>
          </w:tcPr>
          <w:p>
            <w:pPr>
              <w:pStyle w:val="ListParagraph"/>
              <w:ind w:left="0"/>
            </w:pPr>
            <w:r>
              <w:t>TCL</w:t>
            </w:r>
          </w:p>
        </w:tc>
        <w:tc>
          <w:tcPr>
            <w:tcW w:w="7910" w:type="dxa"/>
          </w:tcPr>
          <w:p>
            <w:pPr>
              <w:pStyle w:val="ListParagraph"/>
              <w:ind w:left="0"/>
            </w:pPr>
            <w:r>
              <w:t>Our view is that Rel-17 enhancements to channel access include the 6GHz band.</w:t>
            </w:r>
          </w:p>
        </w:tc>
      </w:tr>
    </w:tbl>
    <w:p>
      <w:pPr>
        <w:pStyle w:val="ListParagraph"/>
        <w:ind w:left="0"/>
      </w:pPr>
    </w:p>
    <w:p>
      <w:pPr>
        <w:pStyle w:val="ListParagraph"/>
        <w:ind w:left="0"/>
      </w:pPr>
    </w:p>
    <w:p>
      <w:pPr>
        <w:pStyle w:val="ListParagraph"/>
        <w:ind w:left="0"/>
        <w:rPr>
          <w:b/>
          <w:u w:val="single"/>
        </w:rPr>
      </w:pPr>
      <w:r>
        <w:rPr>
          <w:b/>
          <w:u w:val="single"/>
        </w:rPr>
        <w:t>Question 3</w:t>
      </w:r>
    </w:p>
    <w:p>
      <w:pPr>
        <w:pStyle w:val="ListParagraph"/>
        <w:ind w:left="0"/>
      </w:pPr>
    </w:p>
    <w:p>
      <w:pPr>
        <w:pStyle w:val="ListParagraph"/>
        <w:ind w:left="0"/>
      </w:pPr>
      <w:r>
        <w:t>Which RLM/RRM leftovers are necessary to consider for any potential NR-U enhancement item in Rel-17?</w:t>
      </w:r>
    </w:p>
    <w:p>
      <w:pPr>
        <w:pStyle w:val="ListParagraph"/>
        <w:ind w:left="0"/>
      </w:pPr>
    </w:p>
    <w:tbl>
      <w:tblPr>
        <w:tblStyle w:val="TableGrid"/>
        <w:tblW w:w="9493" w:type="dxa"/>
        <w:tblLook w:val="04A0" w:firstRow="1" w:lastRow="0" w:firstColumn="1" w:lastColumn="0" w:noHBand="0" w:noVBand="1"/>
      </w:tblPr>
      <w:tblGrid>
        <w:gridCol w:w="1583"/>
        <w:gridCol w:w="7910"/>
      </w:tblGrid>
      <w:tr>
        <w:tc>
          <w:tcPr>
            <w:tcW w:w="1583" w:type="dxa"/>
          </w:tcPr>
          <w:p>
            <w:pPr>
              <w:pStyle w:val="ListParagraph"/>
              <w:ind w:left="0"/>
              <w:rPr>
                <w:b/>
              </w:rPr>
            </w:pPr>
            <w:r>
              <w:rPr>
                <w:b/>
              </w:rPr>
              <w:t>Company</w:t>
            </w:r>
          </w:p>
        </w:tc>
        <w:tc>
          <w:tcPr>
            <w:tcW w:w="7910" w:type="dxa"/>
          </w:tcPr>
          <w:p>
            <w:pPr>
              <w:pStyle w:val="ListParagraph"/>
              <w:ind w:left="0"/>
              <w:rPr>
                <w:b/>
              </w:rPr>
            </w:pPr>
            <w:r>
              <w:rPr>
                <w:b/>
              </w:rPr>
              <w:t>Answer</w:t>
            </w:r>
          </w:p>
        </w:tc>
      </w:tr>
      <w:tr>
        <w:tc>
          <w:tcPr>
            <w:tcW w:w="1583" w:type="dxa"/>
          </w:tcPr>
          <w:p>
            <w:pPr>
              <w:pStyle w:val="ListParagraph"/>
              <w:ind w:left="0"/>
            </w:pPr>
            <w:r>
              <w:t>Nokia, Nokia Shanghai Bell</w:t>
            </w:r>
          </w:p>
        </w:tc>
        <w:tc>
          <w:tcPr>
            <w:tcW w:w="7910" w:type="dxa"/>
          </w:tcPr>
          <w:p>
            <w:pPr>
              <w:pStyle w:val="ListParagraph"/>
              <w:ind w:left="0"/>
            </w:pPr>
            <w:r>
              <w:rPr>
                <w:lang w:val="en-US"/>
              </w:rPr>
              <w:t>From Nokia perspective, the only relevant RLM/RRM leftovers that could be addressed in Rel-17 are CHO triggers specific to NR-U, which should be considered under mobility enhancements.</w:t>
            </w:r>
          </w:p>
        </w:tc>
      </w:tr>
      <w:tr>
        <w:tc>
          <w:tcPr>
            <w:tcW w:w="1583" w:type="dxa"/>
          </w:tcPr>
          <w:p>
            <w:pPr>
              <w:pStyle w:val="ListParagraph"/>
              <w:ind w:left="0"/>
            </w:pPr>
            <w:r>
              <w:t>ZTE</w:t>
            </w:r>
          </w:p>
        </w:tc>
        <w:tc>
          <w:tcPr>
            <w:tcW w:w="7910" w:type="dxa"/>
          </w:tcPr>
          <w:p>
            <w:pPr>
              <w:pStyle w:val="ListParagraph"/>
              <w:ind w:left="0"/>
            </w:pPr>
            <w:r>
              <w:rPr>
                <w:rFonts w:eastAsia="SimSun" w:hint="eastAsia"/>
                <w:sz w:val="21"/>
                <w:szCs w:val="22"/>
                <w:lang w:val="en-US" w:eastAsia="zh-CN"/>
              </w:rPr>
              <w:t xml:space="preserve">RSSI based cell (re-)selection can be considered </w:t>
            </w:r>
            <w:r>
              <w:rPr>
                <w:lang w:val="en-US"/>
              </w:rPr>
              <w:t>under mobility enhancements</w:t>
            </w:r>
            <w:r>
              <w:rPr>
                <w:rFonts w:eastAsia="SimSun" w:hint="eastAsia"/>
                <w:sz w:val="21"/>
                <w:szCs w:val="22"/>
                <w:lang w:val="en-US" w:eastAsia="zh-CN"/>
              </w:rPr>
              <w:t>.</w:t>
            </w:r>
          </w:p>
        </w:tc>
      </w:tr>
      <w:tr>
        <w:tc>
          <w:tcPr>
            <w:tcW w:w="1583" w:type="dxa"/>
          </w:tcPr>
          <w:p>
            <w:pPr>
              <w:pStyle w:val="ListParagraph"/>
              <w:ind w:left="0"/>
            </w:pPr>
            <w:r>
              <w:t>MediaTek</w:t>
            </w:r>
          </w:p>
        </w:tc>
        <w:tc>
          <w:tcPr>
            <w:tcW w:w="7910" w:type="dxa"/>
          </w:tcPr>
          <w:p>
            <w:pPr>
              <w:pStyle w:val="ListParagraph"/>
              <w:ind w:left="0"/>
            </w:pPr>
            <w:r>
              <w:t xml:space="preserve">As our answer to Question 2, if finalized agreements are not made in the final Rel-16 RAN1 meeting, the following RLM/RRM leftovers should be considered. </w:t>
            </w:r>
          </w:p>
          <w:p>
            <w:pPr>
              <w:pStyle w:val="ListParagraph"/>
              <w:numPr>
                <w:ilvl w:val="0"/>
                <w:numId w:val="54"/>
              </w:numPr>
            </w:pPr>
            <w:r>
              <w:t>In-sync/out-of-sync indications in RLM</w:t>
            </w:r>
          </w:p>
          <w:p>
            <w:pPr>
              <w:pStyle w:val="ListParagraph"/>
              <w:numPr>
                <w:ilvl w:val="0"/>
                <w:numId w:val="54"/>
              </w:numPr>
            </w:pPr>
            <w:r>
              <w:t>Mechanism for UE to handle consistent missing of downlink reference signals</w:t>
            </w:r>
          </w:p>
        </w:tc>
      </w:tr>
      <w:tr>
        <w:tc>
          <w:tcPr>
            <w:tcW w:w="1583" w:type="dxa"/>
          </w:tcPr>
          <w:p>
            <w:pPr>
              <w:pStyle w:val="ListParagraph"/>
              <w:ind w:left="0"/>
            </w:pPr>
            <w:r>
              <w:t>Ericsson</w:t>
            </w:r>
          </w:p>
        </w:tc>
        <w:tc>
          <w:tcPr>
            <w:tcW w:w="7910" w:type="dxa"/>
          </w:tcPr>
          <w:p>
            <w:pPr>
              <w:rPr>
                <w:color w:val="auto"/>
                <w:szCs w:val="22"/>
                <w:lang w:val="en-US" w:eastAsia="sv-SE"/>
              </w:rPr>
            </w:pPr>
            <w:r>
              <w:rPr>
                <w:szCs w:val="22"/>
                <w:lang w:val="en-US"/>
              </w:rPr>
              <w:t>Currently (pending WI outcome), we don’t see any RLM/RRM leftovers that are necessary to consider as NR-U enhancements in Rel-17.</w:t>
            </w:r>
          </w:p>
        </w:tc>
      </w:tr>
      <w:tr>
        <w:tc>
          <w:tcPr>
            <w:tcW w:w="1583" w:type="dxa"/>
          </w:tcPr>
          <w:p>
            <w:pPr>
              <w:pStyle w:val="ListParagraph"/>
              <w:ind w:left="0"/>
            </w:pPr>
            <w:r>
              <w:rPr>
                <w:rFonts w:hint="eastAsia"/>
              </w:rPr>
              <w:t>H</w:t>
            </w:r>
            <w:r>
              <w:t>uawei, HiSilicon</w:t>
            </w:r>
          </w:p>
        </w:tc>
        <w:tc>
          <w:tcPr>
            <w:tcW w:w="7910" w:type="dxa"/>
          </w:tcPr>
          <w:p>
            <w:pPr>
              <w:pStyle w:val="ListParagraph"/>
              <w:ind w:left="0"/>
            </w:pPr>
            <w:r>
              <w:t>At RAN</w:t>
            </w:r>
            <w:r>
              <w:rPr>
                <w:rFonts w:asciiTheme="minorEastAsia" w:eastAsiaTheme="minorEastAsia" w:hAnsiTheme="minorEastAsia" w:hint="eastAsia"/>
                <w:lang w:eastAsia="zh-CN"/>
              </w:rPr>
              <w:t>#</w:t>
            </w:r>
            <w:r>
              <w:t>8</w:t>
            </w:r>
            <w:r>
              <w:rPr>
                <w:lang w:val="en-US"/>
              </w:rPr>
              <w:t>4, supporting CSI-RS measurement outside of DRS was categorized as an optimization and deprioritized due to limited time. The performance of RLM</w:t>
            </w:r>
            <w:r>
              <w:rPr>
                <w:rFonts w:eastAsiaTheme="minorEastAsia"/>
                <w:lang w:val="en-US" w:eastAsia="zh-CN"/>
              </w:rPr>
              <w:t>/RRM</w:t>
            </w:r>
            <w:r>
              <w:rPr>
                <w:lang w:val="en-US"/>
              </w:rPr>
              <w:t xml:space="preserve"> will be impacted if a UE only measures CSI-RS in DRS window, or if CSI-RS that was not transmitted due to LBT failure either in time or frequency domain is still included in IS/OOS procedure. If this is not fixed in Rel-16 then it could be considered in Rel-17.</w:t>
            </w:r>
          </w:p>
        </w:tc>
      </w:tr>
      <w:tr>
        <w:tc>
          <w:tcPr>
            <w:tcW w:w="1583" w:type="dxa"/>
          </w:tcPr>
          <w:p>
            <w:pPr>
              <w:pStyle w:val="ListParagraph"/>
              <w:ind w:left="0"/>
            </w:pPr>
            <w:r>
              <w:t>Qualcomm</w:t>
            </w:r>
          </w:p>
        </w:tc>
        <w:tc>
          <w:tcPr>
            <w:tcW w:w="7910" w:type="dxa"/>
          </w:tcPr>
          <w:p>
            <w:pPr>
              <w:pStyle w:val="ListParagraph"/>
              <w:ind w:left="0"/>
            </w:pPr>
            <w:r>
              <w:t>Can be handled in other WIs</w:t>
            </w:r>
          </w:p>
        </w:tc>
      </w:tr>
      <w:tr>
        <w:tc>
          <w:tcPr>
            <w:tcW w:w="1583" w:type="dxa"/>
          </w:tcPr>
          <w:p>
            <w:pPr>
              <w:pStyle w:val="ListParagraph"/>
              <w:ind w:left="0"/>
            </w:pPr>
            <w:r>
              <w:t>Charter Communications</w:t>
            </w:r>
          </w:p>
        </w:tc>
        <w:tc>
          <w:tcPr>
            <w:tcW w:w="7910" w:type="dxa"/>
          </w:tcPr>
          <w:p>
            <w:pPr>
              <w:pStyle w:val="ListParagraph"/>
              <w:ind w:left="0"/>
            </w:pPr>
            <w:r>
              <w:t>The RLM/RRM topics were deprioritized from Release-16. Specifically for RLM, enhancements in use of aperiodic RLM-RS outside DRS Tx window.</w:t>
            </w:r>
          </w:p>
        </w:tc>
      </w:tr>
      <w:tr>
        <w:tc>
          <w:tcPr>
            <w:tcW w:w="1583" w:type="dxa"/>
          </w:tcPr>
          <w:p>
            <w:pPr>
              <w:pStyle w:val="ListParagraph"/>
              <w:ind w:left="0"/>
            </w:pPr>
            <w:r>
              <w:rPr>
                <w:rFonts w:eastAsia="Malgun Gothic" w:hint="eastAsia"/>
                <w:lang w:eastAsia="ko-KR"/>
              </w:rPr>
              <w:t>Samsung</w:t>
            </w:r>
          </w:p>
        </w:tc>
        <w:tc>
          <w:tcPr>
            <w:tcW w:w="7910" w:type="dxa"/>
          </w:tcPr>
          <w:p>
            <w:pPr>
              <w:pStyle w:val="ListParagraph"/>
              <w:ind w:left="0"/>
            </w:pPr>
            <w:r>
              <w:rPr>
                <w:rFonts w:eastAsia="Malgun Gothic"/>
                <w:lang w:eastAsia="ko-KR"/>
              </w:rPr>
              <w:t>We don’t see that there are RRM/RLM leftovers to be considered in Rel-17</w:t>
            </w:r>
          </w:p>
        </w:tc>
      </w:tr>
      <w:tr>
        <w:tc>
          <w:tcPr>
            <w:tcW w:w="1583" w:type="dxa"/>
          </w:tcPr>
          <w:p>
            <w:pPr>
              <w:pStyle w:val="ListParagraph"/>
              <w:ind w:left="0"/>
              <w:rPr>
                <w:rFonts w:eastAsia="Malgun Gothic"/>
                <w:lang w:eastAsia="ko-KR"/>
              </w:rPr>
            </w:pPr>
            <w:r>
              <w:t xml:space="preserve">Apple </w:t>
            </w:r>
          </w:p>
        </w:tc>
        <w:tc>
          <w:tcPr>
            <w:tcW w:w="7910" w:type="dxa"/>
          </w:tcPr>
          <w:p>
            <w:pPr>
              <w:pStyle w:val="ListParagraph"/>
              <w:ind w:left="0"/>
            </w:pPr>
            <w:r>
              <w:t>Currently RAN4 is still working on RLM/RRM for Rel-16 NR-U. It is preferable to wait for RAN4 further progress and then decide whether the leftover RLM/RRM items are motivated/included for separate NR-U work item.</w:t>
            </w:r>
          </w:p>
        </w:tc>
      </w:tr>
      <w:tr>
        <w:tc>
          <w:tcPr>
            <w:tcW w:w="1583" w:type="dxa"/>
          </w:tcPr>
          <w:p>
            <w:pPr>
              <w:pStyle w:val="ListParagraph"/>
              <w:ind w:left="0"/>
            </w:pPr>
            <w:r>
              <w:t>Intel</w:t>
            </w:r>
          </w:p>
        </w:tc>
        <w:tc>
          <w:tcPr>
            <w:tcW w:w="7910" w:type="dxa"/>
          </w:tcPr>
          <w:p>
            <w:pPr>
              <w:pStyle w:val="ListParagraph"/>
              <w:ind w:left="0"/>
            </w:pPr>
            <w:r>
              <w:t>Whether any RLM/RRM leftovers are necessary to consider as NR-U enhancements in Rel-17 will depend on the completion of Rel-16 in RAN1.</w:t>
            </w:r>
          </w:p>
        </w:tc>
      </w:tr>
      <w:tr>
        <w:tc>
          <w:tcPr>
            <w:tcW w:w="1583" w:type="dxa"/>
          </w:tcPr>
          <w:p>
            <w:pPr>
              <w:pStyle w:val="ListParagraph"/>
              <w:ind w:left="0"/>
            </w:pPr>
            <w:r>
              <w:rPr>
                <w:rFonts w:hint="eastAsia"/>
                <w:lang w:eastAsia="ja-JP"/>
              </w:rPr>
              <w:t>S</w:t>
            </w:r>
            <w:r>
              <w:rPr>
                <w:lang w:eastAsia="ja-JP"/>
              </w:rPr>
              <w:t>ony</w:t>
            </w:r>
          </w:p>
        </w:tc>
        <w:tc>
          <w:tcPr>
            <w:tcW w:w="7910" w:type="dxa"/>
          </w:tcPr>
          <w:p>
            <w:pPr>
              <w:pStyle w:val="ListParagraph"/>
              <w:ind w:left="0"/>
            </w:pPr>
            <w:r>
              <w:rPr>
                <w:lang w:eastAsia="ja-JP"/>
              </w:rPr>
              <w:t>RLM/RRM leftovers could be discussed under mobility enhancements.</w:t>
            </w:r>
          </w:p>
        </w:tc>
      </w:tr>
      <w:tr>
        <w:tc>
          <w:tcPr>
            <w:tcW w:w="1583" w:type="dxa"/>
          </w:tcPr>
          <w:p>
            <w:pPr>
              <w:pStyle w:val="ListParagraph"/>
              <w:ind w:left="0"/>
              <w:rPr>
                <w:lang w:eastAsia="ja-JP"/>
              </w:rPr>
            </w:pPr>
            <w:r>
              <w:rPr>
                <w:lang w:eastAsia="ja-JP"/>
              </w:rPr>
              <w:t>InterDigital</w:t>
            </w:r>
          </w:p>
        </w:tc>
        <w:tc>
          <w:tcPr>
            <w:tcW w:w="7910" w:type="dxa"/>
          </w:tcPr>
          <w:p>
            <w:pPr>
              <w:rPr>
                <w:color w:val="auto"/>
                <w:lang w:val="en-US" w:eastAsia="en-US"/>
              </w:rPr>
            </w:pPr>
            <w:r>
              <w:t>Given that the scope of NR-U in R16 was large and time limited, multiple RRM/RLM enhancements were down-prioritized. These should be addressed in R17 and they include:  enhancements to RRM to make better use of available RSSI and CO measurements (including subband level measurements), enhancements to RLM for non-transmitted RLM-RS, CHO triggers specific to NR-U.</w:t>
            </w:r>
          </w:p>
        </w:tc>
      </w:tr>
      <w:tr>
        <w:tc>
          <w:tcPr>
            <w:tcW w:w="1583" w:type="dxa"/>
          </w:tcPr>
          <w:p>
            <w:pPr>
              <w:pStyle w:val="ListParagraph"/>
              <w:ind w:left="0"/>
              <w:rPr>
                <w:lang w:eastAsia="ja-JP"/>
              </w:rPr>
            </w:pPr>
            <w:r>
              <w:rPr>
                <w:rFonts w:hint="eastAsia"/>
                <w:lang w:eastAsia="ja-JP"/>
              </w:rPr>
              <w:t>S</w:t>
            </w:r>
            <w:r>
              <w:rPr>
                <w:lang w:eastAsia="ja-JP"/>
              </w:rPr>
              <w:t>harp</w:t>
            </w:r>
          </w:p>
        </w:tc>
        <w:tc>
          <w:tcPr>
            <w:tcW w:w="7910" w:type="dxa"/>
          </w:tcPr>
          <w:p>
            <w:r>
              <w:t>RLM/RRM for mobility enhancements.</w:t>
            </w:r>
          </w:p>
        </w:tc>
      </w:tr>
      <w:tr>
        <w:tc>
          <w:tcPr>
            <w:tcW w:w="1583" w:type="dxa"/>
          </w:tcPr>
          <w:p>
            <w:pPr>
              <w:pStyle w:val="ListParagraph"/>
              <w:ind w:left="0"/>
              <w:rPr>
                <w:rFonts w:eastAsia="Malgun Gothic"/>
                <w:lang w:eastAsia="ko-KR"/>
              </w:rPr>
            </w:pPr>
            <w:r>
              <w:rPr>
                <w:rFonts w:eastAsia="Malgun Gothic" w:hint="eastAsia"/>
                <w:lang w:eastAsia="ko-KR"/>
              </w:rPr>
              <w:t>LG</w:t>
            </w:r>
          </w:p>
        </w:tc>
        <w:tc>
          <w:tcPr>
            <w:tcW w:w="7910" w:type="dxa"/>
          </w:tcPr>
          <w:p>
            <w:pPr>
              <w:pStyle w:val="ListParagraph"/>
              <w:ind w:left="0"/>
              <w:rPr>
                <w:rFonts w:eastAsia="Malgun Gothic"/>
                <w:lang w:eastAsia="ko-KR"/>
              </w:rPr>
            </w:pPr>
            <w:r>
              <w:rPr>
                <w:rFonts w:eastAsia="Malgun Gothic" w:hint="eastAsia"/>
                <w:lang w:eastAsia="ko-KR"/>
              </w:rPr>
              <w:t>We don</w:t>
            </w:r>
            <w:r>
              <w:rPr>
                <w:rFonts w:eastAsia="Malgun Gothic"/>
                <w:lang w:eastAsia="ko-KR"/>
              </w:rPr>
              <w:t>’t see an urgent leftovers regarding RLM/RRM to be specified in Rel-17</w:t>
            </w:r>
          </w:p>
        </w:tc>
      </w:tr>
      <w:tr>
        <w:tc>
          <w:tcPr>
            <w:tcW w:w="1583" w:type="dxa"/>
          </w:tcPr>
          <w:p>
            <w:pPr>
              <w:pStyle w:val="ListParagraph"/>
              <w:ind w:left="0"/>
              <w:rPr>
                <w:rFonts w:eastAsia="Malgun Gothic"/>
                <w:lang w:eastAsia="ko-KR"/>
              </w:rPr>
            </w:pPr>
            <w:r>
              <w:rPr>
                <w:rFonts w:eastAsia="Malgun Gothic" w:hint="eastAsia"/>
                <w:lang w:eastAsia="ko-KR"/>
              </w:rPr>
              <w:lastRenderedPageBreak/>
              <w:t>Spreadtrum</w:t>
            </w:r>
          </w:p>
        </w:tc>
        <w:tc>
          <w:tcPr>
            <w:tcW w:w="7910" w:type="dxa"/>
          </w:tcPr>
          <w:p>
            <w:pPr>
              <w:pStyle w:val="ListParagraph"/>
              <w:ind w:left="0"/>
              <w:rPr>
                <w:rFonts w:eastAsia="Malgun Gothic"/>
                <w:lang w:eastAsia="ko-KR"/>
              </w:rPr>
            </w:pPr>
            <w:r>
              <w:t>UE determination of SSB presence or not may be discussed further in RAN4/RAN2 in R16. Further increasing TXOP of SSB at gNB seems a non-critical enhancement. We’re not sure whether it should be enhanced in R17.</w:t>
            </w:r>
          </w:p>
        </w:tc>
      </w:tr>
      <w:tr>
        <w:tc>
          <w:tcPr>
            <w:tcW w:w="1583" w:type="dxa"/>
          </w:tcPr>
          <w:p>
            <w:pPr>
              <w:pStyle w:val="ListParagraph"/>
              <w:ind w:left="0"/>
              <w:rPr>
                <w:rFonts w:eastAsia="Malgun Gothic"/>
                <w:lang w:eastAsia="ko-KR"/>
              </w:rPr>
            </w:pPr>
            <w:r>
              <w:rPr>
                <w:rFonts w:eastAsia="Malgun Gothic"/>
                <w:lang w:eastAsia="ko-KR"/>
              </w:rPr>
              <w:t>AT&amp;T</w:t>
            </w:r>
          </w:p>
        </w:tc>
        <w:tc>
          <w:tcPr>
            <w:tcW w:w="7910" w:type="dxa"/>
          </w:tcPr>
          <w:p>
            <w:pPr>
              <w:pStyle w:val="ListParagraph"/>
              <w:ind w:left="0"/>
            </w:pPr>
            <w:r>
              <w:t xml:space="preserve">We don’t see the need to discuss RRM/RLM leftovers in Rel-17. If there are any, it should be discussed to address these in other WIDs to focus on channel access in NR-U. </w:t>
            </w:r>
          </w:p>
        </w:tc>
      </w:tr>
      <w:tr>
        <w:tc>
          <w:tcPr>
            <w:tcW w:w="1583" w:type="dxa"/>
          </w:tcPr>
          <w:p>
            <w:pPr>
              <w:pStyle w:val="ListParagraph"/>
              <w:ind w:left="0"/>
              <w:rPr>
                <w:rFonts w:eastAsia="Malgun Gothic"/>
                <w:lang w:eastAsia="ko-KR"/>
              </w:rPr>
            </w:pPr>
            <w:r>
              <w:rPr>
                <w:rFonts w:eastAsia="Malgun Gothic"/>
                <w:lang w:eastAsia="ko-KR"/>
              </w:rPr>
              <w:t>CableLabs</w:t>
            </w:r>
          </w:p>
        </w:tc>
        <w:tc>
          <w:tcPr>
            <w:tcW w:w="7910" w:type="dxa"/>
          </w:tcPr>
          <w:p>
            <w:pPr>
              <w:pStyle w:val="ListParagraph"/>
              <w:ind w:left="0"/>
            </w:pPr>
            <w:r>
              <w:t>Dependent on the completion of RAN4/RAN2 level of RRM/RLM completion in Rel 17.</w:t>
            </w:r>
          </w:p>
        </w:tc>
      </w:tr>
      <w:tr>
        <w:tc>
          <w:tcPr>
            <w:tcW w:w="1583" w:type="dxa"/>
          </w:tcPr>
          <w:p>
            <w:pPr>
              <w:pStyle w:val="ListParagraph"/>
              <w:ind w:left="0"/>
              <w:rPr>
                <w:rFonts w:eastAsia="Malgun Gothic"/>
                <w:lang w:eastAsia="ko-KR"/>
              </w:rPr>
            </w:pPr>
            <w:r>
              <w:rPr>
                <w:rFonts w:eastAsia="Malgun Gothic"/>
                <w:lang w:eastAsia="ko-KR"/>
              </w:rPr>
              <w:t>BlackBerry</w:t>
            </w:r>
          </w:p>
        </w:tc>
        <w:tc>
          <w:tcPr>
            <w:tcW w:w="7910" w:type="dxa"/>
          </w:tcPr>
          <w:p>
            <w:pPr>
              <w:pStyle w:val="ListParagraph"/>
              <w:ind w:left="0"/>
            </w:pPr>
            <w:r>
              <w:t>We think these can be handled in a separate work item e.g. RRM or mobility enhancement in REL-17.</w:t>
            </w:r>
          </w:p>
        </w:tc>
      </w:tr>
      <w:tr>
        <w:tc>
          <w:tcPr>
            <w:tcW w:w="1583" w:type="dxa"/>
          </w:tcPr>
          <w:p>
            <w:pPr>
              <w:pStyle w:val="ListParagraph"/>
              <w:ind w:left="0"/>
            </w:pPr>
            <w:r>
              <w:t>TCL</w:t>
            </w:r>
          </w:p>
        </w:tc>
        <w:tc>
          <w:tcPr>
            <w:tcW w:w="7910" w:type="dxa"/>
          </w:tcPr>
          <w:p>
            <w:pPr>
              <w:pStyle w:val="ListParagraph"/>
              <w:ind w:left="0"/>
            </w:pPr>
            <w:r>
              <w:t>In our view, no RLM/RRM leftovers need to be considered in Rel-17.</w:t>
            </w:r>
          </w:p>
        </w:tc>
      </w:tr>
    </w:tbl>
    <w:p>
      <w:pPr>
        <w:pStyle w:val="ListParagraph"/>
        <w:ind w:left="0"/>
      </w:pPr>
    </w:p>
    <w:p>
      <w:pPr>
        <w:pStyle w:val="ListParagraph"/>
        <w:ind w:left="0"/>
      </w:pPr>
    </w:p>
    <w:p>
      <w:pPr>
        <w:pStyle w:val="ListParagraph"/>
        <w:ind w:left="0"/>
        <w:rPr>
          <w:b/>
          <w:u w:val="single"/>
        </w:rPr>
      </w:pPr>
      <w:r>
        <w:rPr>
          <w:b/>
          <w:u w:val="single"/>
        </w:rPr>
        <w:t>Other comments (if any)</w:t>
      </w:r>
    </w:p>
    <w:p>
      <w:pPr>
        <w:pStyle w:val="ListParagraph"/>
        <w:ind w:left="0"/>
      </w:pPr>
    </w:p>
    <w:tbl>
      <w:tblPr>
        <w:tblStyle w:val="TableGrid"/>
        <w:tblW w:w="9493" w:type="dxa"/>
        <w:tblLook w:val="04A0" w:firstRow="1" w:lastRow="0" w:firstColumn="1" w:lastColumn="0" w:noHBand="0" w:noVBand="1"/>
      </w:tblPr>
      <w:tblGrid>
        <w:gridCol w:w="1195"/>
        <w:gridCol w:w="8298"/>
      </w:tblGrid>
      <w:tr>
        <w:tc>
          <w:tcPr>
            <w:tcW w:w="1195" w:type="dxa"/>
          </w:tcPr>
          <w:p>
            <w:pPr>
              <w:pStyle w:val="ListParagraph"/>
              <w:ind w:left="0"/>
              <w:rPr>
                <w:b/>
              </w:rPr>
            </w:pPr>
            <w:r>
              <w:rPr>
                <w:b/>
              </w:rPr>
              <w:t>Company</w:t>
            </w:r>
          </w:p>
        </w:tc>
        <w:tc>
          <w:tcPr>
            <w:tcW w:w="8298" w:type="dxa"/>
          </w:tcPr>
          <w:p>
            <w:pPr>
              <w:pStyle w:val="ListParagraph"/>
              <w:ind w:left="0"/>
              <w:rPr>
                <w:b/>
              </w:rPr>
            </w:pPr>
            <w:r>
              <w:rPr>
                <w:b/>
              </w:rPr>
              <w:t>Comments</w:t>
            </w:r>
          </w:p>
        </w:tc>
      </w:tr>
      <w:tr>
        <w:tc>
          <w:tcPr>
            <w:tcW w:w="1195" w:type="dxa"/>
          </w:tcPr>
          <w:p>
            <w:pPr>
              <w:pStyle w:val="ListParagraph"/>
              <w:ind w:left="0"/>
            </w:pPr>
            <w:r>
              <w:t>ZTE</w:t>
            </w:r>
          </w:p>
        </w:tc>
        <w:tc>
          <w:tcPr>
            <w:tcW w:w="8298" w:type="dxa"/>
          </w:tcPr>
          <w:p>
            <w:pPr>
              <w:pStyle w:val="ListParagraph"/>
              <w:ind w:left="0"/>
            </w:pPr>
            <w:r>
              <w:rPr>
                <w:rFonts w:hint="eastAsia"/>
              </w:rPr>
              <w:t>If there is any important</w:t>
            </w:r>
            <w:r>
              <w:t xml:space="preserve"> leftover from Rel-16 </w:t>
            </w:r>
            <w:r>
              <w:rPr>
                <w:rFonts w:hint="eastAsia"/>
              </w:rPr>
              <w:t>2-step</w:t>
            </w:r>
            <w:r>
              <w:t xml:space="preserve"> RACH for NR-U, it can be considered under Rel-17 small data WI.</w:t>
            </w:r>
          </w:p>
        </w:tc>
      </w:tr>
      <w:tr>
        <w:tc>
          <w:tcPr>
            <w:tcW w:w="1195" w:type="dxa"/>
          </w:tcPr>
          <w:p>
            <w:pPr>
              <w:pStyle w:val="ListParagraph"/>
              <w:ind w:left="0"/>
            </w:pPr>
            <w:r>
              <w:t>InterDigital</w:t>
            </w:r>
          </w:p>
        </w:tc>
        <w:tc>
          <w:tcPr>
            <w:tcW w:w="8298" w:type="dxa"/>
          </w:tcPr>
          <w:p>
            <w:pPr>
              <w:rPr>
                <w:color w:val="auto"/>
                <w:lang w:val="en-US" w:eastAsia="en-US"/>
              </w:rPr>
            </w:pPr>
            <w:r>
              <w:t>We believe that Phase I of the discussion showed that there were many topics of interest that were left-over from NR-U R16. These should be either explicitly included in the scope of other R17 WI or be included in a dedicated NR-U enhancement WI. Such topics include:</w:t>
            </w:r>
          </w:p>
          <w:p>
            <w:pPr>
              <w:pStyle w:val="ListParagraph"/>
              <w:numPr>
                <w:ilvl w:val="0"/>
                <w:numId w:val="56"/>
              </w:numPr>
              <w:overflowPunct/>
              <w:autoSpaceDE/>
              <w:autoSpaceDN/>
              <w:adjustRightInd/>
              <w:spacing w:after="160" w:line="252" w:lineRule="auto"/>
              <w:textAlignment w:val="auto"/>
            </w:pPr>
            <w:r>
              <w:t>DRX in unlicensed spectrum (possibly in Power saving WI)</w:t>
            </w:r>
          </w:p>
          <w:p>
            <w:pPr>
              <w:pStyle w:val="ListParagraph"/>
              <w:numPr>
                <w:ilvl w:val="0"/>
                <w:numId w:val="56"/>
              </w:numPr>
              <w:overflowPunct/>
              <w:autoSpaceDE/>
              <w:autoSpaceDN/>
              <w:adjustRightInd/>
              <w:spacing w:after="160" w:line="252" w:lineRule="auto"/>
              <w:textAlignment w:val="auto"/>
            </w:pPr>
            <w:r>
              <w:t>RS (e.g. CSI-RS, SRS) enhancements (generic to unlicensed operation)</w:t>
            </w:r>
          </w:p>
          <w:p>
            <w:pPr>
              <w:pStyle w:val="ListParagraph"/>
              <w:numPr>
                <w:ilvl w:val="0"/>
                <w:numId w:val="56"/>
              </w:numPr>
              <w:overflowPunct/>
              <w:autoSpaceDE/>
              <w:autoSpaceDN/>
              <w:adjustRightInd/>
              <w:spacing w:after="160" w:line="252" w:lineRule="auto"/>
              <w:textAlignment w:val="auto"/>
            </w:pPr>
            <w:r>
              <w:t>Improvements to random access (both for URLLC/IIoT and also generic to unlicensed operation)</w:t>
            </w:r>
          </w:p>
          <w:p>
            <w:pPr>
              <w:pStyle w:val="ListParagraph"/>
              <w:numPr>
                <w:ilvl w:val="0"/>
                <w:numId w:val="56"/>
              </w:numPr>
              <w:overflowPunct/>
              <w:autoSpaceDE/>
              <w:autoSpaceDN/>
              <w:adjustRightInd/>
              <w:spacing w:after="160" w:line="252" w:lineRule="auto"/>
              <w:textAlignment w:val="auto"/>
            </w:pPr>
            <w:r>
              <w:t>Wideband operation (both for URLLC and also generic to wideband unlicensed operation)</w:t>
            </w:r>
          </w:p>
        </w:tc>
      </w:tr>
      <w:tr>
        <w:tc>
          <w:tcPr>
            <w:tcW w:w="1195" w:type="dxa"/>
          </w:tcPr>
          <w:p>
            <w:pPr>
              <w:pStyle w:val="ListParagraph"/>
              <w:ind w:left="0"/>
            </w:pPr>
            <w:r>
              <w:t>AT&amp;T</w:t>
            </w:r>
          </w:p>
        </w:tc>
        <w:tc>
          <w:tcPr>
            <w:tcW w:w="8298" w:type="dxa"/>
          </w:tcPr>
          <w:p>
            <w:pPr>
              <w:pStyle w:val="ListParagraph"/>
              <w:ind w:left="0"/>
            </w:pPr>
            <w:r>
              <w:t xml:space="preserve">In their current form, we consider the summary and observations provided by the moderator as too broad. They are correct, albeit only in the context that we were not allowed to discuss bands beyond 52.6 GHz. This condition should be clearly captured in the summary and observations. For example, we don’t expect the following to be the case once the 60 GHz band comes into the picture: “only 5 companies feel there is a definite need for a Rel-17 WI dedicated to NR-U” We thus ask the moderator to revise his summary and observations by including a statement that clearly conditions the observations on the fact that they solely apply to FR1 in isolation. If someone skips the Introduction and jumps right into the summary and observations, this important fact is missing. Thank you. </w:t>
            </w:r>
          </w:p>
        </w:tc>
      </w:tr>
      <w:tr>
        <w:tc>
          <w:tcPr>
            <w:tcW w:w="1195" w:type="dxa"/>
          </w:tcPr>
          <w:p>
            <w:pPr>
              <w:pStyle w:val="ListParagraph"/>
              <w:ind w:left="0"/>
            </w:pPr>
            <w:r>
              <w:t>CableLabs</w:t>
            </w:r>
          </w:p>
        </w:tc>
        <w:tc>
          <w:tcPr>
            <w:tcW w:w="8298" w:type="dxa"/>
          </w:tcPr>
          <w:p>
            <w:pPr>
              <w:pStyle w:val="ListParagraph"/>
              <w:ind w:left="0"/>
            </w:pPr>
            <w:r>
              <w:t>We believe a dedicated NR-U Rel 17 WI would be required.</w:t>
            </w:r>
          </w:p>
          <w:p>
            <w:pPr>
              <w:pStyle w:val="ListParagraph"/>
              <w:ind w:left="0"/>
            </w:pPr>
            <w:r>
              <w:t>We appreciate the moderator efforts to manage the broad NR-U Rel 17 effort. In order to make the results more comprehensive, we also appreciated if the appendix section would be updated with the late responses (NR-U Rel 17 step1), at least 3 more companies providing late answers.</w:t>
            </w:r>
          </w:p>
        </w:tc>
      </w:tr>
      <w:tr>
        <w:tc>
          <w:tcPr>
            <w:tcW w:w="1195" w:type="dxa"/>
          </w:tcPr>
          <w:p>
            <w:pPr>
              <w:pStyle w:val="ListParagraph"/>
              <w:ind w:left="0"/>
            </w:pPr>
            <w:r>
              <w:t>BlackBerry</w:t>
            </w:r>
          </w:p>
        </w:tc>
        <w:tc>
          <w:tcPr>
            <w:tcW w:w="8298" w:type="dxa"/>
          </w:tcPr>
          <w:p>
            <w:pPr>
              <w:pStyle w:val="ListParagraph"/>
              <w:ind w:left="0"/>
            </w:pPr>
            <w:r>
              <w:t xml:space="preserve">It is also our opinion that a dedicated NR-U work item is required. </w:t>
            </w:r>
          </w:p>
        </w:tc>
      </w:tr>
      <w:tr>
        <w:tc>
          <w:tcPr>
            <w:tcW w:w="1195" w:type="dxa"/>
          </w:tcPr>
          <w:p>
            <w:pPr>
              <w:pStyle w:val="ListParagraph"/>
              <w:ind w:left="0"/>
            </w:pPr>
            <w:r>
              <w:t>Broadcom</w:t>
            </w:r>
          </w:p>
        </w:tc>
        <w:tc>
          <w:tcPr>
            <w:tcW w:w="8298" w:type="dxa"/>
          </w:tcPr>
          <w:p>
            <w:pPr>
              <w:pStyle w:val="ListParagraph"/>
              <w:ind w:left="0"/>
            </w:pPr>
            <w:r>
              <w:t>If Release 17 considers unlicensed operations in new bands, in our opinion all channel access procedures should be considered together, along with studying applicability of those procedures to 5 and 6 GHz. This would ensure consistency of channel access procedures across features and bands as well as better coexistence with other unlicensed technologies.</w:t>
            </w:r>
          </w:p>
        </w:tc>
      </w:tr>
      <w:tr>
        <w:tc>
          <w:tcPr>
            <w:tcW w:w="1195" w:type="dxa"/>
          </w:tcPr>
          <w:p>
            <w:pPr>
              <w:pStyle w:val="ListParagraph"/>
              <w:ind w:left="0"/>
            </w:pPr>
            <w:r>
              <w:t>TCL</w:t>
            </w:r>
          </w:p>
        </w:tc>
        <w:tc>
          <w:tcPr>
            <w:tcW w:w="8298" w:type="dxa"/>
          </w:tcPr>
          <w:p>
            <w:pPr>
              <w:pStyle w:val="ListParagraph"/>
              <w:ind w:left="0"/>
            </w:pPr>
            <w:r>
              <w:t>We also believe that a dedicated WI is well motivated. It may also potentially include other topics like synchronization and standalone operation if found to be relevant and useful.</w:t>
            </w:r>
          </w:p>
        </w:tc>
      </w:tr>
    </w:tbl>
    <w:p>
      <w:pPr>
        <w:pStyle w:val="ListParagraph"/>
        <w:ind w:left="0"/>
      </w:pPr>
    </w:p>
    <w:p>
      <w:pPr>
        <w:pStyle w:val="ListParagraph"/>
        <w:ind w:left="360"/>
      </w:pPr>
    </w:p>
    <w:p>
      <w:pPr>
        <w:pStyle w:val="ListParagraph"/>
        <w:ind w:left="360"/>
      </w:pPr>
    </w:p>
    <w:p>
      <w:pPr>
        <w:rPr>
          <w:lang w:val="en-US"/>
        </w:rPr>
      </w:pPr>
    </w:p>
    <w:p>
      <w:pPr>
        <w:pStyle w:val="Heading1"/>
        <w:numPr>
          <w:ilvl w:val="0"/>
          <w:numId w:val="0"/>
        </w:numPr>
        <w:ind w:left="432" w:hanging="432"/>
      </w:pPr>
      <w:r>
        <w:lastRenderedPageBreak/>
        <w:t xml:space="preserve">References </w:t>
      </w:r>
    </w:p>
    <w:p>
      <w:pPr>
        <w:ind w:left="432" w:hanging="432"/>
        <w:textAlignment w:val="auto"/>
      </w:pPr>
      <w:r>
        <w:t>[1]</w:t>
      </w:r>
      <w:r>
        <w:tab/>
        <w:t>RP-191581    Guidance on essential functionality for NR-U</w:t>
      </w:r>
      <w:r>
        <w:tab/>
        <w:t>Qualcomm</w:t>
      </w:r>
    </w:p>
    <w:p>
      <w:pPr>
        <w:ind w:left="432" w:hanging="432"/>
        <w:textAlignment w:val="auto"/>
      </w:pPr>
      <w:r>
        <w:t>[2]</w:t>
      </w:r>
      <w:r>
        <w:tab/>
        <w:t>RP-191551    Preparing for Rel-17</w:t>
      </w:r>
      <w:r>
        <w:tab/>
        <w:t>RAN Chairman</w:t>
      </w:r>
    </w:p>
    <w:p>
      <w:pPr>
        <w:ind w:left="432" w:hanging="432"/>
        <w:textAlignment w:val="auto"/>
      </w:pPr>
    </w:p>
    <w:p>
      <w:pPr>
        <w:ind w:left="432" w:hanging="432"/>
        <w:textAlignment w:val="auto"/>
      </w:pPr>
    </w:p>
    <w:p>
      <w:pPr>
        <w:ind w:left="426" w:hanging="426"/>
        <w:textAlignment w:val="auto"/>
      </w:pPr>
    </w:p>
    <w:sectPr>
      <w:headerReference w:type="even" r:id="rId16"/>
      <w:footerReference w:type="default" r:id="rId17"/>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w:t>
    </w:r>
    <w:r>
      <w:rPr>
        <w:b/>
        <w:bCs/>
        <w:sz w:val="24"/>
        <w:szCs w:val="24"/>
      </w:rPr>
      <w:fldChar w:fldCharType="end"/>
    </w:r>
  </w:p>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083E"/>
    <w:multiLevelType w:val="hybridMultilevel"/>
    <w:tmpl w:val="22F8F21A"/>
    <w:lvl w:ilvl="0" w:tplc="0409000F">
      <w:start w:val="1"/>
      <w:numFmt w:val="decimal"/>
      <w:lvlText w:val="%1."/>
      <w:lvlJc w:val="left"/>
      <w:pPr>
        <w:ind w:left="720" w:hanging="360"/>
      </w:pPr>
    </w:lvl>
    <w:lvl w:ilvl="1" w:tplc="8B4EC31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983438"/>
    <w:multiLevelType w:val="hybridMultilevel"/>
    <w:tmpl w:val="26226B56"/>
    <w:lvl w:ilvl="0" w:tplc="51D49FBE">
      <w:start w:val="1"/>
      <w:numFmt w:val="bullet"/>
      <w:lvlText w:val="•"/>
      <w:lvlJc w:val="left"/>
      <w:pPr>
        <w:tabs>
          <w:tab w:val="num" w:pos="720"/>
        </w:tabs>
        <w:ind w:left="720" w:hanging="360"/>
      </w:pPr>
      <w:rPr>
        <w:rFonts w:ascii="Arial" w:hAnsi="Arial" w:hint="default"/>
      </w:rPr>
    </w:lvl>
    <w:lvl w:ilvl="1" w:tplc="B9F0BB54" w:tentative="1">
      <w:start w:val="1"/>
      <w:numFmt w:val="bullet"/>
      <w:lvlText w:val="•"/>
      <w:lvlJc w:val="left"/>
      <w:pPr>
        <w:tabs>
          <w:tab w:val="num" w:pos="1440"/>
        </w:tabs>
        <w:ind w:left="1440" w:hanging="360"/>
      </w:pPr>
      <w:rPr>
        <w:rFonts w:ascii="Arial" w:hAnsi="Arial" w:hint="default"/>
      </w:rPr>
    </w:lvl>
    <w:lvl w:ilvl="2" w:tplc="12C2F7B2" w:tentative="1">
      <w:start w:val="1"/>
      <w:numFmt w:val="bullet"/>
      <w:lvlText w:val="•"/>
      <w:lvlJc w:val="left"/>
      <w:pPr>
        <w:tabs>
          <w:tab w:val="num" w:pos="2160"/>
        </w:tabs>
        <w:ind w:left="2160" w:hanging="360"/>
      </w:pPr>
      <w:rPr>
        <w:rFonts w:ascii="Arial" w:hAnsi="Arial" w:hint="default"/>
      </w:rPr>
    </w:lvl>
    <w:lvl w:ilvl="3" w:tplc="1C6EF5D0" w:tentative="1">
      <w:start w:val="1"/>
      <w:numFmt w:val="bullet"/>
      <w:lvlText w:val="•"/>
      <w:lvlJc w:val="left"/>
      <w:pPr>
        <w:tabs>
          <w:tab w:val="num" w:pos="2880"/>
        </w:tabs>
        <w:ind w:left="2880" w:hanging="360"/>
      </w:pPr>
      <w:rPr>
        <w:rFonts w:ascii="Arial" w:hAnsi="Arial" w:hint="default"/>
      </w:rPr>
    </w:lvl>
    <w:lvl w:ilvl="4" w:tplc="F3C21B70" w:tentative="1">
      <w:start w:val="1"/>
      <w:numFmt w:val="bullet"/>
      <w:lvlText w:val="•"/>
      <w:lvlJc w:val="left"/>
      <w:pPr>
        <w:tabs>
          <w:tab w:val="num" w:pos="3600"/>
        </w:tabs>
        <w:ind w:left="3600" w:hanging="360"/>
      </w:pPr>
      <w:rPr>
        <w:rFonts w:ascii="Arial" w:hAnsi="Arial" w:hint="default"/>
      </w:rPr>
    </w:lvl>
    <w:lvl w:ilvl="5" w:tplc="ED068CEA" w:tentative="1">
      <w:start w:val="1"/>
      <w:numFmt w:val="bullet"/>
      <w:lvlText w:val="•"/>
      <w:lvlJc w:val="left"/>
      <w:pPr>
        <w:tabs>
          <w:tab w:val="num" w:pos="4320"/>
        </w:tabs>
        <w:ind w:left="4320" w:hanging="360"/>
      </w:pPr>
      <w:rPr>
        <w:rFonts w:ascii="Arial" w:hAnsi="Arial" w:hint="default"/>
      </w:rPr>
    </w:lvl>
    <w:lvl w:ilvl="6" w:tplc="52120E20" w:tentative="1">
      <w:start w:val="1"/>
      <w:numFmt w:val="bullet"/>
      <w:lvlText w:val="•"/>
      <w:lvlJc w:val="left"/>
      <w:pPr>
        <w:tabs>
          <w:tab w:val="num" w:pos="5040"/>
        </w:tabs>
        <w:ind w:left="5040" w:hanging="360"/>
      </w:pPr>
      <w:rPr>
        <w:rFonts w:ascii="Arial" w:hAnsi="Arial" w:hint="default"/>
      </w:rPr>
    </w:lvl>
    <w:lvl w:ilvl="7" w:tplc="45869956" w:tentative="1">
      <w:start w:val="1"/>
      <w:numFmt w:val="bullet"/>
      <w:lvlText w:val="•"/>
      <w:lvlJc w:val="left"/>
      <w:pPr>
        <w:tabs>
          <w:tab w:val="num" w:pos="5760"/>
        </w:tabs>
        <w:ind w:left="5760" w:hanging="360"/>
      </w:pPr>
      <w:rPr>
        <w:rFonts w:ascii="Arial" w:hAnsi="Arial" w:hint="default"/>
      </w:rPr>
    </w:lvl>
    <w:lvl w:ilvl="8" w:tplc="09E87D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122A00"/>
    <w:multiLevelType w:val="hybridMultilevel"/>
    <w:tmpl w:val="E01E943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1F467262"/>
    <w:multiLevelType w:val="hybridMultilevel"/>
    <w:tmpl w:val="EAA443F4"/>
    <w:lvl w:ilvl="0" w:tplc="4852F154">
      <w:start w:val="1"/>
      <w:numFmt w:val="bullet"/>
      <w:lvlText w:val="•"/>
      <w:lvlJc w:val="left"/>
      <w:pPr>
        <w:tabs>
          <w:tab w:val="num" w:pos="720"/>
        </w:tabs>
        <w:ind w:left="720" w:hanging="360"/>
      </w:pPr>
      <w:rPr>
        <w:rFonts w:ascii="Arial" w:hAnsi="Arial" w:hint="default"/>
      </w:rPr>
    </w:lvl>
    <w:lvl w:ilvl="1" w:tplc="E2A69414" w:tentative="1">
      <w:start w:val="1"/>
      <w:numFmt w:val="bullet"/>
      <w:lvlText w:val="•"/>
      <w:lvlJc w:val="left"/>
      <w:pPr>
        <w:tabs>
          <w:tab w:val="num" w:pos="1440"/>
        </w:tabs>
        <w:ind w:left="1440" w:hanging="360"/>
      </w:pPr>
      <w:rPr>
        <w:rFonts w:ascii="Arial" w:hAnsi="Arial" w:hint="default"/>
      </w:rPr>
    </w:lvl>
    <w:lvl w:ilvl="2" w:tplc="2C3C7A5A" w:tentative="1">
      <w:start w:val="1"/>
      <w:numFmt w:val="bullet"/>
      <w:lvlText w:val="•"/>
      <w:lvlJc w:val="left"/>
      <w:pPr>
        <w:tabs>
          <w:tab w:val="num" w:pos="2160"/>
        </w:tabs>
        <w:ind w:left="2160" w:hanging="360"/>
      </w:pPr>
      <w:rPr>
        <w:rFonts w:ascii="Arial" w:hAnsi="Arial" w:hint="default"/>
      </w:rPr>
    </w:lvl>
    <w:lvl w:ilvl="3" w:tplc="63588D0E" w:tentative="1">
      <w:start w:val="1"/>
      <w:numFmt w:val="bullet"/>
      <w:lvlText w:val="•"/>
      <w:lvlJc w:val="left"/>
      <w:pPr>
        <w:tabs>
          <w:tab w:val="num" w:pos="2880"/>
        </w:tabs>
        <w:ind w:left="2880" w:hanging="360"/>
      </w:pPr>
      <w:rPr>
        <w:rFonts w:ascii="Arial" w:hAnsi="Arial" w:hint="default"/>
      </w:rPr>
    </w:lvl>
    <w:lvl w:ilvl="4" w:tplc="FE2C88BA" w:tentative="1">
      <w:start w:val="1"/>
      <w:numFmt w:val="bullet"/>
      <w:lvlText w:val="•"/>
      <w:lvlJc w:val="left"/>
      <w:pPr>
        <w:tabs>
          <w:tab w:val="num" w:pos="3600"/>
        </w:tabs>
        <w:ind w:left="3600" w:hanging="360"/>
      </w:pPr>
      <w:rPr>
        <w:rFonts w:ascii="Arial" w:hAnsi="Arial" w:hint="default"/>
      </w:rPr>
    </w:lvl>
    <w:lvl w:ilvl="5" w:tplc="B7CA6EF4" w:tentative="1">
      <w:start w:val="1"/>
      <w:numFmt w:val="bullet"/>
      <w:lvlText w:val="•"/>
      <w:lvlJc w:val="left"/>
      <w:pPr>
        <w:tabs>
          <w:tab w:val="num" w:pos="4320"/>
        </w:tabs>
        <w:ind w:left="4320" w:hanging="360"/>
      </w:pPr>
      <w:rPr>
        <w:rFonts w:ascii="Arial" w:hAnsi="Arial" w:hint="default"/>
      </w:rPr>
    </w:lvl>
    <w:lvl w:ilvl="6" w:tplc="F440EF42" w:tentative="1">
      <w:start w:val="1"/>
      <w:numFmt w:val="bullet"/>
      <w:lvlText w:val="•"/>
      <w:lvlJc w:val="left"/>
      <w:pPr>
        <w:tabs>
          <w:tab w:val="num" w:pos="5040"/>
        </w:tabs>
        <w:ind w:left="5040" w:hanging="360"/>
      </w:pPr>
      <w:rPr>
        <w:rFonts w:ascii="Arial" w:hAnsi="Arial" w:hint="default"/>
      </w:rPr>
    </w:lvl>
    <w:lvl w:ilvl="7" w:tplc="79C04B98" w:tentative="1">
      <w:start w:val="1"/>
      <w:numFmt w:val="bullet"/>
      <w:lvlText w:val="•"/>
      <w:lvlJc w:val="left"/>
      <w:pPr>
        <w:tabs>
          <w:tab w:val="num" w:pos="5760"/>
        </w:tabs>
        <w:ind w:left="5760" w:hanging="360"/>
      </w:pPr>
      <w:rPr>
        <w:rFonts w:ascii="Arial" w:hAnsi="Arial" w:hint="default"/>
      </w:rPr>
    </w:lvl>
    <w:lvl w:ilvl="8" w:tplc="5358E6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A0115"/>
    <w:multiLevelType w:val="hybridMultilevel"/>
    <w:tmpl w:val="B6B6FDAE"/>
    <w:lvl w:ilvl="0" w:tplc="CCDA6E5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A7D9B"/>
    <w:multiLevelType w:val="hybridMultilevel"/>
    <w:tmpl w:val="256ADA82"/>
    <w:lvl w:ilvl="0" w:tplc="C3EE05DA">
      <w:start w:val="1"/>
      <w:numFmt w:val="bullet"/>
      <w:lvlText w:val="•"/>
      <w:lvlJc w:val="left"/>
      <w:pPr>
        <w:tabs>
          <w:tab w:val="num" w:pos="720"/>
        </w:tabs>
        <w:ind w:left="720" w:hanging="360"/>
      </w:pPr>
      <w:rPr>
        <w:rFonts w:ascii="Arial" w:hAnsi="Arial" w:hint="default"/>
      </w:rPr>
    </w:lvl>
    <w:lvl w:ilvl="1" w:tplc="34A05BAA">
      <w:start w:val="1"/>
      <w:numFmt w:val="bullet"/>
      <w:lvlText w:val="o"/>
      <w:lvlJc w:val="left"/>
      <w:pPr>
        <w:tabs>
          <w:tab w:val="num" w:pos="1440"/>
        </w:tabs>
        <w:ind w:left="1440" w:hanging="360"/>
      </w:pPr>
      <w:rPr>
        <w:rFonts w:ascii="Courier New" w:hAnsi="Courier New" w:hint="default"/>
        <w:sz w:val="13"/>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7"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9" w15:restartNumberingAfterBreak="0">
    <w:nsid w:val="33337211"/>
    <w:multiLevelType w:val="hybridMultilevel"/>
    <w:tmpl w:val="6894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A6354A"/>
    <w:multiLevelType w:val="hybridMultilevel"/>
    <w:tmpl w:val="21ECE0F2"/>
    <w:lvl w:ilvl="0" w:tplc="5396093C">
      <w:start w:val="1"/>
      <w:numFmt w:val="bullet"/>
      <w:lvlText w:val="•"/>
      <w:lvlJc w:val="left"/>
      <w:pPr>
        <w:tabs>
          <w:tab w:val="num" w:pos="720"/>
        </w:tabs>
        <w:ind w:left="720" w:hanging="360"/>
      </w:pPr>
      <w:rPr>
        <w:rFonts w:ascii="Arial" w:hAnsi="Arial" w:hint="default"/>
      </w:rPr>
    </w:lvl>
    <w:lvl w:ilvl="1" w:tplc="A1CE0296">
      <w:start w:val="1"/>
      <w:numFmt w:val="bullet"/>
      <w:lvlText w:val="•"/>
      <w:lvlJc w:val="left"/>
      <w:pPr>
        <w:tabs>
          <w:tab w:val="num" w:pos="1440"/>
        </w:tabs>
        <w:ind w:left="1440" w:hanging="360"/>
      </w:pPr>
      <w:rPr>
        <w:rFonts w:ascii="Arial" w:hAnsi="Arial" w:hint="default"/>
      </w:rPr>
    </w:lvl>
    <w:lvl w:ilvl="2" w:tplc="75826B28" w:tentative="1">
      <w:start w:val="1"/>
      <w:numFmt w:val="bullet"/>
      <w:lvlText w:val="•"/>
      <w:lvlJc w:val="left"/>
      <w:pPr>
        <w:tabs>
          <w:tab w:val="num" w:pos="2160"/>
        </w:tabs>
        <w:ind w:left="2160" w:hanging="360"/>
      </w:pPr>
      <w:rPr>
        <w:rFonts w:ascii="Arial" w:hAnsi="Arial" w:hint="default"/>
      </w:rPr>
    </w:lvl>
    <w:lvl w:ilvl="3" w:tplc="7310A5BA" w:tentative="1">
      <w:start w:val="1"/>
      <w:numFmt w:val="bullet"/>
      <w:lvlText w:val="•"/>
      <w:lvlJc w:val="left"/>
      <w:pPr>
        <w:tabs>
          <w:tab w:val="num" w:pos="2880"/>
        </w:tabs>
        <w:ind w:left="2880" w:hanging="360"/>
      </w:pPr>
      <w:rPr>
        <w:rFonts w:ascii="Arial" w:hAnsi="Arial" w:hint="default"/>
      </w:rPr>
    </w:lvl>
    <w:lvl w:ilvl="4" w:tplc="461E641A" w:tentative="1">
      <w:start w:val="1"/>
      <w:numFmt w:val="bullet"/>
      <w:lvlText w:val="•"/>
      <w:lvlJc w:val="left"/>
      <w:pPr>
        <w:tabs>
          <w:tab w:val="num" w:pos="3600"/>
        </w:tabs>
        <w:ind w:left="3600" w:hanging="360"/>
      </w:pPr>
      <w:rPr>
        <w:rFonts w:ascii="Arial" w:hAnsi="Arial" w:hint="default"/>
      </w:rPr>
    </w:lvl>
    <w:lvl w:ilvl="5" w:tplc="B002EB2C" w:tentative="1">
      <w:start w:val="1"/>
      <w:numFmt w:val="bullet"/>
      <w:lvlText w:val="•"/>
      <w:lvlJc w:val="left"/>
      <w:pPr>
        <w:tabs>
          <w:tab w:val="num" w:pos="4320"/>
        </w:tabs>
        <w:ind w:left="4320" w:hanging="360"/>
      </w:pPr>
      <w:rPr>
        <w:rFonts w:ascii="Arial" w:hAnsi="Arial" w:hint="default"/>
      </w:rPr>
    </w:lvl>
    <w:lvl w:ilvl="6" w:tplc="775EB420" w:tentative="1">
      <w:start w:val="1"/>
      <w:numFmt w:val="bullet"/>
      <w:lvlText w:val="•"/>
      <w:lvlJc w:val="left"/>
      <w:pPr>
        <w:tabs>
          <w:tab w:val="num" w:pos="5040"/>
        </w:tabs>
        <w:ind w:left="5040" w:hanging="360"/>
      </w:pPr>
      <w:rPr>
        <w:rFonts w:ascii="Arial" w:hAnsi="Arial" w:hint="default"/>
      </w:rPr>
    </w:lvl>
    <w:lvl w:ilvl="7" w:tplc="A62C92AE" w:tentative="1">
      <w:start w:val="1"/>
      <w:numFmt w:val="bullet"/>
      <w:lvlText w:val="•"/>
      <w:lvlJc w:val="left"/>
      <w:pPr>
        <w:tabs>
          <w:tab w:val="num" w:pos="5760"/>
        </w:tabs>
        <w:ind w:left="5760" w:hanging="360"/>
      </w:pPr>
      <w:rPr>
        <w:rFonts w:ascii="Arial" w:hAnsi="Arial" w:hint="default"/>
      </w:rPr>
    </w:lvl>
    <w:lvl w:ilvl="8" w:tplc="B9B260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8D5924"/>
    <w:multiLevelType w:val="hybridMultilevel"/>
    <w:tmpl w:val="8864036A"/>
    <w:lvl w:ilvl="0" w:tplc="82DE0B66">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AAA5A70"/>
    <w:multiLevelType w:val="hybridMultilevel"/>
    <w:tmpl w:val="B6C43000"/>
    <w:lvl w:ilvl="0" w:tplc="AB20954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17FAC"/>
    <w:multiLevelType w:val="hybridMultilevel"/>
    <w:tmpl w:val="B1AC9994"/>
    <w:lvl w:ilvl="0" w:tplc="01FA2A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C3C164F"/>
    <w:multiLevelType w:val="hybridMultilevel"/>
    <w:tmpl w:val="1F4C0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9" w15:restartNumberingAfterBreak="0">
    <w:nsid w:val="420B5FCB"/>
    <w:multiLevelType w:val="hybridMultilevel"/>
    <w:tmpl w:val="6FFA5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A1A9C"/>
    <w:multiLevelType w:val="hybridMultilevel"/>
    <w:tmpl w:val="DE3A134C"/>
    <w:lvl w:ilvl="0" w:tplc="B5564E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D7969AC"/>
    <w:multiLevelType w:val="hybridMultilevel"/>
    <w:tmpl w:val="E146E74A"/>
    <w:lvl w:ilvl="0" w:tplc="DC3EED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4E462AE9"/>
    <w:multiLevelType w:val="hybridMultilevel"/>
    <w:tmpl w:val="58949E70"/>
    <w:lvl w:ilvl="0" w:tplc="53960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6F1D58"/>
    <w:multiLevelType w:val="hybridMultilevel"/>
    <w:tmpl w:val="CA4E9916"/>
    <w:lvl w:ilvl="0" w:tplc="ABBA97E8">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5D2294A"/>
    <w:multiLevelType w:val="hybridMultilevel"/>
    <w:tmpl w:val="60122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76F84"/>
    <w:multiLevelType w:val="hybridMultilevel"/>
    <w:tmpl w:val="BBC86258"/>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E97A94"/>
    <w:multiLevelType w:val="hybridMultilevel"/>
    <w:tmpl w:val="140ED532"/>
    <w:lvl w:ilvl="0" w:tplc="ABBA97E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ACE4EBC"/>
    <w:multiLevelType w:val="hybridMultilevel"/>
    <w:tmpl w:val="ABEA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B6DDC"/>
    <w:multiLevelType w:val="hybridMultilevel"/>
    <w:tmpl w:val="A072A6EA"/>
    <w:lvl w:ilvl="0" w:tplc="ABBA97E8">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A224AF"/>
    <w:multiLevelType w:val="hybridMultilevel"/>
    <w:tmpl w:val="EE8C0BAA"/>
    <w:lvl w:ilvl="0" w:tplc="C144000A">
      <w:start w:val="1"/>
      <w:numFmt w:val="bullet"/>
      <w:lvlText w:val="•"/>
      <w:lvlJc w:val="left"/>
      <w:pPr>
        <w:tabs>
          <w:tab w:val="num" w:pos="720"/>
        </w:tabs>
        <w:ind w:left="720" w:hanging="360"/>
      </w:pPr>
      <w:rPr>
        <w:rFonts w:ascii="Arial" w:hAnsi="Arial" w:hint="default"/>
      </w:rPr>
    </w:lvl>
    <w:lvl w:ilvl="1" w:tplc="D25A8826">
      <w:start w:val="1"/>
      <w:numFmt w:val="bullet"/>
      <w:lvlText w:val="•"/>
      <w:lvlJc w:val="left"/>
      <w:pPr>
        <w:tabs>
          <w:tab w:val="num" w:pos="1440"/>
        </w:tabs>
        <w:ind w:left="1440" w:hanging="360"/>
      </w:pPr>
      <w:rPr>
        <w:rFonts w:ascii="Arial" w:hAnsi="Arial" w:hint="default"/>
      </w:rPr>
    </w:lvl>
    <w:lvl w:ilvl="2" w:tplc="9580CA7C" w:tentative="1">
      <w:start w:val="1"/>
      <w:numFmt w:val="bullet"/>
      <w:lvlText w:val="•"/>
      <w:lvlJc w:val="left"/>
      <w:pPr>
        <w:tabs>
          <w:tab w:val="num" w:pos="2160"/>
        </w:tabs>
        <w:ind w:left="2160" w:hanging="360"/>
      </w:pPr>
      <w:rPr>
        <w:rFonts w:ascii="Arial" w:hAnsi="Arial" w:hint="default"/>
      </w:rPr>
    </w:lvl>
    <w:lvl w:ilvl="3" w:tplc="8EBAEA58" w:tentative="1">
      <w:start w:val="1"/>
      <w:numFmt w:val="bullet"/>
      <w:lvlText w:val="•"/>
      <w:lvlJc w:val="left"/>
      <w:pPr>
        <w:tabs>
          <w:tab w:val="num" w:pos="2880"/>
        </w:tabs>
        <w:ind w:left="2880" w:hanging="360"/>
      </w:pPr>
      <w:rPr>
        <w:rFonts w:ascii="Arial" w:hAnsi="Arial" w:hint="default"/>
      </w:rPr>
    </w:lvl>
    <w:lvl w:ilvl="4" w:tplc="E6607A5E" w:tentative="1">
      <w:start w:val="1"/>
      <w:numFmt w:val="bullet"/>
      <w:lvlText w:val="•"/>
      <w:lvlJc w:val="left"/>
      <w:pPr>
        <w:tabs>
          <w:tab w:val="num" w:pos="3600"/>
        </w:tabs>
        <w:ind w:left="3600" w:hanging="360"/>
      </w:pPr>
      <w:rPr>
        <w:rFonts w:ascii="Arial" w:hAnsi="Arial" w:hint="default"/>
      </w:rPr>
    </w:lvl>
    <w:lvl w:ilvl="5" w:tplc="0D26E1AE" w:tentative="1">
      <w:start w:val="1"/>
      <w:numFmt w:val="bullet"/>
      <w:lvlText w:val="•"/>
      <w:lvlJc w:val="left"/>
      <w:pPr>
        <w:tabs>
          <w:tab w:val="num" w:pos="4320"/>
        </w:tabs>
        <w:ind w:left="4320" w:hanging="360"/>
      </w:pPr>
      <w:rPr>
        <w:rFonts w:ascii="Arial" w:hAnsi="Arial" w:hint="default"/>
      </w:rPr>
    </w:lvl>
    <w:lvl w:ilvl="6" w:tplc="5EB47D8E" w:tentative="1">
      <w:start w:val="1"/>
      <w:numFmt w:val="bullet"/>
      <w:lvlText w:val="•"/>
      <w:lvlJc w:val="left"/>
      <w:pPr>
        <w:tabs>
          <w:tab w:val="num" w:pos="5040"/>
        </w:tabs>
        <w:ind w:left="5040" w:hanging="360"/>
      </w:pPr>
      <w:rPr>
        <w:rFonts w:ascii="Arial" w:hAnsi="Arial" w:hint="default"/>
      </w:rPr>
    </w:lvl>
    <w:lvl w:ilvl="7" w:tplc="374E12F2" w:tentative="1">
      <w:start w:val="1"/>
      <w:numFmt w:val="bullet"/>
      <w:lvlText w:val="•"/>
      <w:lvlJc w:val="left"/>
      <w:pPr>
        <w:tabs>
          <w:tab w:val="num" w:pos="5760"/>
        </w:tabs>
        <w:ind w:left="5760" w:hanging="360"/>
      </w:pPr>
      <w:rPr>
        <w:rFonts w:ascii="Arial" w:hAnsi="Arial" w:hint="default"/>
      </w:rPr>
    </w:lvl>
    <w:lvl w:ilvl="8" w:tplc="1D361C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85508E"/>
    <w:multiLevelType w:val="hybridMultilevel"/>
    <w:tmpl w:val="5734C36A"/>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0D0319"/>
    <w:multiLevelType w:val="hybridMultilevel"/>
    <w:tmpl w:val="A560F038"/>
    <w:lvl w:ilvl="0" w:tplc="D0C258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49" w15:restartNumberingAfterBreak="0">
    <w:nsid w:val="72BC6A2C"/>
    <w:multiLevelType w:val="hybridMultilevel"/>
    <w:tmpl w:val="AD60C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844406"/>
    <w:multiLevelType w:val="hybridMultilevel"/>
    <w:tmpl w:val="D826A2DC"/>
    <w:lvl w:ilvl="0" w:tplc="BD6EC8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FF3CBD"/>
    <w:multiLevelType w:val="hybridMultilevel"/>
    <w:tmpl w:val="22A21E2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6667D9B"/>
    <w:multiLevelType w:val="hybridMultilevel"/>
    <w:tmpl w:val="0A78DF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4178"/>
    <w:multiLevelType w:val="hybridMultilevel"/>
    <w:tmpl w:val="49A24E26"/>
    <w:lvl w:ilvl="0" w:tplc="040B000F">
      <w:start w:val="1"/>
      <w:numFmt w:val="decimal"/>
      <w:lvlText w:val="%1."/>
      <w:lvlJc w:val="left"/>
      <w:pPr>
        <w:ind w:left="720" w:hanging="360"/>
      </w:pPr>
      <w:rPr>
        <w:rFonts w:hint="default"/>
        <w:b w:val="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48"/>
  </w:num>
  <w:num w:numId="3">
    <w:abstractNumId w:val="54"/>
  </w:num>
  <w:num w:numId="4">
    <w:abstractNumId w:val="53"/>
  </w:num>
  <w:num w:numId="5">
    <w:abstractNumId w:val="35"/>
  </w:num>
  <w:num w:numId="6">
    <w:abstractNumId w:val="2"/>
  </w:num>
  <w:num w:numId="7">
    <w:abstractNumId w:val="13"/>
  </w:num>
  <w:num w:numId="8">
    <w:abstractNumId w:val="5"/>
  </w:num>
  <w:num w:numId="9">
    <w:abstractNumId w:val="18"/>
  </w:num>
  <w:num w:numId="10">
    <w:abstractNumId w:val="46"/>
  </w:num>
  <w:num w:numId="11">
    <w:abstractNumId w:val="28"/>
  </w:num>
  <w:num w:numId="12">
    <w:abstractNumId w:val="8"/>
  </w:num>
  <w:num w:numId="13">
    <w:abstractNumId w:val="3"/>
  </w:num>
  <w:num w:numId="14">
    <w:abstractNumId w:val="31"/>
  </w:num>
  <w:num w:numId="15">
    <w:abstractNumId w:val="20"/>
  </w:num>
  <w:num w:numId="16">
    <w:abstractNumId w:val="7"/>
  </w:num>
  <w:num w:numId="17">
    <w:abstractNumId w:val="14"/>
  </w:num>
  <w:num w:numId="18">
    <w:abstractNumId w:val="6"/>
  </w:num>
  <w:num w:numId="19">
    <w:abstractNumId w:val="39"/>
  </w:num>
  <w:num w:numId="20">
    <w:abstractNumId w:val="26"/>
  </w:num>
  <w:num w:numId="21">
    <w:abstractNumId w:val="17"/>
  </w:num>
  <w:num w:numId="22">
    <w:abstractNumId w:val="55"/>
  </w:num>
  <w:num w:numId="23">
    <w:abstractNumId w:val="22"/>
  </w:num>
  <w:num w:numId="24">
    <w:abstractNumId w:val="51"/>
  </w:num>
  <w:num w:numId="25">
    <w:abstractNumId w:val="44"/>
  </w:num>
  <w:num w:numId="26">
    <w:abstractNumId w:val="53"/>
  </w:num>
  <w:num w:numId="27">
    <w:abstractNumId w:val="53"/>
  </w:num>
  <w:num w:numId="28">
    <w:abstractNumId w:val="21"/>
  </w:num>
  <w:num w:numId="29">
    <w:abstractNumId w:val="40"/>
  </w:num>
  <w:num w:numId="30">
    <w:abstractNumId w:val="30"/>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32"/>
  </w:num>
  <w:num w:numId="34">
    <w:abstractNumId w:val="11"/>
  </w:num>
  <w:num w:numId="35">
    <w:abstractNumId w:val="23"/>
  </w:num>
  <w:num w:numId="36">
    <w:abstractNumId w:val="38"/>
  </w:num>
  <w:num w:numId="37">
    <w:abstractNumId w:val="10"/>
  </w:num>
  <w:num w:numId="38">
    <w:abstractNumId w:val="4"/>
  </w:num>
  <w:num w:numId="39">
    <w:abstractNumId w:val="41"/>
  </w:num>
  <w:num w:numId="40">
    <w:abstractNumId w:val="19"/>
  </w:num>
  <w:num w:numId="41">
    <w:abstractNumId w:val="15"/>
  </w:num>
  <w:num w:numId="42">
    <w:abstractNumId w:val="1"/>
  </w:num>
  <w:num w:numId="43">
    <w:abstractNumId w:val="25"/>
  </w:num>
  <w:num w:numId="44">
    <w:abstractNumId w:val="12"/>
  </w:num>
  <w:num w:numId="45">
    <w:abstractNumId w:val="50"/>
  </w:num>
  <w:num w:numId="46">
    <w:abstractNumId w:val="34"/>
  </w:num>
  <w:num w:numId="47">
    <w:abstractNumId w:val="43"/>
  </w:num>
  <w:num w:numId="48">
    <w:abstractNumId w:val="42"/>
  </w:num>
  <w:num w:numId="49">
    <w:abstractNumId w:val="36"/>
  </w:num>
  <w:num w:numId="50">
    <w:abstractNumId w:val="49"/>
  </w:num>
  <w:num w:numId="51">
    <w:abstractNumId w:val="9"/>
  </w:num>
  <w:num w:numId="52">
    <w:abstractNumId w:val="45"/>
  </w:num>
  <w:num w:numId="53">
    <w:abstractNumId w:val="29"/>
  </w:num>
  <w:num w:numId="54">
    <w:abstractNumId w:val="37"/>
  </w:num>
  <w:num w:numId="55">
    <w:abstractNumId w:val="27"/>
  </w:num>
  <w:num w:numId="56">
    <w:abstractNumId w:val="47"/>
  </w:num>
  <w:num w:numId="57">
    <w:abstractNumId w:val="0"/>
  </w:num>
  <w:num w:numId="58">
    <w:abstractNumId w:val="52"/>
  </w:num>
  <w:num w:numId="5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fi-FI" w:vendorID="64" w:dllVersion="4096" w:nlCheck="1" w:checkStyle="0"/>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paragraph" w:styleId="Title">
    <w:name w:val="Title"/>
    <w:basedOn w:val="Normal"/>
    <w:link w:val="TitleChar"/>
    <w:qFormat/>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rPr>
  </w:style>
  <w:style w:type="paragraph" w:customStyle="1" w:styleId="ColorfulList-Accent11">
    <w:name w:val="Colorful List - Accent 11"/>
    <w:basedOn w:val="Normal"/>
    <w:uiPriority w:val="34"/>
    <w:qFormat/>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Pr>
      <w:rFonts w:ascii="Arial" w:hAnsi="Arial"/>
      <w:b/>
      <w:color w:val="000000"/>
      <w:sz w:val="18"/>
      <w:lang w:val="en-GB" w:eastAsia="ja-JP"/>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Pr>
      <w:b/>
      <w:bCs/>
    </w:rPr>
  </w:style>
  <w:style w:type="character" w:customStyle="1" w:styleId="FooterChar">
    <w:name w:val="Footer Char"/>
    <w:link w:val="Footer"/>
    <w:uiPriority w:val="99"/>
    <w:rPr>
      <w:color w:val="000000"/>
      <w:lang w:val="en-GB" w:eastAsia="ja-JP"/>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リスト段落,목록 단락"/>
    <w:basedOn w:val="Normal"/>
    <w:link w:val="ListParagraphChar"/>
    <w:uiPriority w:val="34"/>
    <w:qFormat/>
    <w:pPr>
      <w:ind w:left="720"/>
      <w:contextualSpacing/>
    </w:pPr>
    <w:rPr>
      <w:rFonts w:eastAsia="MS Mincho"/>
      <w:color w:val="auto"/>
      <w:lang w:eastAsia="en-US"/>
    </w:rPr>
  </w:style>
  <w:style w:type="character" w:customStyle="1" w:styleId="ng-binding">
    <w:name w:val="ng-binding"/>
  </w:style>
  <w:style w:type="paragraph" w:customStyle="1" w:styleId="a">
    <w:name w:val="插图题注"/>
    <w:basedOn w:val="Normal"/>
    <w:pPr>
      <w:overflowPunct/>
      <w:autoSpaceDE/>
      <w:autoSpaceDN/>
      <w:adjustRightInd/>
      <w:textAlignment w:val="auto"/>
    </w:pPr>
    <w:rPr>
      <w:color w:val="auto"/>
      <w:lang w:eastAsia="en-US"/>
    </w:rPr>
  </w:style>
  <w:style w:type="paragraph" w:customStyle="1" w:styleId="a0">
    <w:name w:val="表格题注"/>
    <w:basedOn w:val="Normal"/>
    <w:pPr>
      <w:overflowPunct/>
      <w:autoSpaceDE/>
      <w:autoSpaceDN/>
      <w:adjustRightInd/>
      <w:textAlignment w:val="auto"/>
    </w:pPr>
    <w:rPr>
      <w:color w:val="auto"/>
      <w:lang w:eastAsia="en-US"/>
    </w:rPr>
  </w:style>
  <w:style w:type="character" w:styleId="Hyperlink">
    <w:name w:val="Hyperlink"/>
    <w:uiPriority w:val="99"/>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Pr>
      <w:b/>
      <w:bCs/>
      <w:color w:val="00000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
    <w:link w:val="ListParagraph"/>
    <w:uiPriority w:val="34"/>
    <w:qFormat/>
    <w:locked/>
    <w:rPr>
      <w:rFonts w:eastAsia="MS Mincho"/>
      <w:lang w:val="en-GB"/>
    </w:rPr>
  </w:style>
  <w:style w:type="paragraph" w:customStyle="1" w:styleId="NotDone">
    <w:name w:val="Not Done"/>
    <w:basedOn w:val="Normal"/>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Pr>
      <w:color w:val="000000"/>
      <w:lang w:val="en-GB" w:eastAsia="ja-JP"/>
    </w:rPr>
  </w:style>
  <w:style w:type="character" w:customStyle="1" w:styleId="B1Char1">
    <w:name w:val="B1 Char1"/>
    <w:link w:val="B1"/>
    <w:locked/>
    <w:rPr>
      <w:color w:val="000000"/>
      <w:lang w:val="en-GB" w:eastAsia="ja-JP"/>
    </w:rPr>
  </w:style>
  <w:style w:type="paragraph" w:styleId="FootnoteText">
    <w:name w:val="footnote text"/>
    <w:basedOn w:val="Normal"/>
    <w:link w:val="FootnoteTextChar"/>
    <w:uiPriority w:val="99"/>
    <w:semiHidden/>
    <w:unhideWhenUsed/>
    <w:pPr>
      <w:spacing w:after="0"/>
    </w:pPr>
  </w:style>
  <w:style w:type="character" w:customStyle="1" w:styleId="FootnoteTextChar">
    <w:name w:val="Footnote Text Char"/>
    <w:basedOn w:val="DefaultParagraphFont"/>
    <w:link w:val="FootnoteText"/>
    <w:uiPriority w:val="99"/>
    <w:semiHidden/>
    <w:rPr>
      <w:color w:val="000000"/>
      <w:lang w:val="en-GB" w:eastAsia="ja-JP"/>
    </w:rPr>
  </w:style>
  <w:style w:type="character" w:styleId="FootnoteReference">
    <w:name w:val="footnote reference"/>
    <w:basedOn w:val="DefaultParagraphFont"/>
    <w:uiPriority w:val="99"/>
    <w:semiHidden/>
    <w:unhideWhenUsed/>
    <w:rPr>
      <w:vertAlign w:val="superscript"/>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077326">
      <w:bodyDiv w:val="1"/>
      <w:marLeft w:val="0"/>
      <w:marRight w:val="0"/>
      <w:marTop w:val="0"/>
      <w:marBottom w:val="0"/>
      <w:divBdr>
        <w:top w:val="none" w:sz="0" w:space="0" w:color="auto"/>
        <w:left w:val="none" w:sz="0" w:space="0" w:color="auto"/>
        <w:bottom w:val="none" w:sz="0" w:space="0" w:color="auto"/>
        <w:right w:val="none" w:sz="0" w:space="0" w:color="auto"/>
      </w:divBdr>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372732224">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370633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166267">
      <w:bodyDiv w:val="1"/>
      <w:marLeft w:val="0"/>
      <w:marRight w:val="0"/>
      <w:marTop w:val="0"/>
      <w:marBottom w:val="0"/>
      <w:divBdr>
        <w:top w:val="none" w:sz="0" w:space="0" w:color="auto"/>
        <w:left w:val="none" w:sz="0" w:space="0" w:color="auto"/>
        <w:bottom w:val="none" w:sz="0" w:space="0" w:color="auto"/>
        <w:right w:val="none" w:sz="0" w:space="0" w:color="auto"/>
      </w:divBdr>
      <w:divsChild>
        <w:div w:id="1720006229">
          <w:marLeft w:val="1166"/>
          <w:marRight w:val="0"/>
          <w:marTop w:val="58"/>
          <w:marBottom w:val="0"/>
          <w:divBdr>
            <w:top w:val="none" w:sz="0" w:space="0" w:color="auto"/>
            <w:left w:val="none" w:sz="0" w:space="0" w:color="auto"/>
            <w:bottom w:val="none" w:sz="0" w:space="0" w:color="auto"/>
            <w:right w:val="none" w:sz="0" w:space="0" w:color="auto"/>
          </w:divBdr>
        </w:div>
        <w:div w:id="1863124353">
          <w:marLeft w:val="1166"/>
          <w:marRight w:val="0"/>
          <w:marTop w:val="58"/>
          <w:marBottom w:val="0"/>
          <w:divBdr>
            <w:top w:val="none" w:sz="0" w:space="0" w:color="auto"/>
            <w:left w:val="none" w:sz="0" w:space="0" w:color="auto"/>
            <w:bottom w:val="none" w:sz="0" w:space="0" w:color="auto"/>
            <w:right w:val="none" w:sz="0" w:space="0" w:color="auto"/>
          </w:divBdr>
        </w:div>
      </w:divsChild>
    </w:div>
    <w:div w:id="515727207">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00473518">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72353129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36768506">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653215570">
          <w:marLeft w:val="259"/>
          <w:marRight w:val="0"/>
          <w:marTop w:val="0"/>
          <w:marBottom w:val="0"/>
          <w:divBdr>
            <w:top w:val="none" w:sz="0" w:space="0" w:color="auto"/>
            <w:left w:val="none" w:sz="0" w:space="0" w:color="auto"/>
            <w:bottom w:val="none" w:sz="0" w:space="0" w:color="auto"/>
            <w:right w:val="none" w:sz="0" w:space="0" w:color="auto"/>
          </w:divBdr>
        </w:div>
        <w:div w:id="1965573017">
          <w:marLeft w:val="259"/>
          <w:marRight w:val="0"/>
          <w:marTop w:val="0"/>
          <w:marBottom w:val="0"/>
          <w:divBdr>
            <w:top w:val="none" w:sz="0" w:space="0" w:color="auto"/>
            <w:left w:val="none" w:sz="0" w:space="0" w:color="auto"/>
            <w:bottom w:val="none" w:sz="0" w:space="0" w:color="auto"/>
            <w:right w:val="none" w:sz="0" w:space="0" w:color="auto"/>
          </w:divBdr>
        </w:div>
      </w:divsChild>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06163134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300769211">
      <w:bodyDiv w:val="1"/>
      <w:marLeft w:val="0"/>
      <w:marRight w:val="0"/>
      <w:marTop w:val="0"/>
      <w:marBottom w:val="0"/>
      <w:divBdr>
        <w:top w:val="none" w:sz="0" w:space="0" w:color="auto"/>
        <w:left w:val="none" w:sz="0" w:space="0" w:color="auto"/>
        <w:bottom w:val="none" w:sz="0" w:space="0" w:color="auto"/>
        <w:right w:val="none" w:sz="0" w:space="0" w:color="auto"/>
      </w:divBdr>
    </w:div>
    <w:div w:id="1374185109">
      <w:bodyDiv w:val="1"/>
      <w:marLeft w:val="0"/>
      <w:marRight w:val="0"/>
      <w:marTop w:val="0"/>
      <w:marBottom w:val="0"/>
      <w:divBdr>
        <w:top w:val="none" w:sz="0" w:space="0" w:color="auto"/>
        <w:left w:val="none" w:sz="0" w:space="0" w:color="auto"/>
        <w:bottom w:val="none" w:sz="0" w:space="0" w:color="auto"/>
        <w:right w:val="none" w:sz="0" w:space="0" w:color="auto"/>
      </w:divBdr>
    </w:div>
    <w:div w:id="138406241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64348866">
      <w:bodyDiv w:val="1"/>
      <w:marLeft w:val="0"/>
      <w:marRight w:val="0"/>
      <w:marTop w:val="0"/>
      <w:marBottom w:val="0"/>
      <w:divBdr>
        <w:top w:val="none" w:sz="0" w:space="0" w:color="auto"/>
        <w:left w:val="none" w:sz="0" w:space="0" w:color="auto"/>
        <w:bottom w:val="none" w:sz="0" w:space="0" w:color="auto"/>
        <w:right w:val="none" w:sz="0" w:space="0" w:color="auto"/>
      </w:divBdr>
      <w:divsChild>
        <w:div w:id="650058689">
          <w:marLeft w:val="259"/>
          <w:marRight w:val="0"/>
          <w:marTop w:val="0"/>
          <w:marBottom w:val="0"/>
          <w:divBdr>
            <w:top w:val="none" w:sz="0" w:space="0" w:color="auto"/>
            <w:left w:val="none" w:sz="0" w:space="0" w:color="auto"/>
            <w:bottom w:val="none" w:sz="0" w:space="0" w:color="auto"/>
            <w:right w:val="none" w:sz="0" w:space="0" w:color="auto"/>
          </w:divBdr>
        </w:div>
        <w:div w:id="840319464">
          <w:marLeft w:val="259"/>
          <w:marRight w:val="0"/>
          <w:marTop w:val="0"/>
          <w:marBottom w:val="0"/>
          <w:divBdr>
            <w:top w:val="none" w:sz="0" w:space="0" w:color="auto"/>
            <w:left w:val="none" w:sz="0" w:space="0" w:color="auto"/>
            <w:bottom w:val="none" w:sz="0" w:space="0" w:color="auto"/>
            <w:right w:val="none" w:sz="0" w:space="0" w:color="auto"/>
          </w:divBdr>
        </w:div>
      </w:divsChild>
    </w:div>
    <w:div w:id="1587227419">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7493825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1995796262">
      <w:bodyDiv w:val="1"/>
      <w:marLeft w:val="0"/>
      <w:marRight w:val="0"/>
      <w:marTop w:val="0"/>
      <w:marBottom w:val="0"/>
      <w:divBdr>
        <w:top w:val="none" w:sz="0" w:space="0" w:color="auto"/>
        <w:left w:val="none" w:sz="0" w:space="0" w:color="auto"/>
        <w:bottom w:val="none" w:sz="0" w:space="0" w:color="auto"/>
        <w:right w:val="none" w:sz="0" w:space="0" w:color="auto"/>
      </w:divBdr>
      <w:divsChild>
        <w:div w:id="566571701">
          <w:marLeft w:val="1166"/>
          <w:marRight w:val="0"/>
          <w:marTop w:val="58"/>
          <w:marBottom w:val="0"/>
          <w:divBdr>
            <w:top w:val="none" w:sz="0" w:space="0" w:color="auto"/>
            <w:left w:val="none" w:sz="0" w:space="0" w:color="auto"/>
            <w:bottom w:val="none" w:sz="0" w:space="0" w:color="auto"/>
            <w:right w:val="none" w:sz="0" w:space="0" w:color="auto"/>
          </w:divBdr>
        </w:div>
        <w:div w:id="1503428463">
          <w:marLeft w:val="1166"/>
          <w:marRight w:val="0"/>
          <w:marTop w:val="58"/>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 w:id="214080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grouper.ieee.org/groups/802/11/Workshops/2019-July-Coex/att_coex_ws_final.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e5fd204ac51a070110bdad063e1cd2f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101e82b2f67cfb8221074c50a9ea2e2b"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3EQ6UJ4K66FU-4-36567</_dlc_DocId>
    <_dlc_DocIdUrl xmlns="df4eea7b-52db-4162-980b-b352f1b580a3">
      <Url>https://projects.qualcomm.com/sites/meridian/_layouts/15/DocIdRedir.aspx?ID=3EQ6UJ4K66FU-4-36567</Url>
      <Description>3EQ6UJ4K66FU-4-36567</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4E770-A5A8-4CCE-BC09-3147E1F0F8F0}">
  <ds:schemaRefs>
    <ds:schemaRef ds:uri="http://schemas.microsoft.com/sharepoint/events"/>
  </ds:schemaRefs>
</ds:datastoreItem>
</file>

<file path=customXml/itemProps2.xml><?xml version="1.0" encoding="utf-8"?>
<ds:datastoreItem xmlns:ds="http://schemas.openxmlformats.org/officeDocument/2006/customXml" ds:itemID="{0EC4B735-A62C-48E1-9C2E-39A0F2E2F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C3325-238E-4F2A-B88B-82ED04841264}">
  <ds:schemaRefs>
    <ds:schemaRef ds:uri="http://schemas.microsoft.com/sharepoint/v3/contenttype/forms"/>
  </ds:schemaRefs>
</ds:datastoreItem>
</file>

<file path=customXml/itemProps4.xml><?xml version="1.0" encoding="utf-8"?>
<ds:datastoreItem xmlns:ds="http://schemas.openxmlformats.org/officeDocument/2006/customXml" ds:itemID="{71F6D7C9-0FEF-466A-A0B6-955776080145}">
  <ds:schemaRefs>
    <ds:schemaRef ds:uri="http://purl.org/dc/terms/"/>
    <ds:schemaRef ds:uri="http://schemas.openxmlformats.org/package/2006/metadata/core-properties"/>
    <ds:schemaRef ds:uri="http://purl.org/dc/elements/1.1/"/>
    <ds:schemaRef ds:uri="http://schemas.microsoft.com/office/2006/documentManagement/types"/>
    <ds:schemaRef ds:uri="http://schemas.microsoft.com/sharepoint/v4"/>
    <ds:schemaRef ds:uri="http://www.w3.org/XML/1998/namespace"/>
    <ds:schemaRef ds:uri="http://purl.org/dc/dcmitype/"/>
    <ds:schemaRef ds:uri="http://schemas.microsoft.com/office/infopath/2007/PartnerControls"/>
    <ds:schemaRef ds:uri="df4eea7b-52db-4162-980b-b352f1b580a3"/>
    <ds:schemaRef ds:uri="http://schemas.microsoft.com/office/2006/metadata/properties"/>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486A0B81-ECC6-43F8-ACBD-2DD9FB10F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9859</Words>
  <Characters>56197</Characters>
  <Application>Microsoft Office Word</Application>
  <DocSecurity>0</DocSecurity>
  <Lines>468</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2019-12-02T16:35:00Z</dcterms:created>
  <dcterms:modified xsi:type="dcterms:W3CDTF">2019-12-02T16:35:00Z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0x010100B64640988C4649488F02E0537EA64775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1573579129</vt:lpwstr>
  </property>
  <property fmtid="{D5CDD505-2E9C-101B-9397-08002B2CF9AE}" pid="8" name="_dlc_DocIdItemGuid">
    <vt:lpwstr>6c7dbb45-c3f1-4a1f-9ab5-cb038f93c534</vt:lpwstr>
  </property>
</Properties>
</file>