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5E42D6" w:rsidRDefault="00070DB3" w:rsidP="00070DB3">
      <w:pPr>
        <w:pStyle w:val="Header"/>
        <w:tabs>
          <w:tab w:val="right" w:pos="9639"/>
        </w:tabs>
        <w:rPr>
          <w:bCs/>
          <w:noProof w:val="0"/>
          <w:sz w:val="28"/>
          <w:szCs w:val="24"/>
        </w:rPr>
      </w:pPr>
      <w:r w:rsidRPr="005E42D6">
        <w:rPr>
          <w:bCs/>
          <w:noProof w:val="0"/>
          <w:sz w:val="28"/>
          <w:szCs w:val="24"/>
        </w:rPr>
        <w:t>3GPP T</w:t>
      </w:r>
      <w:bookmarkStart w:id="0" w:name="_Ref452454252"/>
      <w:bookmarkEnd w:id="0"/>
      <w:r w:rsidR="00245669" w:rsidRPr="005E42D6">
        <w:rPr>
          <w:bCs/>
          <w:noProof w:val="0"/>
          <w:sz w:val="28"/>
          <w:szCs w:val="24"/>
        </w:rPr>
        <w:t xml:space="preserve">SG RAN </w:t>
      </w:r>
      <w:r w:rsidR="00245669" w:rsidRPr="005E42D6">
        <w:rPr>
          <w:noProof w:val="0"/>
          <w:sz w:val="28"/>
          <w:szCs w:val="24"/>
        </w:rPr>
        <w:t>#</w:t>
      </w:r>
      <w:r w:rsidR="00131BA8">
        <w:rPr>
          <w:noProof w:val="0"/>
          <w:sz w:val="28"/>
          <w:szCs w:val="24"/>
        </w:rPr>
        <w:t>83</w:t>
      </w:r>
      <w:r w:rsidRPr="005E42D6">
        <w:rPr>
          <w:bCs/>
          <w:noProof w:val="0"/>
          <w:sz w:val="28"/>
          <w:szCs w:val="24"/>
        </w:rPr>
        <w:tab/>
        <w:t>R</w:t>
      </w:r>
      <w:r w:rsidR="00245669" w:rsidRPr="005E42D6">
        <w:rPr>
          <w:bCs/>
          <w:noProof w:val="0"/>
          <w:sz w:val="28"/>
          <w:szCs w:val="24"/>
        </w:rPr>
        <w:t>P</w:t>
      </w:r>
      <w:r w:rsidRPr="005E42D6">
        <w:rPr>
          <w:bCs/>
          <w:noProof w:val="0"/>
          <w:sz w:val="28"/>
          <w:szCs w:val="24"/>
        </w:rPr>
        <w:t>-1</w:t>
      </w:r>
      <w:r w:rsidR="005E42D6">
        <w:rPr>
          <w:bCs/>
          <w:noProof w:val="0"/>
          <w:sz w:val="28"/>
          <w:szCs w:val="24"/>
        </w:rPr>
        <w:t>9</w:t>
      </w:r>
      <w:r w:rsidR="001D1675">
        <w:rPr>
          <w:bCs/>
          <w:noProof w:val="0"/>
          <w:sz w:val="28"/>
          <w:szCs w:val="24"/>
        </w:rPr>
        <w:t>0529</w:t>
      </w:r>
    </w:p>
    <w:p w:rsidR="00070DB3" w:rsidRPr="005E42D6" w:rsidRDefault="005E42D6" w:rsidP="00070DB3">
      <w:pPr>
        <w:pStyle w:val="Header"/>
        <w:tabs>
          <w:tab w:val="right" w:pos="9639"/>
        </w:tabs>
        <w:rPr>
          <w:bCs/>
          <w:noProof w:val="0"/>
          <w:sz w:val="28"/>
          <w:szCs w:val="24"/>
        </w:rPr>
      </w:pPr>
      <w:r w:rsidRPr="005E42D6">
        <w:rPr>
          <w:noProof w:val="0"/>
          <w:sz w:val="28"/>
          <w:szCs w:val="24"/>
          <w:lang w:eastAsia="zh-CN"/>
        </w:rPr>
        <w:t>Shenzhen</w:t>
      </w:r>
      <w:r w:rsidR="00070DB3" w:rsidRPr="005E42D6">
        <w:rPr>
          <w:noProof w:val="0"/>
          <w:sz w:val="28"/>
          <w:szCs w:val="24"/>
          <w:lang w:eastAsia="zh-CN"/>
        </w:rPr>
        <w:t xml:space="preserve">, </w:t>
      </w:r>
      <w:r w:rsidRPr="005E42D6">
        <w:rPr>
          <w:noProof w:val="0"/>
          <w:sz w:val="28"/>
          <w:szCs w:val="24"/>
          <w:lang w:eastAsia="zh-CN"/>
        </w:rPr>
        <w:t>China</w:t>
      </w:r>
      <w:r w:rsidR="00070DB3" w:rsidRPr="005E42D6">
        <w:rPr>
          <w:noProof w:val="0"/>
          <w:sz w:val="28"/>
          <w:szCs w:val="24"/>
          <w:lang w:eastAsia="zh-CN"/>
        </w:rPr>
        <w:t xml:space="preserve">, </w:t>
      </w:r>
      <w:r w:rsidR="00245669" w:rsidRPr="005E42D6">
        <w:rPr>
          <w:noProof w:val="0"/>
          <w:sz w:val="28"/>
          <w:szCs w:val="24"/>
          <w:lang w:eastAsia="zh-CN"/>
        </w:rPr>
        <w:t>1</w:t>
      </w:r>
      <w:r w:rsidRPr="005E42D6">
        <w:rPr>
          <w:noProof w:val="0"/>
          <w:sz w:val="28"/>
          <w:szCs w:val="24"/>
          <w:lang w:eastAsia="zh-CN"/>
        </w:rPr>
        <w:t>8</w:t>
      </w:r>
      <w:r w:rsidR="00070DB3" w:rsidRPr="005E42D6">
        <w:rPr>
          <w:noProof w:val="0"/>
          <w:sz w:val="28"/>
          <w:szCs w:val="24"/>
          <w:vertAlign w:val="superscript"/>
          <w:lang w:eastAsia="zh-CN"/>
        </w:rPr>
        <w:t>th</w:t>
      </w:r>
      <w:r w:rsidR="00070DB3" w:rsidRPr="005E42D6">
        <w:rPr>
          <w:noProof w:val="0"/>
          <w:sz w:val="28"/>
          <w:szCs w:val="24"/>
          <w:lang w:eastAsia="zh-CN"/>
        </w:rPr>
        <w:t xml:space="preserve"> </w:t>
      </w:r>
      <w:r w:rsidR="00245669" w:rsidRPr="005E42D6">
        <w:rPr>
          <w:noProof w:val="0"/>
          <w:sz w:val="28"/>
          <w:szCs w:val="24"/>
          <w:lang w:eastAsia="zh-CN"/>
        </w:rPr>
        <w:t>–</w:t>
      </w:r>
      <w:r w:rsidR="00070DB3" w:rsidRPr="005E42D6">
        <w:rPr>
          <w:noProof w:val="0"/>
          <w:sz w:val="28"/>
          <w:szCs w:val="24"/>
          <w:lang w:eastAsia="zh-CN"/>
        </w:rPr>
        <w:t xml:space="preserve"> </w:t>
      </w:r>
      <w:r w:rsidRPr="005E42D6">
        <w:rPr>
          <w:noProof w:val="0"/>
          <w:sz w:val="28"/>
          <w:szCs w:val="24"/>
          <w:lang w:eastAsia="zh-CN"/>
        </w:rPr>
        <w:t>21</w:t>
      </w:r>
      <w:r w:rsidRPr="005E42D6">
        <w:rPr>
          <w:noProof w:val="0"/>
          <w:sz w:val="28"/>
          <w:szCs w:val="24"/>
          <w:vertAlign w:val="superscript"/>
          <w:lang w:eastAsia="zh-CN"/>
        </w:rPr>
        <w:t>st</w:t>
      </w:r>
      <w:r w:rsidRPr="005E42D6">
        <w:rPr>
          <w:noProof w:val="0"/>
          <w:sz w:val="28"/>
          <w:szCs w:val="24"/>
          <w:lang w:eastAsia="zh-CN"/>
        </w:rPr>
        <w:t xml:space="preserve"> March 2019</w:t>
      </w:r>
    </w:p>
    <w:p w:rsidR="00070DB3" w:rsidRPr="005E42D6" w:rsidRDefault="00070DB3" w:rsidP="00070DB3">
      <w:pPr>
        <w:pStyle w:val="CRCoverPage"/>
        <w:tabs>
          <w:tab w:val="right" w:pos="9638"/>
        </w:tabs>
        <w:spacing w:after="0"/>
        <w:outlineLvl w:val="0"/>
        <w:rPr>
          <w:rFonts w:cs="Arial"/>
          <w:noProof/>
          <w:sz w:val="36"/>
        </w:rPr>
      </w:pPr>
    </w:p>
    <w:p w:rsidR="00070DB3" w:rsidRPr="005E42D6" w:rsidRDefault="00EA16AF" w:rsidP="00EA16AF">
      <w:pPr>
        <w:ind w:left="0"/>
        <w:rPr>
          <w:rFonts w:ascii="Arial" w:hAnsi="Arial" w:cs="Arial"/>
          <w:i/>
          <w:sz w:val="28"/>
        </w:rPr>
      </w:pPr>
      <w:r w:rsidRPr="005E42D6">
        <w:rPr>
          <w:rFonts w:ascii="Arial" w:hAnsi="Arial" w:cs="Arial"/>
          <w:sz w:val="28"/>
        </w:rPr>
        <w:t>Title:</w:t>
      </w:r>
      <w:r w:rsidRPr="005E42D6">
        <w:rPr>
          <w:rFonts w:ascii="Arial" w:hAnsi="Arial" w:cs="Arial"/>
          <w:sz w:val="28"/>
        </w:rPr>
        <w:tab/>
      </w:r>
      <w:r w:rsidRPr="005E42D6">
        <w:rPr>
          <w:rFonts w:ascii="Arial" w:hAnsi="Arial" w:cs="Arial"/>
          <w:sz w:val="28"/>
        </w:rPr>
        <w:tab/>
      </w:r>
      <w:r w:rsidR="005E42D6" w:rsidRPr="005E42D6">
        <w:rPr>
          <w:rFonts w:ascii="Arial" w:hAnsi="Arial" w:cs="Arial"/>
          <w:sz w:val="28"/>
        </w:rPr>
        <w:t>Applicability of NR-</w:t>
      </w:r>
      <w:proofErr w:type="spellStart"/>
      <w:r w:rsidR="005E42D6" w:rsidRPr="005E42D6">
        <w:rPr>
          <w:rFonts w:ascii="Arial" w:hAnsi="Arial" w:cs="Arial"/>
          <w:sz w:val="28"/>
        </w:rPr>
        <w:t>IIoT</w:t>
      </w:r>
      <w:proofErr w:type="spellEnd"/>
      <w:r w:rsidR="005E42D6" w:rsidRPr="005E42D6">
        <w:rPr>
          <w:rFonts w:ascii="Arial" w:hAnsi="Arial" w:cs="Arial"/>
          <w:sz w:val="28"/>
        </w:rPr>
        <w:t xml:space="preserve"> L2/3 aspects for LTE</w:t>
      </w:r>
      <w:r w:rsidR="00070DB3" w:rsidRPr="005E42D6">
        <w:rPr>
          <w:rFonts w:ascii="Arial" w:hAnsi="Arial" w:cs="Arial"/>
          <w:bCs/>
          <w:sz w:val="144"/>
        </w:rPr>
        <w:t xml:space="preserve"> </w:t>
      </w:r>
    </w:p>
    <w:p w:rsidR="00070DB3" w:rsidRPr="005E42D6" w:rsidRDefault="00070DB3" w:rsidP="00147BA6">
      <w:pPr>
        <w:ind w:left="1416" w:hanging="1416"/>
        <w:rPr>
          <w:rFonts w:ascii="Arial" w:hAnsi="Arial" w:cs="Arial"/>
          <w:sz w:val="28"/>
        </w:rPr>
      </w:pPr>
      <w:r w:rsidRPr="005E42D6">
        <w:rPr>
          <w:rFonts w:ascii="Arial" w:hAnsi="Arial" w:cs="Arial"/>
          <w:sz w:val="28"/>
        </w:rPr>
        <w:t>Source:</w:t>
      </w:r>
      <w:r w:rsidRPr="005E42D6">
        <w:rPr>
          <w:rFonts w:ascii="Arial" w:hAnsi="Arial" w:cs="Arial"/>
          <w:sz w:val="28"/>
        </w:rPr>
        <w:tab/>
      </w:r>
      <w:r w:rsidR="00175E61" w:rsidRPr="005E42D6">
        <w:rPr>
          <w:rFonts w:ascii="Arial" w:hAnsi="Arial" w:cs="Arial"/>
          <w:sz w:val="28"/>
        </w:rPr>
        <w:t>Vodafone</w:t>
      </w:r>
    </w:p>
    <w:p w:rsidR="00070DB3" w:rsidRPr="005E42D6" w:rsidRDefault="00070DB3" w:rsidP="00EA16AF">
      <w:pPr>
        <w:ind w:left="0"/>
        <w:rPr>
          <w:rFonts w:ascii="Arial" w:hAnsi="Arial" w:cs="Arial"/>
          <w:i/>
          <w:sz w:val="28"/>
        </w:rPr>
      </w:pPr>
      <w:r w:rsidRPr="005E42D6">
        <w:rPr>
          <w:rFonts w:ascii="Arial" w:hAnsi="Arial" w:cs="Arial"/>
          <w:sz w:val="28"/>
        </w:rPr>
        <w:t xml:space="preserve">Agenda: </w:t>
      </w:r>
      <w:r w:rsidRPr="005E42D6">
        <w:rPr>
          <w:rFonts w:ascii="Arial" w:hAnsi="Arial" w:cs="Arial"/>
          <w:sz w:val="28"/>
        </w:rPr>
        <w:tab/>
      </w:r>
      <w:r w:rsidR="005E42D6" w:rsidRPr="005E42D6">
        <w:rPr>
          <w:rFonts w:ascii="Arial" w:hAnsi="Arial" w:cs="Arial"/>
          <w:sz w:val="28"/>
        </w:rPr>
        <w:t>9.3.8</w:t>
      </w:r>
    </w:p>
    <w:p w:rsidR="00070DB3" w:rsidRPr="005E42D6" w:rsidRDefault="00EA16AF" w:rsidP="00EA16AF">
      <w:pPr>
        <w:ind w:left="0"/>
        <w:rPr>
          <w:rFonts w:ascii="Arial" w:hAnsi="Arial" w:cs="Arial"/>
          <w:sz w:val="28"/>
        </w:rPr>
      </w:pPr>
      <w:r w:rsidRPr="005E42D6">
        <w:rPr>
          <w:rFonts w:ascii="Arial" w:hAnsi="Arial" w:cs="Arial"/>
          <w:sz w:val="28"/>
        </w:rPr>
        <w:t>For:</w:t>
      </w:r>
      <w:r w:rsidRPr="005E42D6">
        <w:rPr>
          <w:rFonts w:ascii="Arial" w:hAnsi="Arial" w:cs="Arial"/>
          <w:sz w:val="28"/>
        </w:rPr>
        <w:tab/>
      </w:r>
      <w:r w:rsidRPr="005E42D6">
        <w:rPr>
          <w:rFonts w:ascii="Arial" w:hAnsi="Arial" w:cs="Arial"/>
          <w:sz w:val="28"/>
        </w:rPr>
        <w:tab/>
      </w:r>
      <w:r w:rsidR="00256686" w:rsidRPr="005E42D6">
        <w:rPr>
          <w:rFonts w:ascii="Arial" w:hAnsi="Arial" w:cs="Arial"/>
          <w:sz w:val="28"/>
        </w:rPr>
        <w:t>Approval</w:t>
      </w:r>
      <w:r w:rsidR="00070DB3" w:rsidRPr="005E42D6">
        <w:rPr>
          <w:rFonts w:ascii="Arial" w:hAnsi="Arial" w:cs="Arial"/>
          <w:sz w:val="28"/>
        </w:rPr>
        <w:t xml:space="preserve"> </w:t>
      </w:r>
    </w:p>
    <w:p w:rsidR="00EA16AF" w:rsidRPr="00EA16AF" w:rsidRDefault="00EA16AF" w:rsidP="00EA16AF">
      <w:pPr>
        <w:ind w:left="0"/>
        <w:rPr>
          <w:rFonts w:ascii="Arial" w:hAnsi="Arial" w:cs="Arial"/>
          <w:b/>
          <w:sz w:val="8"/>
        </w:rPr>
      </w:pPr>
    </w:p>
    <w:p w:rsidR="00070DB3" w:rsidRPr="00A23121" w:rsidRDefault="00070DB3" w:rsidP="0081089F">
      <w:pPr>
        <w:pStyle w:val="Heading1"/>
        <w:numPr>
          <w:ilvl w:val="0"/>
          <w:numId w:val="1"/>
        </w:numPr>
      </w:pPr>
      <w:r w:rsidRPr="00A23121">
        <w:t>Introduction</w:t>
      </w:r>
    </w:p>
    <w:p w:rsidR="00BC575E" w:rsidRDefault="005E42D6" w:rsidP="00A33F70">
      <w:pPr>
        <w:spacing w:after="240"/>
        <w:ind w:left="0"/>
      </w:pPr>
      <w:r>
        <w:t>This document discusses the applicability of enabling some of the techniques considered for Release 16 NR-</w:t>
      </w:r>
      <w:proofErr w:type="spellStart"/>
      <w:r>
        <w:t>IIoT</w:t>
      </w:r>
      <w:proofErr w:type="spellEnd"/>
      <w:r>
        <w:t xml:space="preserve"> for LTE networks and makes some proposals for a way forward.</w:t>
      </w:r>
    </w:p>
    <w:p w:rsidR="00E82F90" w:rsidRDefault="00DC7287" w:rsidP="00615AD7">
      <w:pPr>
        <w:pStyle w:val="Heading1"/>
        <w:numPr>
          <w:ilvl w:val="0"/>
          <w:numId w:val="1"/>
        </w:numPr>
      </w:pPr>
      <w:r>
        <w:t>Discussion</w:t>
      </w:r>
    </w:p>
    <w:p w:rsidR="00DC7287" w:rsidRPr="00DC7287" w:rsidRDefault="00DC7287" w:rsidP="00DC7287">
      <w:pPr>
        <w:pStyle w:val="Heading3"/>
        <w:spacing w:before="0" w:after="120"/>
        <w:ind w:left="0"/>
        <w:rPr>
          <w:rFonts w:ascii="Arial" w:hAnsi="Arial" w:cs="Arial"/>
          <w:color w:val="000000" w:themeColor="text1"/>
          <w:lang w:val="en-US"/>
        </w:rPr>
      </w:pPr>
      <w:r>
        <w:rPr>
          <w:rFonts w:ascii="Arial" w:hAnsi="Arial" w:cs="Arial"/>
          <w:color w:val="000000" w:themeColor="text1"/>
          <w:lang w:val="en-US"/>
        </w:rPr>
        <w:t>2.1</w:t>
      </w:r>
      <w:r>
        <w:rPr>
          <w:rFonts w:ascii="Arial" w:hAnsi="Arial" w:cs="Arial"/>
          <w:color w:val="000000" w:themeColor="text1"/>
          <w:lang w:val="en-US"/>
        </w:rPr>
        <w:tab/>
      </w:r>
      <w:r w:rsidR="005E42D6">
        <w:rPr>
          <w:rFonts w:ascii="Arial" w:hAnsi="Arial" w:cs="Arial"/>
          <w:color w:val="000000" w:themeColor="text1"/>
          <w:lang w:val="en-US"/>
        </w:rPr>
        <w:t xml:space="preserve">NR </w:t>
      </w:r>
      <w:proofErr w:type="spellStart"/>
      <w:r w:rsidR="005E42D6">
        <w:rPr>
          <w:rFonts w:ascii="Arial" w:hAnsi="Arial" w:cs="Arial"/>
          <w:color w:val="000000" w:themeColor="text1"/>
          <w:lang w:val="en-US"/>
        </w:rPr>
        <w:t>IIoT</w:t>
      </w:r>
      <w:proofErr w:type="spellEnd"/>
      <w:r w:rsidR="005E42D6">
        <w:rPr>
          <w:rFonts w:ascii="Arial" w:hAnsi="Arial" w:cs="Arial"/>
          <w:color w:val="000000" w:themeColor="text1"/>
          <w:lang w:val="en-US"/>
        </w:rPr>
        <w:t xml:space="preserve"> studies</w:t>
      </w:r>
    </w:p>
    <w:p w:rsidR="00C11FFE" w:rsidRDefault="005E42D6" w:rsidP="00C11FFE">
      <w:pPr>
        <w:ind w:left="0"/>
      </w:pPr>
      <w:r>
        <w:t xml:space="preserve">Part of the objectives of the RAN2-led Study Item on NR </w:t>
      </w:r>
      <w:proofErr w:type="spellStart"/>
      <w:r>
        <w:t>IIoT</w:t>
      </w:r>
      <w:proofErr w:type="spellEnd"/>
      <w:r>
        <w:t xml:space="preserve"> was to consider applicability of some aspects for LTE</w:t>
      </w:r>
      <w:r w:rsidR="00DC7287">
        <w:t>.</w:t>
      </w:r>
      <w:r>
        <w:t xml:space="preserve"> Such applicability has not been considered in the formal technical report, and a follow </w:t>
      </w:r>
      <w:r w:rsidR="00431406">
        <w:t xml:space="preserve">up </w:t>
      </w:r>
      <w:r>
        <w:t xml:space="preserve">NR </w:t>
      </w:r>
      <w:proofErr w:type="spellStart"/>
      <w:r>
        <w:t>IIoT</w:t>
      </w:r>
      <w:proofErr w:type="spellEnd"/>
      <w:r>
        <w:t xml:space="preserve"> work item is proposed for the current meeting. Therefore, it makes sense to consider which things could easily be applied to LTE </w:t>
      </w:r>
      <w:r w:rsidR="00431406">
        <w:t>and pr</w:t>
      </w:r>
      <w:r w:rsidR="005225A7">
        <w:t xml:space="preserve">ovide benefit to </w:t>
      </w:r>
      <w:proofErr w:type="spellStart"/>
      <w:r w:rsidR="005225A7">
        <w:t>IIoT</w:t>
      </w:r>
      <w:proofErr w:type="spellEnd"/>
      <w:r w:rsidR="005225A7">
        <w:t xml:space="preserve"> customers</w:t>
      </w:r>
      <w:r>
        <w:t>.</w:t>
      </w:r>
    </w:p>
    <w:p w:rsidR="005E42D6" w:rsidRDefault="00431406" w:rsidP="00C11FFE">
      <w:pPr>
        <w:ind w:left="0"/>
      </w:pPr>
      <w:r>
        <w:t xml:space="preserve">The service requirements of industrial networks tend to involve </w:t>
      </w:r>
      <w:r w:rsidR="005E42D6">
        <w:t xml:space="preserve">3 </w:t>
      </w:r>
      <w:r>
        <w:t>parameters</w:t>
      </w:r>
      <w:r w:rsidR="005E42D6">
        <w:t>:</w:t>
      </w:r>
    </w:p>
    <w:p w:rsidR="005E42D6" w:rsidRDefault="005E42D6" w:rsidP="005E42D6">
      <w:pPr>
        <w:pStyle w:val="ListParagraph"/>
        <w:numPr>
          <w:ilvl w:val="0"/>
          <w:numId w:val="14"/>
        </w:numPr>
      </w:pPr>
      <w:r>
        <w:t>Latency</w:t>
      </w:r>
    </w:p>
    <w:p w:rsidR="005E42D6" w:rsidRDefault="005E42D6" w:rsidP="005E42D6">
      <w:pPr>
        <w:pStyle w:val="ListParagraph"/>
        <w:numPr>
          <w:ilvl w:val="0"/>
          <w:numId w:val="14"/>
        </w:numPr>
      </w:pPr>
      <w:r>
        <w:t>Reliability</w:t>
      </w:r>
    </w:p>
    <w:p w:rsidR="005E42D6" w:rsidRDefault="005E42D6" w:rsidP="005E42D6">
      <w:pPr>
        <w:pStyle w:val="ListParagraph"/>
        <w:numPr>
          <w:ilvl w:val="0"/>
          <w:numId w:val="14"/>
        </w:numPr>
      </w:pPr>
      <w:r>
        <w:t>Availability</w:t>
      </w:r>
    </w:p>
    <w:p w:rsidR="00093E17" w:rsidRDefault="00431406" w:rsidP="00C11FFE">
      <w:pPr>
        <w:ind w:left="0"/>
      </w:pPr>
      <w:r>
        <w:t xml:space="preserve">Applications may require high performance on just one of these areas, or more than one. </w:t>
      </w:r>
      <w:r w:rsidR="00BB7A97">
        <w:t>See SA1 TS22.104 [1] for some examples of industry automation service requirements.</w:t>
      </w:r>
    </w:p>
    <w:p w:rsidR="0055734F" w:rsidRDefault="00431406">
      <w:pPr>
        <w:ind w:left="0"/>
      </w:pPr>
      <w:r>
        <w:t xml:space="preserve">Ultra </w:t>
      </w:r>
      <w:r w:rsidR="00BB7A97">
        <w:t>l</w:t>
      </w:r>
      <w:r w:rsidR="00D07E8D">
        <w:t xml:space="preserve">ow latency is only one aspect of the work, </w:t>
      </w:r>
      <w:r>
        <w:t>and the SA2 SID on 5G_URLLC (key Issue #1 in TR 23.725) has extensively studied “high availability” using duplicated, independent (sub)systems</w:t>
      </w:r>
      <w:r w:rsidR="00093E17">
        <w:t>, and has created normative specifications for their use on NG-RAN (i.e. both NR and LTE RATs). With these approaches, their applicable-latency is anything below the time it takes to detect a communication break plus the time taken to establish a new connection, i.e. anything below 50-100ms, and hence are clearly applicable on both LTE and NR.</w:t>
      </w:r>
      <w:r>
        <w:t xml:space="preserve"> </w:t>
      </w:r>
      <w:r w:rsidR="00093E17">
        <w:t xml:space="preserve">Their use on the LTE RAT </w:t>
      </w:r>
      <w:r w:rsidR="0055734F">
        <w:t>would be useful especially where macro networks are required to provide som</w:t>
      </w:r>
      <w:r w:rsidR="0050163B">
        <w:t>e industrial network capability, e.g. for SMEs.</w:t>
      </w:r>
    </w:p>
    <w:p w:rsidR="00DC7287" w:rsidRPr="00DC7287" w:rsidRDefault="00DC7287" w:rsidP="00DC7287">
      <w:pPr>
        <w:pStyle w:val="Heading3"/>
        <w:spacing w:before="240" w:after="120"/>
        <w:ind w:left="0"/>
        <w:rPr>
          <w:rFonts w:ascii="Arial" w:hAnsi="Arial" w:cs="Arial"/>
          <w:color w:val="000000" w:themeColor="text1"/>
        </w:rPr>
      </w:pPr>
      <w:r>
        <w:rPr>
          <w:rFonts w:ascii="Arial" w:hAnsi="Arial" w:cs="Arial"/>
          <w:color w:val="000000" w:themeColor="text1"/>
        </w:rPr>
        <w:t>2.2</w:t>
      </w:r>
      <w:r>
        <w:rPr>
          <w:rFonts w:ascii="Arial" w:hAnsi="Arial" w:cs="Arial"/>
          <w:color w:val="000000" w:themeColor="text1"/>
        </w:rPr>
        <w:tab/>
      </w:r>
      <w:r w:rsidR="00C53B93">
        <w:rPr>
          <w:rFonts w:ascii="Arial" w:hAnsi="Arial" w:cs="Arial"/>
          <w:color w:val="000000" w:themeColor="text1"/>
        </w:rPr>
        <w:t>LTE a</w:t>
      </w:r>
      <w:r w:rsidR="00D07E8D">
        <w:rPr>
          <w:rFonts w:ascii="Arial" w:hAnsi="Arial" w:cs="Arial"/>
          <w:color w:val="000000" w:themeColor="text1"/>
        </w:rPr>
        <w:t>nalysis</w:t>
      </w:r>
      <w:r w:rsidR="00C53B93">
        <w:rPr>
          <w:rFonts w:ascii="Arial" w:hAnsi="Arial" w:cs="Arial"/>
          <w:color w:val="000000" w:themeColor="text1"/>
        </w:rPr>
        <w:t xml:space="preserve"> compared to current objectives scope for NR </w:t>
      </w:r>
      <w:proofErr w:type="spellStart"/>
      <w:r w:rsidR="00C53B93">
        <w:rPr>
          <w:rFonts w:ascii="Arial" w:hAnsi="Arial" w:cs="Arial"/>
          <w:color w:val="000000" w:themeColor="text1"/>
        </w:rPr>
        <w:t>IIoT</w:t>
      </w:r>
      <w:proofErr w:type="spellEnd"/>
    </w:p>
    <w:p w:rsidR="00D07E8D" w:rsidRPr="00C53B93" w:rsidRDefault="00D07E8D" w:rsidP="00D07E8D">
      <w:pPr>
        <w:spacing w:after="0"/>
        <w:ind w:left="0"/>
        <w:rPr>
          <w:u w:val="single"/>
        </w:rPr>
      </w:pPr>
      <w:r w:rsidRPr="00C53B93">
        <w:rPr>
          <w:u w:val="single"/>
        </w:rPr>
        <w:t xml:space="preserve">Techniques already </w:t>
      </w:r>
      <w:r w:rsidR="0055734F">
        <w:rPr>
          <w:u w:val="single"/>
        </w:rPr>
        <w:t xml:space="preserve">specified for </w:t>
      </w:r>
      <w:r w:rsidRPr="00C53B93">
        <w:rPr>
          <w:u w:val="single"/>
        </w:rPr>
        <w:t xml:space="preserve">LTE </w:t>
      </w:r>
      <w:r w:rsidR="0055734F">
        <w:rPr>
          <w:u w:val="single"/>
        </w:rPr>
        <w:t xml:space="preserve">in </w:t>
      </w:r>
      <w:r w:rsidRPr="00C53B93">
        <w:rPr>
          <w:u w:val="single"/>
        </w:rPr>
        <w:t>Release 15</w:t>
      </w:r>
    </w:p>
    <w:p w:rsidR="00D07E8D" w:rsidRDefault="00D07E8D" w:rsidP="00C53B93">
      <w:pPr>
        <w:ind w:left="0"/>
      </w:pPr>
      <w:r>
        <w:t>For the following techniques, there has already been some specification work within LTE, so further work in Release 16 m</w:t>
      </w:r>
      <w:r w:rsidR="00093E17">
        <w:t>ight</w:t>
      </w:r>
      <w:r>
        <w:t xml:space="preserve"> not be required:</w:t>
      </w:r>
    </w:p>
    <w:p w:rsidR="006253EF" w:rsidRDefault="00D07E8D" w:rsidP="00D07E8D">
      <w:pPr>
        <w:pStyle w:val="ListParagraph"/>
        <w:numPr>
          <w:ilvl w:val="0"/>
          <w:numId w:val="14"/>
        </w:numPr>
        <w:spacing w:after="240"/>
      </w:pPr>
      <w:r>
        <w:t>Time syn</w:t>
      </w:r>
      <w:r w:rsidR="00B77146">
        <w:t xml:space="preserve">chronised networking </w:t>
      </w:r>
      <w:r w:rsidR="00093E17">
        <w:t xml:space="preserve">broadcast of </w:t>
      </w:r>
      <w:r w:rsidR="00B77146">
        <w:t>high accuracy time in the cells</w:t>
      </w:r>
    </w:p>
    <w:p w:rsidR="00D07E8D" w:rsidRDefault="00D07E8D" w:rsidP="00D07E8D">
      <w:pPr>
        <w:pStyle w:val="ListParagraph"/>
        <w:numPr>
          <w:ilvl w:val="0"/>
          <w:numId w:val="14"/>
        </w:numPr>
        <w:spacing w:after="240"/>
      </w:pPr>
      <w:r>
        <w:t>PDCP duplication</w:t>
      </w:r>
      <w:r w:rsidR="0055734F">
        <w:t xml:space="preserve"> (although EN-DC, NE-DC applicability is valid if not yet there)</w:t>
      </w:r>
    </w:p>
    <w:p w:rsidR="00C53B93" w:rsidRPr="00C53B93" w:rsidRDefault="00C53B93" w:rsidP="00C53B93">
      <w:pPr>
        <w:ind w:left="0"/>
        <w:contextualSpacing/>
        <w:rPr>
          <w:u w:val="single"/>
        </w:rPr>
      </w:pPr>
      <w:r w:rsidRPr="00C53B93">
        <w:rPr>
          <w:u w:val="single"/>
        </w:rPr>
        <w:t xml:space="preserve">Ethernet </w:t>
      </w:r>
      <w:r w:rsidR="00585EC3">
        <w:rPr>
          <w:u w:val="single"/>
        </w:rPr>
        <w:t xml:space="preserve">handling and </w:t>
      </w:r>
      <w:r w:rsidRPr="00C53B93">
        <w:rPr>
          <w:u w:val="single"/>
        </w:rPr>
        <w:t>header compression</w:t>
      </w:r>
    </w:p>
    <w:p w:rsidR="00585EC3" w:rsidRDefault="00585EC3" w:rsidP="00C53B93">
      <w:pPr>
        <w:ind w:left="0"/>
        <w:contextualSpacing/>
      </w:pPr>
      <w:r>
        <w:t>SA2 has recently agreed to add an “Ethernet PDN type” to EPS, so it would seem relevant to also apply Ethernet Header Compression to LTE for EPS and 5GS.</w:t>
      </w:r>
      <w:r>
        <w:t xml:space="preserve"> </w:t>
      </w:r>
      <w:r w:rsidR="00C53B93">
        <w:t>NR PDCP is largely similar to LTE PDCP, so it is expected that any Ethernet Header Compression applied to NR could easily be transposed to enable support for LTE networks.</w:t>
      </w:r>
    </w:p>
    <w:p w:rsidR="00C53B93" w:rsidRDefault="00C53B93" w:rsidP="00C53B93">
      <w:pPr>
        <w:ind w:left="0"/>
        <w:contextualSpacing/>
      </w:pPr>
      <w:r>
        <w:t xml:space="preserve"> </w:t>
      </w:r>
    </w:p>
    <w:p w:rsidR="00C53B93" w:rsidRPr="00C53B93" w:rsidRDefault="00D07E8D" w:rsidP="00C53B93">
      <w:pPr>
        <w:ind w:left="0"/>
        <w:contextualSpacing/>
        <w:rPr>
          <w:u w:val="single"/>
        </w:rPr>
      </w:pPr>
      <w:r w:rsidRPr="00C53B93">
        <w:rPr>
          <w:u w:val="single"/>
        </w:rPr>
        <w:t>Multi-</w:t>
      </w:r>
      <w:r w:rsidR="00C53B93" w:rsidRPr="00C53B93">
        <w:rPr>
          <w:u w:val="single"/>
        </w:rPr>
        <w:t>connectivity</w:t>
      </w:r>
      <w:r w:rsidR="00C53B93">
        <w:rPr>
          <w:u w:val="single"/>
        </w:rPr>
        <w:t xml:space="preserve"> for high availability</w:t>
      </w:r>
    </w:p>
    <w:p w:rsidR="00D07E8D" w:rsidRDefault="00C53B93" w:rsidP="00C53B93">
      <w:pPr>
        <w:ind w:left="0"/>
        <w:contextualSpacing/>
      </w:pPr>
      <w:r>
        <w:t>SA2 has recently studied e2e solutions for enabling high availability</w:t>
      </w:r>
      <w:r w:rsidR="005A6342">
        <w:t xml:space="preserve"> (see </w:t>
      </w:r>
      <w:r w:rsidR="0055734F">
        <w:t>TR23.725</w:t>
      </w:r>
      <w:r w:rsidR="005A6342">
        <w:t xml:space="preserve"> [2]</w:t>
      </w:r>
      <w:r w:rsidR="0055734F">
        <w:t>)</w:t>
      </w:r>
      <w:r>
        <w:t xml:space="preserve">, with duplicate e2e connections as well as a duplication </w:t>
      </w:r>
      <w:r w:rsidR="0055734F">
        <w:t xml:space="preserve">of intermediate connection components </w:t>
      </w:r>
      <w:r>
        <w:t>for 5GS/NG-RAN</w:t>
      </w:r>
      <w:r w:rsidR="0055734F">
        <w:t xml:space="preserve"> all considered</w:t>
      </w:r>
      <w:r>
        <w:t xml:space="preserve">. </w:t>
      </w:r>
      <w:r w:rsidR="007C2C1C">
        <w:t xml:space="preserve">As part of the SA2 discussions on the Dual Connectivity approach (solution #2 in TR 23.725), it was stated </w:t>
      </w:r>
      <w:r w:rsidR="007C2C1C">
        <w:lastRenderedPageBreak/>
        <w:t>that enhancements to SRB3 would also provide some resilience against failure of the control plane en</w:t>
      </w:r>
      <w:r w:rsidR="005225A7">
        <w:t>t</w:t>
      </w:r>
      <w:r w:rsidR="007C2C1C">
        <w:t xml:space="preserve">ity in the Master Cell group. </w:t>
      </w:r>
      <w:r>
        <w:t xml:space="preserve">Considering that NG-RAN is equally able </w:t>
      </w:r>
      <w:r w:rsidR="007C2C1C">
        <w:t>to</w:t>
      </w:r>
      <w:r>
        <w:t xml:space="preserve"> provid</w:t>
      </w:r>
      <w:r w:rsidR="007C2C1C">
        <w:t>e</w:t>
      </w:r>
      <w:r>
        <w:t xml:space="preserve"> LTE connectivity, and that the changes to RAN seem to be minimal, it seems to be justifiable to also enable these solutions for LTE </w:t>
      </w:r>
      <w:r w:rsidR="00F61204">
        <w:t xml:space="preserve">within </w:t>
      </w:r>
      <w:r>
        <w:t>NG-RAN</w:t>
      </w:r>
      <w:r w:rsidR="0055734F">
        <w:t xml:space="preserve"> (Option </w:t>
      </w:r>
      <w:r w:rsidR="007C2C1C">
        <w:t>4</w:t>
      </w:r>
      <w:r w:rsidR="0055734F">
        <w:t xml:space="preserve">, Option </w:t>
      </w:r>
      <w:r w:rsidR="007C2C1C">
        <w:t>5</w:t>
      </w:r>
      <w:r w:rsidR="0055734F">
        <w:t xml:space="preserve"> and Option 7 architectures</w:t>
      </w:r>
      <w:r w:rsidR="007C2C1C">
        <w:t>)</w:t>
      </w:r>
      <w:r w:rsidR="0055734F">
        <w:t>.</w:t>
      </w:r>
    </w:p>
    <w:p w:rsidR="0055734F" w:rsidRDefault="0055734F" w:rsidP="00C53B93">
      <w:pPr>
        <w:ind w:left="0"/>
        <w:contextualSpacing/>
      </w:pPr>
      <w:bookmarkStart w:id="1" w:name="_GoBack"/>
      <w:bookmarkEnd w:id="1"/>
    </w:p>
    <w:p w:rsidR="0055734F" w:rsidRPr="0055734F" w:rsidRDefault="0055734F" w:rsidP="00C53B93">
      <w:pPr>
        <w:ind w:left="0"/>
        <w:contextualSpacing/>
        <w:rPr>
          <w:u w:val="single"/>
        </w:rPr>
      </w:pPr>
      <w:r w:rsidRPr="0055734F">
        <w:rPr>
          <w:u w:val="single"/>
        </w:rPr>
        <w:t>Scheduling improvements</w:t>
      </w:r>
    </w:p>
    <w:p w:rsidR="0055734F" w:rsidRDefault="0055734F" w:rsidP="00C53B93">
      <w:pPr>
        <w:ind w:left="0"/>
        <w:contextualSpacing/>
      </w:pPr>
      <w:r>
        <w:t xml:space="preserve">It may be questionable if such changes for LTE are really warranted, especially if it impacts the MAC design, and it may be difficult to transpose the solution from NR to LTE. </w:t>
      </w:r>
    </w:p>
    <w:p w:rsidR="0055734F" w:rsidRDefault="0055734F" w:rsidP="00C53B93">
      <w:pPr>
        <w:ind w:left="0"/>
        <w:contextualSpacing/>
      </w:pPr>
    </w:p>
    <w:p w:rsidR="0055734F" w:rsidRDefault="0055734F" w:rsidP="00C53B93">
      <w:pPr>
        <w:ind w:left="0"/>
        <w:contextualSpacing/>
        <w:rPr>
          <w:u w:val="single"/>
        </w:rPr>
      </w:pPr>
      <w:r w:rsidRPr="0055734F">
        <w:rPr>
          <w:u w:val="single"/>
        </w:rPr>
        <w:t>Intra-UE traffic prioriti</w:t>
      </w:r>
      <w:r>
        <w:rPr>
          <w:u w:val="single"/>
        </w:rPr>
        <w:t>sation</w:t>
      </w:r>
    </w:p>
    <w:p w:rsidR="0055734F" w:rsidRPr="0055734F" w:rsidRDefault="0055734F" w:rsidP="00C53B93">
      <w:pPr>
        <w:ind w:left="0"/>
        <w:contextualSpacing/>
      </w:pPr>
      <w:r w:rsidRPr="0055734F">
        <w:t xml:space="preserve">Similar to the scheduling </w:t>
      </w:r>
      <w:r>
        <w:t>improvement aspects</w:t>
      </w:r>
      <w:r w:rsidRPr="0055734F">
        <w:t xml:space="preserve">, it may not be so simple to </w:t>
      </w:r>
      <w:r w:rsidR="0050163B">
        <w:t>transpose the solution for</w:t>
      </w:r>
      <w:r w:rsidRPr="0055734F">
        <w:t xml:space="preserve"> this to </w:t>
      </w:r>
      <w:r w:rsidR="0050163B">
        <w:t xml:space="preserve">the </w:t>
      </w:r>
      <w:r w:rsidRPr="0055734F">
        <w:t xml:space="preserve">LTE UE. Also there may be </w:t>
      </w:r>
      <w:r w:rsidR="0050163B">
        <w:t>alternative</w:t>
      </w:r>
      <w:r w:rsidRPr="0055734F">
        <w:t xml:space="preserve"> ways of allowing this to work</w:t>
      </w:r>
      <w:r w:rsidR="0050163B">
        <w:t xml:space="preserve"> with LTE</w:t>
      </w:r>
      <w:r w:rsidRPr="0055734F">
        <w:t>, without changing the radio design inside the UE.</w:t>
      </w:r>
    </w:p>
    <w:p w:rsidR="0055734F" w:rsidRDefault="0055734F" w:rsidP="00C53B93">
      <w:pPr>
        <w:ind w:left="0"/>
        <w:contextualSpacing/>
      </w:pPr>
    </w:p>
    <w:p w:rsidR="00F44E10" w:rsidRDefault="00F44E10" w:rsidP="00F44E10">
      <w:pPr>
        <w:pStyle w:val="Heading1"/>
        <w:numPr>
          <w:ilvl w:val="0"/>
          <w:numId w:val="1"/>
        </w:numPr>
      </w:pPr>
      <w:r>
        <w:t>Proposal</w:t>
      </w:r>
    </w:p>
    <w:p w:rsidR="0050163B" w:rsidRDefault="00A33F70" w:rsidP="0050163B">
      <w:pPr>
        <w:ind w:left="0"/>
      </w:pPr>
      <w:r>
        <w:t xml:space="preserve">It is proposed </w:t>
      </w:r>
      <w:r w:rsidR="0050163B">
        <w:t xml:space="preserve">that </w:t>
      </w:r>
      <w:r w:rsidR="0055734F">
        <w:t xml:space="preserve">the </w:t>
      </w:r>
      <w:r w:rsidR="0050163B">
        <w:t>following</w:t>
      </w:r>
      <w:r w:rsidR="0055734F">
        <w:t xml:space="preserve"> </w:t>
      </w:r>
      <w:r w:rsidR="004B3E38">
        <w:t>components</w:t>
      </w:r>
      <w:r w:rsidR="0055734F">
        <w:t xml:space="preserve"> are enabled for LTE</w:t>
      </w:r>
      <w:r w:rsidR="0050163B">
        <w:t xml:space="preserve"> IIOT as part of the </w:t>
      </w:r>
      <w:r w:rsidR="004B3E38">
        <w:t xml:space="preserve">Release 16 </w:t>
      </w:r>
      <w:proofErr w:type="spellStart"/>
      <w:r w:rsidR="0050163B">
        <w:t>IIoT</w:t>
      </w:r>
      <w:proofErr w:type="spellEnd"/>
      <w:r w:rsidR="0050163B">
        <w:t xml:space="preserve"> work item</w:t>
      </w:r>
      <w:r w:rsidR="004B3E38">
        <w:t xml:space="preserve"> within TSG RAN</w:t>
      </w:r>
      <w:r w:rsidR="0050163B">
        <w:t>:</w:t>
      </w:r>
    </w:p>
    <w:p w:rsidR="0050163B" w:rsidRDefault="0050163B" w:rsidP="004B3E38">
      <w:pPr>
        <w:pStyle w:val="ListParagraph"/>
        <w:numPr>
          <w:ilvl w:val="0"/>
          <w:numId w:val="14"/>
        </w:numPr>
        <w:ind w:left="714" w:hanging="357"/>
        <w:contextualSpacing w:val="0"/>
      </w:pPr>
      <w:r>
        <w:t>Ethernet Header Compression</w:t>
      </w:r>
    </w:p>
    <w:p w:rsidR="00EA16AF" w:rsidRDefault="0050163B" w:rsidP="004B3E38">
      <w:pPr>
        <w:pStyle w:val="ListParagraph"/>
        <w:numPr>
          <w:ilvl w:val="0"/>
          <w:numId w:val="14"/>
        </w:numPr>
        <w:ind w:left="714" w:hanging="357"/>
        <w:contextualSpacing w:val="0"/>
      </w:pPr>
      <w:r>
        <w:t>Multi-Connectivity solutions</w:t>
      </w:r>
    </w:p>
    <w:p w:rsidR="00BB7A97" w:rsidRDefault="00BB7A97" w:rsidP="00BB7A97">
      <w:pPr>
        <w:pStyle w:val="ListParagraph"/>
        <w:ind w:left="714"/>
        <w:contextualSpacing w:val="0"/>
      </w:pPr>
    </w:p>
    <w:p w:rsidR="0050163B" w:rsidRDefault="00BB7A97" w:rsidP="00BB7A97">
      <w:pPr>
        <w:pStyle w:val="Heading1"/>
        <w:numPr>
          <w:ilvl w:val="0"/>
          <w:numId w:val="1"/>
        </w:numPr>
      </w:pPr>
      <w:r>
        <w:t>References</w:t>
      </w:r>
    </w:p>
    <w:p w:rsidR="00BB7A97" w:rsidRDefault="00BB7A97" w:rsidP="005A6342">
      <w:pPr>
        <w:pStyle w:val="ZT"/>
        <w:framePr w:wrap="auto" w:hAnchor="text" w:yAlign="inline"/>
        <w:spacing w:after="120"/>
        <w:ind w:left="851" w:hanging="851"/>
        <w:jc w:val="both"/>
        <w:rPr>
          <w:rFonts w:ascii="Times New Roman" w:hAnsi="Times New Roman"/>
          <w:b w:val="0"/>
          <w:i/>
          <w:sz w:val="20"/>
        </w:rPr>
      </w:pPr>
      <w:r w:rsidRPr="00BB7A97">
        <w:rPr>
          <w:rFonts w:ascii="Times New Roman" w:hAnsi="Times New Roman"/>
          <w:b w:val="0"/>
          <w:sz w:val="20"/>
        </w:rPr>
        <w:t xml:space="preserve">[1] </w:t>
      </w:r>
      <w:r>
        <w:rPr>
          <w:rFonts w:ascii="Times New Roman" w:hAnsi="Times New Roman"/>
          <w:b w:val="0"/>
          <w:sz w:val="20"/>
        </w:rPr>
        <w:tab/>
      </w:r>
      <w:r w:rsidRPr="00BB7A97">
        <w:rPr>
          <w:rFonts w:ascii="Times New Roman" w:hAnsi="Times New Roman"/>
          <w:b w:val="0"/>
          <w:sz w:val="20"/>
        </w:rPr>
        <w:t>3GPP TS22.104 “</w:t>
      </w:r>
      <w:r w:rsidRPr="00BB7A97">
        <w:rPr>
          <w:rFonts w:ascii="Times New Roman" w:eastAsia="SimSun" w:hAnsi="Times New Roman"/>
          <w:b w:val="0"/>
          <w:sz w:val="20"/>
        </w:rPr>
        <w:t>Service requirements for cyber-physical control applications in vertical domains</w:t>
      </w:r>
      <w:r>
        <w:rPr>
          <w:rFonts w:ascii="Times New Roman" w:hAnsi="Times New Roman"/>
          <w:b w:val="0"/>
          <w:sz w:val="20"/>
        </w:rPr>
        <w:t xml:space="preserve">; </w:t>
      </w:r>
      <w:r w:rsidRPr="00BB7A97">
        <w:rPr>
          <w:rFonts w:ascii="Times New Roman" w:hAnsi="Times New Roman"/>
          <w:b w:val="0"/>
          <w:i/>
          <w:sz w:val="20"/>
        </w:rPr>
        <w:t>Stage 1 (Release 16)</w:t>
      </w:r>
      <w:r w:rsidR="005A6342" w:rsidRPr="005A6342">
        <w:rPr>
          <w:rFonts w:ascii="Times New Roman" w:hAnsi="Times New Roman"/>
          <w:b w:val="0"/>
          <w:sz w:val="20"/>
        </w:rPr>
        <w:t>”</w:t>
      </w:r>
    </w:p>
    <w:p w:rsidR="005A6342" w:rsidRPr="005A6342" w:rsidRDefault="005A6342" w:rsidP="005A6342">
      <w:pPr>
        <w:pStyle w:val="ZT"/>
        <w:framePr w:wrap="auto" w:hAnchor="text" w:yAlign="inline"/>
        <w:spacing w:after="120"/>
        <w:ind w:left="851" w:hanging="851"/>
        <w:jc w:val="both"/>
        <w:rPr>
          <w:rFonts w:ascii="Times New Roman" w:hAnsi="Times New Roman"/>
          <w:b w:val="0"/>
          <w:i/>
          <w:sz w:val="20"/>
        </w:rPr>
      </w:pPr>
      <w:r w:rsidRPr="005A6342">
        <w:rPr>
          <w:rFonts w:ascii="Times New Roman" w:hAnsi="Times New Roman"/>
          <w:b w:val="0"/>
          <w:sz w:val="20"/>
        </w:rPr>
        <w:t>[2]</w:t>
      </w:r>
      <w:r w:rsidRPr="005A6342">
        <w:rPr>
          <w:rFonts w:ascii="Times New Roman" w:hAnsi="Times New Roman"/>
          <w:b w:val="0"/>
          <w:sz w:val="20"/>
        </w:rPr>
        <w:tab/>
        <w:t xml:space="preserve">3GPP TR23.725, </w:t>
      </w:r>
      <w:r>
        <w:rPr>
          <w:rFonts w:ascii="Times New Roman" w:hAnsi="Times New Roman"/>
          <w:b w:val="0"/>
          <w:sz w:val="20"/>
        </w:rPr>
        <w:t>“</w:t>
      </w:r>
      <w:r w:rsidRPr="005A6342">
        <w:rPr>
          <w:rFonts w:ascii="Times New Roman" w:hAnsi="Times New Roman"/>
          <w:b w:val="0"/>
          <w:sz w:val="20"/>
        </w:rPr>
        <w:t>Study on enhancement of Ultra-Reliable Low-Latency Communication (URLLC) support in the 5G Core network (5GC)</w:t>
      </w:r>
      <w:r>
        <w:rPr>
          <w:rFonts w:ascii="Times New Roman" w:hAnsi="Times New Roman"/>
          <w:b w:val="0"/>
          <w:sz w:val="20"/>
        </w:rPr>
        <w:t>”</w:t>
      </w:r>
    </w:p>
    <w:p w:rsidR="00BB7A97" w:rsidRPr="00BB7A97" w:rsidRDefault="00BB7A97" w:rsidP="00BB7A97">
      <w:pPr>
        <w:pStyle w:val="ZT"/>
        <w:framePr w:wrap="auto" w:hAnchor="text" w:yAlign="inline"/>
        <w:ind w:left="851" w:hanging="851"/>
        <w:jc w:val="both"/>
        <w:rPr>
          <w:rFonts w:ascii="Times New Roman" w:hAnsi="Times New Roman"/>
          <w:b w:val="0"/>
          <w:i/>
          <w:sz w:val="20"/>
        </w:rPr>
      </w:pPr>
    </w:p>
    <w:p w:rsidR="00BB7A97" w:rsidRPr="00BB7A97" w:rsidRDefault="00BB7A97" w:rsidP="00BB7A97">
      <w:pPr>
        <w:pStyle w:val="ZT"/>
        <w:framePr w:wrap="auto" w:hAnchor="text" w:yAlign="inline"/>
        <w:jc w:val="both"/>
        <w:rPr>
          <w:rFonts w:ascii="Times New Roman" w:hAnsi="Times New Roman"/>
          <w:i/>
          <w:sz w:val="20"/>
        </w:rPr>
      </w:pPr>
    </w:p>
    <w:p w:rsidR="00BB7A97" w:rsidRPr="00EA16AF" w:rsidRDefault="00BB7A97" w:rsidP="0050163B">
      <w:pPr>
        <w:ind w:left="0"/>
      </w:pPr>
    </w:p>
    <w:sectPr w:rsidR="00BB7A97" w:rsidRPr="00EA16AF" w:rsidSect="00E07DF7">
      <w:footerReference w:type="default" r:id="rId7"/>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7DB" w:rsidRDefault="007947DB">
      <w:pPr>
        <w:spacing w:after="0"/>
      </w:pPr>
    </w:p>
  </w:endnote>
  <w:endnote w:type="continuationSeparator" w:id="0">
    <w:p w:rsidR="007947DB" w:rsidRDefault="00794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EC7621">
                          <w:pPr>
                            <w:spacing w:after="0"/>
                            <w:ind w:left="0"/>
                            <w:jc w:val="left"/>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rsidR="00EC7621" w:rsidRPr="00EC7621" w:rsidRDefault="00EC7621" w:rsidP="00EC7621">
                    <w:pPr>
                      <w:spacing w:after="0"/>
                      <w:ind w:left="0"/>
                      <w:jc w:val="left"/>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7DB" w:rsidRDefault="007947DB">
      <w:pPr>
        <w:spacing w:after="0"/>
      </w:pPr>
    </w:p>
  </w:footnote>
  <w:footnote w:type="continuationSeparator" w:id="0">
    <w:p w:rsidR="007947DB" w:rsidRDefault="007947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0737E4"/>
    <w:multiLevelType w:val="hybridMultilevel"/>
    <w:tmpl w:val="A87E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A6F4025"/>
    <w:multiLevelType w:val="hybridMultilevel"/>
    <w:tmpl w:val="48F44062"/>
    <w:lvl w:ilvl="0" w:tplc="1C58DBD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4"/>
  </w:num>
  <w:num w:numId="5">
    <w:abstractNumId w:val="3"/>
  </w:num>
  <w:num w:numId="6">
    <w:abstractNumId w:val="0"/>
  </w:num>
  <w:num w:numId="7">
    <w:abstractNumId w:val="1"/>
  </w:num>
  <w:num w:numId="8">
    <w:abstractNumId w:val="2"/>
  </w:num>
  <w:num w:numId="9">
    <w:abstractNumId w:val="11"/>
  </w:num>
  <w:num w:numId="10">
    <w:abstractNumId w:val="8"/>
  </w:num>
  <w:num w:numId="11">
    <w:abstractNumId w:val="10"/>
  </w:num>
  <w:num w:numId="12">
    <w:abstractNumId w:val="6"/>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1420"/>
    <w:rsid w:val="0005726D"/>
    <w:rsid w:val="00065260"/>
    <w:rsid w:val="00070DB3"/>
    <w:rsid w:val="00093E17"/>
    <w:rsid w:val="000E77D5"/>
    <w:rsid w:val="00131BA8"/>
    <w:rsid w:val="00147BA6"/>
    <w:rsid w:val="00175E61"/>
    <w:rsid w:val="001B71A1"/>
    <w:rsid w:val="001D1675"/>
    <w:rsid w:val="002416F2"/>
    <w:rsid w:val="00245669"/>
    <w:rsid w:val="00256686"/>
    <w:rsid w:val="002E65DF"/>
    <w:rsid w:val="002F2EC7"/>
    <w:rsid w:val="00323F6B"/>
    <w:rsid w:val="003A6905"/>
    <w:rsid w:val="00413D47"/>
    <w:rsid w:val="00431406"/>
    <w:rsid w:val="004514C5"/>
    <w:rsid w:val="00461A73"/>
    <w:rsid w:val="00463ABD"/>
    <w:rsid w:val="00465ED3"/>
    <w:rsid w:val="004814C2"/>
    <w:rsid w:val="004B3E38"/>
    <w:rsid w:val="0050163B"/>
    <w:rsid w:val="005225A7"/>
    <w:rsid w:val="0055734F"/>
    <w:rsid w:val="00585EC3"/>
    <w:rsid w:val="005A6342"/>
    <w:rsid w:val="005E42D6"/>
    <w:rsid w:val="005F3806"/>
    <w:rsid w:val="00615AD7"/>
    <w:rsid w:val="006253EF"/>
    <w:rsid w:val="0068627B"/>
    <w:rsid w:val="006B66DB"/>
    <w:rsid w:val="0070352A"/>
    <w:rsid w:val="00722E9B"/>
    <w:rsid w:val="00727638"/>
    <w:rsid w:val="0073439A"/>
    <w:rsid w:val="007947DB"/>
    <w:rsid w:val="007C2C1C"/>
    <w:rsid w:val="007E5CE0"/>
    <w:rsid w:val="0081089F"/>
    <w:rsid w:val="00810A79"/>
    <w:rsid w:val="00825D45"/>
    <w:rsid w:val="00864B3A"/>
    <w:rsid w:val="00865FAB"/>
    <w:rsid w:val="0088321A"/>
    <w:rsid w:val="00885662"/>
    <w:rsid w:val="00945283"/>
    <w:rsid w:val="00946524"/>
    <w:rsid w:val="009711D6"/>
    <w:rsid w:val="00983943"/>
    <w:rsid w:val="009B4500"/>
    <w:rsid w:val="00A23121"/>
    <w:rsid w:val="00A33F70"/>
    <w:rsid w:val="00B11D15"/>
    <w:rsid w:val="00B34E6C"/>
    <w:rsid w:val="00B44D30"/>
    <w:rsid w:val="00B70951"/>
    <w:rsid w:val="00B77146"/>
    <w:rsid w:val="00B87B72"/>
    <w:rsid w:val="00BB7A97"/>
    <w:rsid w:val="00BC575E"/>
    <w:rsid w:val="00BF537F"/>
    <w:rsid w:val="00C11FFE"/>
    <w:rsid w:val="00C528E8"/>
    <w:rsid w:val="00C53B93"/>
    <w:rsid w:val="00C877BE"/>
    <w:rsid w:val="00D07E8D"/>
    <w:rsid w:val="00D31F13"/>
    <w:rsid w:val="00D33C60"/>
    <w:rsid w:val="00D97B93"/>
    <w:rsid w:val="00DC7287"/>
    <w:rsid w:val="00DF36D5"/>
    <w:rsid w:val="00E074FE"/>
    <w:rsid w:val="00E07DF7"/>
    <w:rsid w:val="00E24A17"/>
    <w:rsid w:val="00E266D3"/>
    <w:rsid w:val="00E65925"/>
    <w:rsid w:val="00E82F90"/>
    <w:rsid w:val="00EA16AF"/>
    <w:rsid w:val="00EC1DD9"/>
    <w:rsid w:val="00EC2E19"/>
    <w:rsid w:val="00EC7621"/>
    <w:rsid w:val="00F3704B"/>
    <w:rsid w:val="00F44E10"/>
    <w:rsid w:val="00F61204"/>
    <w:rsid w:val="00F9048E"/>
    <w:rsid w:val="00FD2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D493EB"/>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1089F"/>
    <w:pPr>
      <w:widowControl w:val="0"/>
      <w:spacing w:after="120"/>
      <w:ind w:left="36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DC728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ind w:left="0"/>
      <w:jc w:val="left"/>
    </w:pPr>
    <w:rPr>
      <w:rFonts w:eastAsia="Times New Roman"/>
      <w:iCs w:val="0"/>
      <w:color w:val="auto"/>
      <w:sz w:val="24"/>
      <w:szCs w:val="24"/>
      <w:lang w:eastAsia="en-GB"/>
    </w:rPr>
  </w:style>
  <w:style w:type="paragraph" w:styleId="BalloonText">
    <w:name w:val="Balloon Text"/>
    <w:basedOn w:val="Normal"/>
    <w:link w:val="BalloonTextChar"/>
    <w:uiPriority w:val="99"/>
    <w:semiHidden/>
    <w:unhideWhenUsed/>
    <w:rsid w:val="00463AB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 w:type="character" w:customStyle="1" w:styleId="ZGSM">
    <w:name w:val="ZGSM"/>
    <w:rsid w:val="00BB7A97"/>
  </w:style>
  <w:style w:type="paragraph" w:customStyle="1" w:styleId="ZT">
    <w:name w:val="ZT"/>
    <w:rsid w:val="00BB7A9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Frost1</cp:lastModifiedBy>
  <cp:revision>2</cp:revision>
  <dcterms:created xsi:type="dcterms:W3CDTF">2019-03-11T22:31:00Z</dcterms:created>
  <dcterms:modified xsi:type="dcterms:W3CDTF">2019-03-11T22:31:00Z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4"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1513789066</vt:lpwstr>
  </property>
  <property fmtid="{D5CDD505-2E9C-101B-9397-08002B2CF9AE}" pid="9" name="MSIP_Label_17da11e7-ad83-4459-98c6-12a88e2eac78_Enabled">
    <vt:lpwstr>True</vt:lpwstr>
  </property>
  <property fmtid="{D5CDD505-2E9C-101B-9397-08002B2CF9AE}" pid="10" name="MSIP_Label_17da11e7-ad83-4459-98c6-12a88e2eac78_SiteId">
    <vt:lpwstr>68283f3b-8487-4c86-adb3-a5228f18b893</vt:lpwstr>
  </property>
  <property fmtid="{D5CDD505-2E9C-101B-9397-08002B2CF9AE}" pid="11" name="MSIP_Label_17da11e7-ad83-4459-98c6-12a88e2eac78_Owner">
    <vt:lpwstr>tim.frost@vodafone.com</vt:lpwstr>
  </property>
  <property fmtid="{D5CDD505-2E9C-101B-9397-08002B2CF9AE}" pid="12" name="MSIP_Label_17da11e7-ad83-4459-98c6-12a88e2eac78_SetDate">
    <vt:lpwstr>2018-11-29T09:42:55.7136032Z</vt:lpwstr>
  </property>
  <property fmtid="{D5CDD505-2E9C-101B-9397-08002B2CF9AE}" pid="13" name="MSIP_Label_17da11e7-ad83-4459-98c6-12a88e2eac78_Name">
    <vt:lpwstr>Non-Vodafone</vt:lpwstr>
  </property>
  <property fmtid="{D5CDD505-2E9C-101B-9397-08002B2CF9AE}" pid="14" name="MSIP_Label_17da11e7-ad83-4459-98c6-12a88e2eac78_Application">
    <vt:lpwstr>Microsoft Azure Information Protection</vt:lpwstr>
  </property>
  <property fmtid="{D5CDD505-2E9C-101B-9397-08002B2CF9AE}" pid="15" name="MSIP_Label_17da11e7-ad83-4459-98c6-12a88e2eac78_Extended_MSFT_Method">
    <vt:lpwstr>Manual</vt:lpwstr>
  </property>
  <property fmtid="{D5CDD505-2E9C-101B-9397-08002B2CF9AE}" pid="16" name="Sensitivity">
    <vt:lpwstr>Non-Vodafone</vt:lpwstr>
  </property>
</Properties>
</file>