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Header"/>
        <w:tabs>
          <w:tab w:val="right" w:pos="9639"/>
        </w:tabs>
        <w:rPr>
          <w:bCs/>
          <w:noProof w:val="0"/>
          <w:sz w:val="24"/>
          <w:szCs w:val="24"/>
        </w:rPr>
      </w:pPr>
      <w:r>
        <w:rPr>
          <w:bCs/>
          <w:noProof w:val="0"/>
          <w:sz w:val="24"/>
          <w:szCs w:val="24"/>
        </w:rPr>
        <w:t>3GPP TSG RAN Meeting #83</w:t>
      </w:r>
      <w:r>
        <w:rPr>
          <w:bCs/>
          <w:noProof w:val="0"/>
          <w:sz w:val="24"/>
          <w:szCs w:val="24"/>
        </w:rPr>
        <w:tab/>
        <w:t>RP-190495</w:t>
      </w:r>
    </w:p>
    <w:p>
      <w:pPr>
        <w:pStyle w:val="Header"/>
        <w:tabs>
          <w:tab w:val="right" w:pos="9639"/>
        </w:tabs>
        <w:rPr>
          <w:bCs/>
          <w:noProof w:val="0"/>
          <w:sz w:val="24"/>
          <w:szCs w:val="24"/>
        </w:rPr>
      </w:pPr>
      <w:r>
        <w:rPr>
          <w:bCs/>
          <w:noProof w:val="0"/>
          <w:sz w:val="24"/>
          <w:szCs w:val="24"/>
        </w:rPr>
        <w:t>Shenzhen, China, March 18-21, 2019</w:t>
      </w:r>
      <w:r>
        <w:rPr>
          <w:bCs/>
          <w:noProof w:val="0"/>
          <w:sz w:val="24"/>
          <w:szCs w:val="24"/>
        </w:rPr>
        <w:tab/>
      </w:r>
      <w:r>
        <w:rPr>
          <w:bCs/>
          <w:noProof w:val="0"/>
          <w:sz w:val="24"/>
          <w:szCs w:val="24"/>
        </w:rPr>
        <w:tab/>
      </w:r>
    </w:p>
    <w:p>
      <w:pPr>
        <w:pStyle w:val="Header"/>
        <w:rPr>
          <w:bCs/>
          <w:noProof w:val="0"/>
          <w:sz w:val="24"/>
          <w:lang w:val="en-GB" w:eastAsia="ja-JP"/>
        </w:rPr>
      </w:pPr>
    </w:p>
    <w:p>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Pr>
          <w:rFonts w:cs="Arial"/>
          <w:b/>
          <w:bCs/>
          <w:sz w:val="24"/>
          <w:szCs w:val="24"/>
        </w:rPr>
        <w:t>9.3.12</w:t>
      </w:r>
    </w:p>
    <w:p>
      <w:pPr>
        <w:tabs>
          <w:tab w:val="left" w:pos="1985"/>
        </w:tabs>
        <w:spacing w:after="120"/>
        <w:ind w:left="1985" w:hanging="1985"/>
        <w:rPr>
          <w:rFonts w:ascii="Arial" w:hAnsi="Arial" w:cs="Arial"/>
          <w:b/>
          <w:bCs/>
          <w:sz w:val="24"/>
          <w:szCs w:val="24"/>
          <w:lang w:val="en-US"/>
        </w:rPr>
      </w:pPr>
      <w:r>
        <w:rPr>
          <w:rFonts w:ascii="Arial" w:hAnsi="Arial" w:cs="Arial"/>
          <w:b/>
          <w:bCs/>
          <w:sz w:val="24"/>
          <w:szCs w:val="24"/>
        </w:rPr>
        <w:t xml:space="preserve">Source: </w:t>
      </w:r>
      <w:r>
        <w:rPr>
          <w:rFonts w:ascii="Arial" w:hAnsi="Arial" w:cs="Arial"/>
          <w:b/>
          <w:bCs/>
          <w:sz w:val="24"/>
        </w:rPr>
        <w:tab/>
      </w:r>
      <w:r>
        <w:rPr>
          <w:rFonts w:ascii="Arial" w:hAnsi="Arial" w:cs="Arial"/>
          <w:b/>
          <w:bCs/>
          <w:sz w:val="24"/>
          <w:szCs w:val="24"/>
        </w:rPr>
        <w:t>Nokia, Nokia Shanghai Bell</w:t>
      </w:r>
    </w:p>
    <w:p>
      <w:pPr>
        <w:ind w:left="1985" w:hanging="1985"/>
        <w:rPr>
          <w:rFonts w:ascii="Arial" w:hAnsi="Arial" w:cs="Arial"/>
          <w:b/>
          <w:bCs/>
          <w:sz w:val="24"/>
          <w:szCs w:val="24"/>
        </w:rPr>
      </w:pPr>
      <w:r>
        <w:rPr>
          <w:rFonts w:ascii="Arial" w:hAnsi="Arial" w:cs="Arial"/>
          <w:b/>
          <w:bCs/>
          <w:sz w:val="24"/>
          <w:szCs w:val="24"/>
        </w:rPr>
        <w:t xml:space="preserve">Title: </w:t>
      </w:r>
      <w:r>
        <w:rPr>
          <w:rFonts w:ascii="Arial" w:hAnsi="Arial" w:cs="Arial"/>
          <w:b/>
          <w:bCs/>
          <w:sz w:val="24"/>
        </w:rPr>
        <w:tab/>
      </w:r>
      <w:r>
        <w:rPr>
          <w:rFonts w:ascii="Arial" w:hAnsi="Arial" w:cs="Arial"/>
          <w:b/>
          <w:bCs/>
          <w:sz w:val="24"/>
          <w:szCs w:val="24"/>
        </w:rPr>
        <w:t>NR beyond 52.6GHz – Design requirements and considerations</w:t>
      </w:r>
    </w:p>
    <w:p>
      <w:pPr>
        <w:rPr>
          <w:rFonts w:ascii="Arial" w:hAnsi="Arial" w:cs="Arial"/>
          <w:b/>
          <w:bCs/>
          <w:sz w:val="24"/>
          <w:szCs w:val="24"/>
        </w:rPr>
      </w:pPr>
      <w:r>
        <w:rPr>
          <w:rFonts w:ascii="Arial" w:hAnsi="Arial" w:cs="Arial"/>
          <w:b/>
          <w:bCs/>
          <w:sz w:val="24"/>
          <w:szCs w:val="24"/>
        </w:rPr>
        <w:t xml:space="preserve">Document for: </w:t>
      </w:r>
      <w:r>
        <w:rPr>
          <w:rFonts w:ascii="Arial" w:hAnsi="Arial" w:cs="Arial"/>
          <w:b/>
          <w:bCs/>
          <w:sz w:val="24"/>
        </w:rPr>
        <w:tab/>
      </w:r>
      <w:r>
        <w:rPr>
          <w:rFonts w:ascii="Arial" w:hAnsi="Arial" w:cs="Arial"/>
          <w:b/>
          <w:bCs/>
          <w:sz w:val="24"/>
          <w:szCs w:val="24"/>
        </w:rPr>
        <w:t>Discussion and Decision</w:t>
      </w:r>
    </w:p>
    <w:p>
      <w:pPr>
        <w:pStyle w:val="Heading1"/>
      </w:pPr>
      <w:bookmarkStart w:id="0" w:name="_Ref531021995"/>
      <w:r>
        <w:t>Introduction</w:t>
      </w:r>
      <w:bookmarkEnd w:id="0"/>
    </w:p>
    <w:p>
      <w:pPr>
        <w:rPr>
          <w:lang w:val="en-US"/>
        </w:rPr>
      </w:pPr>
      <w:r>
        <w:t xml:space="preserve">This document </w:t>
      </w:r>
      <w:r>
        <w:rPr>
          <w:lang w:val="en-US"/>
        </w:rPr>
        <w:t xml:space="preserve">identifies design requirements and considerations for NR beyond 52.6 GHz that are on top of regulatory requirements.  Specifically, frequencies greater than 52.6 GHz will require power-efficient waveforms, larger carrier bandwidths, larger numerology, enhanced beam management and enhanced path diversity.  These enhancements may impact </w:t>
      </w:r>
      <w:r>
        <w:rPr>
          <w:rFonts w:eastAsia="Times New Roman"/>
          <w:color w:val="000000" w:themeColor="text1"/>
          <w:lang w:val="en-US"/>
        </w:rPr>
        <w:t>physical signals, slot structures and channels, synchronization, initial access, control and data transmission.</w:t>
      </w:r>
    </w:p>
    <w:p>
      <w:pPr>
        <w:pStyle w:val="Heading1"/>
        <w:rPr>
          <w:lang w:val="en-US"/>
        </w:rPr>
      </w:pPr>
      <w:r>
        <w:rPr>
          <w:lang w:val="en-US"/>
        </w:rPr>
        <w:t>Design requirements and considerations</w:t>
      </w:r>
    </w:p>
    <w:p>
      <w:pPr>
        <w:tabs>
          <w:tab w:val="num" w:pos="720"/>
        </w:tabs>
        <w:jc w:val="both"/>
      </w:pPr>
      <w:r>
        <w:t>The frequency bands beyond 52.6 GHz contain large spectrum allocations and support higher capacity and higher bit rate use cases than lower mmw bands. The main challenges are increased path loss and less efficient RF components.  The larger number of antenna elements can be accommodated in the same form factor as in lower mmw bands thus compensating for the pathloss and providing comparable LoS coverage. Also, a dense network deployment is needed in dense urban and indoor environment.  In light of these benefits and limitations, specific enhancements to NR must be considered to operate effectively at these higher bands.</w:t>
      </w:r>
    </w:p>
    <w:p>
      <w:pPr>
        <w:tabs>
          <w:tab w:val="num" w:pos="720"/>
        </w:tabs>
        <w:jc w:val="both"/>
      </w:pPr>
      <w:r>
        <w:t>Concepts for study:</w:t>
      </w:r>
    </w:p>
    <w:p>
      <w:pPr>
        <w:numPr>
          <w:ilvl w:val="0"/>
          <w:numId w:val="26"/>
        </w:numPr>
        <w:jc w:val="both"/>
        <w:rPr>
          <w:lang w:val="en-US"/>
        </w:rPr>
      </w:pPr>
      <w:r>
        <w:rPr>
          <w:b/>
          <w:i/>
          <w:lang w:val="en-US"/>
        </w:rPr>
        <w:t>Larger carrier bandwidth</w:t>
      </w:r>
      <w:r>
        <w:rPr>
          <w:lang w:val="en-US"/>
        </w:rPr>
        <w:t xml:space="preserve"> -- frequencies above 52.6 GHz will inherently allow for larger bandwidths as one simply considers the ratio to carrier frequency and the likely bandwidths of available spectrum.  NR deployments at 90 GHz may consider 3 times the carrier bandwidth than those at 28 GHz.  Component carriers &gt; 400 MHz should be studied.</w:t>
      </w:r>
    </w:p>
    <w:p>
      <w:pPr>
        <w:numPr>
          <w:ilvl w:val="0"/>
          <w:numId w:val="26"/>
        </w:numPr>
        <w:jc w:val="both"/>
        <w:rPr>
          <w:lang w:val="en-US"/>
        </w:rPr>
      </w:pPr>
      <w:r>
        <w:rPr>
          <w:b/>
          <w:bCs/>
          <w:i/>
          <w:iCs/>
          <w:lang w:val="en-US"/>
        </w:rPr>
        <w:t>Waveform design</w:t>
      </w:r>
      <w:r>
        <w:rPr>
          <w:lang w:val="en-US"/>
        </w:rPr>
        <w:t xml:space="preserve"> – Relevant considerations that will influence the choice of waveform will include:</w:t>
      </w:r>
    </w:p>
    <w:p>
      <w:pPr>
        <w:numPr>
          <w:ilvl w:val="1"/>
          <w:numId w:val="26"/>
        </w:numPr>
        <w:jc w:val="both"/>
        <w:rPr>
          <w:lang w:val="en-US"/>
        </w:rPr>
      </w:pPr>
      <w:r>
        <w:rPr>
          <w:lang w:val="en-US"/>
        </w:rPr>
        <w:t xml:space="preserve">Power efficiency: low PAPR waveforms designed to minimize PA backoff and maximize efficiency to improve overall gNB power efficiency.  </w:t>
      </w:r>
    </w:p>
    <w:p>
      <w:pPr>
        <w:numPr>
          <w:ilvl w:val="1"/>
          <w:numId w:val="26"/>
        </w:numPr>
        <w:jc w:val="both"/>
        <w:rPr>
          <w:lang w:val="en-US"/>
        </w:rPr>
      </w:pPr>
      <w:r>
        <w:rPr>
          <w:lang w:val="en-US"/>
        </w:rPr>
        <w:t>Demodulation complexity: Simultaneously with power efficiency, the complexity of the waveform for demodulation must also be considered, insuring that complexity for both modulation and demodulation must be kept reasonable.</w:t>
      </w:r>
    </w:p>
    <w:p>
      <w:pPr>
        <w:numPr>
          <w:ilvl w:val="1"/>
          <w:numId w:val="26"/>
        </w:numPr>
        <w:jc w:val="both"/>
        <w:rPr>
          <w:lang w:val="en-US"/>
        </w:rPr>
      </w:pPr>
      <w:r>
        <w:rPr>
          <w:lang w:val="en-US"/>
        </w:rPr>
        <w:t>Numerology: F</w:t>
      </w:r>
      <w:r>
        <w:rPr>
          <w:lang w:val="en-US"/>
        </w:rPr>
        <w:t>requencies above 52.6 GHz will inherently allow for larger bandwidths and therefore require, for example, larger subcarrier spacings than those defined in Rel 15.  For multi-subcarrier waveforms, subcarrier spacings &gt; 240 kHz should be studied.</w:t>
      </w:r>
    </w:p>
    <w:p>
      <w:pPr>
        <w:numPr>
          <w:ilvl w:val="0"/>
          <w:numId w:val="26"/>
        </w:numPr>
        <w:jc w:val="both"/>
        <w:rPr>
          <w:b/>
          <w:lang w:val="en-US"/>
        </w:rPr>
      </w:pPr>
      <w:bookmarkStart w:id="1" w:name="_GoBack"/>
      <w:bookmarkEnd w:id="1"/>
      <w:r>
        <w:rPr>
          <w:b/>
          <w:i/>
          <w:lang w:val="en-US"/>
        </w:rPr>
        <w:t>Enhanced beam management</w:t>
      </w:r>
      <w:r>
        <w:rPr>
          <w:lang w:val="en-US"/>
        </w:rPr>
        <w:t xml:space="preserve"> – To keep the antenna aperture constant and maintain the link budget in the face of greater pathloss, larger arrays will be required and thus imply that narrower beams must be managed.  These larger arrays will also increase the number of beams which must be scanned.  Methods for managing narrower beams and greater number of beams should be studied.</w:t>
      </w:r>
    </w:p>
    <w:p>
      <w:pPr>
        <w:numPr>
          <w:ilvl w:val="0"/>
          <w:numId w:val="26"/>
        </w:numPr>
        <w:jc w:val="both"/>
        <w:rPr>
          <w:b/>
          <w:bCs/>
          <w:lang w:val="en-US"/>
        </w:rPr>
      </w:pPr>
      <w:r>
        <w:rPr>
          <w:b/>
          <w:bCs/>
          <w:i/>
          <w:iCs/>
          <w:lang w:val="en-US"/>
        </w:rPr>
        <w:t>Enhanced path diversity</w:t>
      </w:r>
      <w:r>
        <w:rPr>
          <w:b/>
          <w:bCs/>
          <w:lang w:val="en-US"/>
        </w:rPr>
        <w:t xml:space="preserve"> </w:t>
      </w:r>
      <w:r>
        <w:rPr>
          <w:lang w:val="en-US"/>
        </w:rPr>
        <w:t>– The narrow beams achieved with the larger arrays may result in a higher reliance on LoS paths.  To improve coverage at these frequencies, methods for improving path diversity—increasing the probability of LoS paths—should be studied.  Some examples may include collaborate MIMO techniques or same frequency multi-connectivity techniques.</w:t>
      </w:r>
    </w:p>
    <w:p>
      <w:pPr>
        <w:jc w:val="both"/>
        <w:rPr>
          <w:lang w:val="en-US"/>
        </w:rPr>
      </w:pPr>
      <w:r>
        <w:rPr>
          <w:lang w:val="en-US"/>
        </w:rPr>
        <w:t xml:space="preserve">Whilst every effort should be made to re-use existing techniques defined NR Rel 16 specifications, the above concepts will have design implications for NR and their impact must be studied.  Specifically, the above may impact the design of physical signals, slot structures and channels, synchronization, initial access, control and data transmission. </w:t>
      </w:r>
      <w:r>
        <w:rPr>
          <w:lang w:val="en-US"/>
        </w:rPr>
        <w:lastRenderedPageBreak/>
        <w:t>Furthermore, diversity solutions may have impact on the higher layers and network aspects.  The impact on higher layers and network aspects should also be studied.</w:t>
      </w:r>
    </w:p>
    <w:p>
      <w:pPr>
        <w:jc w:val="both"/>
        <w:rPr>
          <w:lang w:val="en-US"/>
        </w:rPr>
      </w:pPr>
      <w:r>
        <w:rPr>
          <w:lang w:val="en-US"/>
        </w:rPr>
        <w:t>New use cases such as environmental sensing will require changes to the air-interface to allow the UE to transmit and receive echoes for radar applications and may all be used for UE calibration such as digital pre-distortion.</w:t>
      </w:r>
    </w:p>
    <w:p>
      <w:pPr>
        <w:pStyle w:val="Heading1"/>
      </w:pPr>
      <w:r>
        <w:t>Summary</w:t>
      </w:r>
    </w:p>
    <w:p>
      <w:pPr>
        <w:rPr>
          <w:lang w:val="en-US"/>
        </w:rPr>
      </w:pPr>
      <w:r>
        <w:t xml:space="preserve">This document has </w:t>
      </w:r>
      <w:r>
        <w:rPr>
          <w:lang w:val="en-US"/>
        </w:rPr>
        <w:t xml:space="preserve">identified design requirements and considerations for NR beyond 52.6 GHz that are on top of regulatory requirements.  Enhancements for frequencies greater than 52.6 GHz will require power-efficient waveforms, larger carrier bandwidths, larger numerology, enhanced beam management and enhanced path diversity.  Furthermore, these enhancements may impact </w:t>
      </w:r>
      <w:r>
        <w:rPr>
          <w:rFonts w:eastAsia="Times New Roman"/>
          <w:color w:val="000000" w:themeColor="text1"/>
          <w:lang w:val="en-US"/>
        </w:rPr>
        <w:t>physical signals, slot structures and channels, synchronization, initial access, control and data transmission.</w:t>
      </w:r>
    </w:p>
    <w:p>
      <w:pPr>
        <w:overflowPunct/>
        <w:autoSpaceDE/>
        <w:autoSpaceDN/>
        <w:adjustRightInd/>
        <w:spacing w:after="0"/>
        <w:textAlignment w:val="auto"/>
      </w:pPr>
      <w:r>
        <w:t xml:space="preserve"> </w:t>
      </w:r>
    </w:p>
    <w:p>
      <w:pPr>
        <w:pStyle w:val="Heading1"/>
        <w:numPr>
          <w:ilvl w:val="0"/>
          <w:numId w:val="0"/>
        </w:numPr>
      </w:pPr>
      <w:r>
        <w:t>References</w:t>
      </w:r>
    </w:p>
    <w:p>
      <w:pPr>
        <w:numPr>
          <w:ilvl w:val="0"/>
          <w:numId w:val="22"/>
        </w:numPr>
        <w:tabs>
          <w:tab w:val="num" w:pos="360"/>
        </w:tabs>
        <w:ind w:left="357" w:hanging="357"/>
        <w:rPr>
          <w:sz w:val="18"/>
        </w:rPr>
      </w:pPr>
      <w:bookmarkStart w:id="2" w:name="_Ref531024887"/>
      <w:r>
        <w:rPr>
          <w:sz w:val="18"/>
        </w:rPr>
        <w:t>RP-182066</w:t>
      </w:r>
      <w:r>
        <w:rPr>
          <w:sz w:val="18"/>
        </w:rPr>
        <w:tab/>
        <w:t>Revised SID on Study on NR beyond 52.6GHz</w:t>
      </w:r>
      <w:bookmarkEnd w:id="2"/>
    </w:p>
    <w:p>
      <w:pPr>
        <w:rPr>
          <w:lang w:val="en-US"/>
        </w:rPr>
      </w:pPr>
    </w:p>
    <w:p>
      <w:pPr>
        <w:rPr>
          <w:lang w:val="en-US"/>
        </w:rPr>
      </w:pPr>
    </w:p>
    <w:p>
      <w:pPr>
        <w:rPr>
          <w:lang w:val="en-US"/>
        </w:rPr>
      </w:pPr>
    </w:p>
    <w:p>
      <w:pPr>
        <w:overflowPunct/>
        <w:autoSpaceDE/>
        <w:autoSpaceDN/>
        <w:adjustRightInd/>
        <w:spacing w:after="0"/>
        <w:textAlignment w:val="auto"/>
        <w:rPr>
          <w:lang w:val="en-US"/>
        </w:rPr>
      </w:pPr>
    </w:p>
    <w:sectPr>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E01"/>
    <w:multiLevelType w:val="hybridMultilevel"/>
    <w:tmpl w:val="3878C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593A22"/>
    <w:multiLevelType w:val="hybridMultilevel"/>
    <w:tmpl w:val="80D6FD12"/>
    <w:lvl w:ilvl="0" w:tplc="040B000F">
      <w:start w:val="1"/>
      <w:numFmt w:val="decimal"/>
      <w:lvlText w:val="%1."/>
      <w:lvlJc w:val="left"/>
      <w:pPr>
        <w:ind w:left="360" w:hanging="360"/>
      </w:pPr>
    </w:lvl>
    <w:lvl w:ilvl="1" w:tplc="040B0001">
      <w:start w:val="1"/>
      <w:numFmt w:val="bullet"/>
      <w:lvlText w:val=""/>
      <w:lvlJc w:val="left"/>
      <w:pPr>
        <w:ind w:left="1080" w:hanging="360"/>
      </w:pPr>
      <w:rPr>
        <w:rFonts w:ascii="Symbol" w:hAnsi="Symbol" w:hint="default"/>
      </w:r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426DCE"/>
    <w:multiLevelType w:val="hybridMultilevel"/>
    <w:tmpl w:val="929C06D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E011D8"/>
    <w:multiLevelType w:val="hybridMultilevel"/>
    <w:tmpl w:val="9F7283A6"/>
    <w:lvl w:ilvl="0" w:tplc="F4B0AFE8">
      <w:start w:val="1"/>
      <w:numFmt w:val="bullet"/>
      <w:lvlText w:val="•"/>
      <w:lvlJc w:val="left"/>
      <w:pPr>
        <w:tabs>
          <w:tab w:val="num" w:pos="720"/>
        </w:tabs>
        <w:ind w:left="720" w:hanging="360"/>
      </w:pPr>
      <w:rPr>
        <w:rFonts w:ascii="Arial" w:hAnsi="Arial" w:hint="default"/>
      </w:rPr>
    </w:lvl>
    <w:lvl w:ilvl="1" w:tplc="FEEC2DAE">
      <w:start w:val="88"/>
      <w:numFmt w:val="bullet"/>
      <w:lvlText w:val="•"/>
      <w:lvlJc w:val="left"/>
      <w:pPr>
        <w:tabs>
          <w:tab w:val="num" w:pos="1440"/>
        </w:tabs>
        <w:ind w:left="1440" w:hanging="360"/>
      </w:pPr>
      <w:rPr>
        <w:rFonts w:ascii="Arial" w:hAnsi="Arial" w:hint="default"/>
      </w:rPr>
    </w:lvl>
    <w:lvl w:ilvl="2" w:tplc="E280EAF8" w:tentative="1">
      <w:start w:val="1"/>
      <w:numFmt w:val="bullet"/>
      <w:lvlText w:val="•"/>
      <w:lvlJc w:val="left"/>
      <w:pPr>
        <w:tabs>
          <w:tab w:val="num" w:pos="2160"/>
        </w:tabs>
        <w:ind w:left="2160" w:hanging="360"/>
      </w:pPr>
      <w:rPr>
        <w:rFonts w:ascii="Arial" w:hAnsi="Arial" w:hint="default"/>
      </w:rPr>
    </w:lvl>
    <w:lvl w:ilvl="3" w:tplc="F3C2EA50" w:tentative="1">
      <w:start w:val="1"/>
      <w:numFmt w:val="bullet"/>
      <w:lvlText w:val="•"/>
      <w:lvlJc w:val="left"/>
      <w:pPr>
        <w:tabs>
          <w:tab w:val="num" w:pos="2880"/>
        </w:tabs>
        <w:ind w:left="2880" w:hanging="360"/>
      </w:pPr>
      <w:rPr>
        <w:rFonts w:ascii="Arial" w:hAnsi="Arial" w:hint="default"/>
      </w:rPr>
    </w:lvl>
    <w:lvl w:ilvl="4" w:tplc="C1569642" w:tentative="1">
      <w:start w:val="1"/>
      <w:numFmt w:val="bullet"/>
      <w:lvlText w:val="•"/>
      <w:lvlJc w:val="left"/>
      <w:pPr>
        <w:tabs>
          <w:tab w:val="num" w:pos="3600"/>
        </w:tabs>
        <w:ind w:left="3600" w:hanging="360"/>
      </w:pPr>
      <w:rPr>
        <w:rFonts w:ascii="Arial" w:hAnsi="Arial" w:hint="default"/>
      </w:rPr>
    </w:lvl>
    <w:lvl w:ilvl="5" w:tplc="C9C049CC" w:tentative="1">
      <w:start w:val="1"/>
      <w:numFmt w:val="bullet"/>
      <w:lvlText w:val="•"/>
      <w:lvlJc w:val="left"/>
      <w:pPr>
        <w:tabs>
          <w:tab w:val="num" w:pos="4320"/>
        </w:tabs>
        <w:ind w:left="4320" w:hanging="360"/>
      </w:pPr>
      <w:rPr>
        <w:rFonts w:ascii="Arial" w:hAnsi="Arial" w:hint="default"/>
      </w:rPr>
    </w:lvl>
    <w:lvl w:ilvl="6" w:tplc="AAB2FC56" w:tentative="1">
      <w:start w:val="1"/>
      <w:numFmt w:val="bullet"/>
      <w:lvlText w:val="•"/>
      <w:lvlJc w:val="left"/>
      <w:pPr>
        <w:tabs>
          <w:tab w:val="num" w:pos="5040"/>
        </w:tabs>
        <w:ind w:left="5040" w:hanging="360"/>
      </w:pPr>
      <w:rPr>
        <w:rFonts w:ascii="Arial" w:hAnsi="Arial" w:hint="default"/>
      </w:rPr>
    </w:lvl>
    <w:lvl w:ilvl="7" w:tplc="05D89FE8" w:tentative="1">
      <w:start w:val="1"/>
      <w:numFmt w:val="bullet"/>
      <w:lvlText w:val="•"/>
      <w:lvlJc w:val="left"/>
      <w:pPr>
        <w:tabs>
          <w:tab w:val="num" w:pos="5760"/>
        </w:tabs>
        <w:ind w:left="5760" w:hanging="360"/>
      </w:pPr>
      <w:rPr>
        <w:rFonts w:ascii="Arial" w:hAnsi="Arial" w:hint="default"/>
      </w:rPr>
    </w:lvl>
    <w:lvl w:ilvl="8" w:tplc="2B3C03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82B21"/>
    <w:multiLevelType w:val="hybridMultilevel"/>
    <w:tmpl w:val="7842014C"/>
    <w:lvl w:ilvl="0" w:tplc="2CE0F766">
      <w:start w:val="1"/>
      <w:numFmt w:val="bullet"/>
      <w:lvlText w:val="•"/>
      <w:lvlJc w:val="left"/>
      <w:pPr>
        <w:tabs>
          <w:tab w:val="num" w:pos="720"/>
        </w:tabs>
        <w:ind w:left="720" w:hanging="360"/>
      </w:pPr>
      <w:rPr>
        <w:rFonts w:ascii="Arial" w:hAnsi="Arial" w:hint="default"/>
      </w:rPr>
    </w:lvl>
    <w:lvl w:ilvl="1" w:tplc="900489EA" w:tentative="1">
      <w:start w:val="1"/>
      <w:numFmt w:val="bullet"/>
      <w:lvlText w:val="•"/>
      <w:lvlJc w:val="left"/>
      <w:pPr>
        <w:tabs>
          <w:tab w:val="num" w:pos="1440"/>
        </w:tabs>
        <w:ind w:left="1440" w:hanging="360"/>
      </w:pPr>
      <w:rPr>
        <w:rFonts w:ascii="Arial" w:hAnsi="Arial" w:hint="default"/>
      </w:rPr>
    </w:lvl>
    <w:lvl w:ilvl="2" w:tplc="39BAFB7C" w:tentative="1">
      <w:start w:val="1"/>
      <w:numFmt w:val="bullet"/>
      <w:lvlText w:val="•"/>
      <w:lvlJc w:val="left"/>
      <w:pPr>
        <w:tabs>
          <w:tab w:val="num" w:pos="2160"/>
        </w:tabs>
        <w:ind w:left="2160" w:hanging="360"/>
      </w:pPr>
      <w:rPr>
        <w:rFonts w:ascii="Arial" w:hAnsi="Arial" w:hint="default"/>
      </w:rPr>
    </w:lvl>
    <w:lvl w:ilvl="3" w:tplc="84787110" w:tentative="1">
      <w:start w:val="1"/>
      <w:numFmt w:val="bullet"/>
      <w:lvlText w:val="•"/>
      <w:lvlJc w:val="left"/>
      <w:pPr>
        <w:tabs>
          <w:tab w:val="num" w:pos="2880"/>
        </w:tabs>
        <w:ind w:left="2880" w:hanging="360"/>
      </w:pPr>
      <w:rPr>
        <w:rFonts w:ascii="Arial" w:hAnsi="Arial" w:hint="default"/>
      </w:rPr>
    </w:lvl>
    <w:lvl w:ilvl="4" w:tplc="0C545E4A" w:tentative="1">
      <w:start w:val="1"/>
      <w:numFmt w:val="bullet"/>
      <w:lvlText w:val="•"/>
      <w:lvlJc w:val="left"/>
      <w:pPr>
        <w:tabs>
          <w:tab w:val="num" w:pos="3600"/>
        </w:tabs>
        <w:ind w:left="3600" w:hanging="360"/>
      </w:pPr>
      <w:rPr>
        <w:rFonts w:ascii="Arial" w:hAnsi="Arial" w:hint="default"/>
      </w:rPr>
    </w:lvl>
    <w:lvl w:ilvl="5" w:tplc="ABC08DC4" w:tentative="1">
      <w:start w:val="1"/>
      <w:numFmt w:val="bullet"/>
      <w:lvlText w:val="•"/>
      <w:lvlJc w:val="left"/>
      <w:pPr>
        <w:tabs>
          <w:tab w:val="num" w:pos="4320"/>
        </w:tabs>
        <w:ind w:left="4320" w:hanging="360"/>
      </w:pPr>
      <w:rPr>
        <w:rFonts w:ascii="Arial" w:hAnsi="Arial" w:hint="default"/>
      </w:rPr>
    </w:lvl>
    <w:lvl w:ilvl="6" w:tplc="33A010DE" w:tentative="1">
      <w:start w:val="1"/>
      <w:numFmt w:val="bullet"/>
      <w:lvlText w:val="•"/>
      <w:lvlJc w:val="left"/>
      <w:pPr>
        <w:tabs>
          <w:tab w:val="num" w:pos="5040"/>
        </w:tabs>
        <w:ind w:left="5040" w:hanging="360"/>
      </w:pPr>
      <w:rPr>
        <w:rFonts w:ascii="Arial" w:hAnsi="Arial" w:hint="default"/>
      </w:rPr>
    </w:lvl>
    <w:lvl w:ilvl="7" w:tplc="60D8D7F4" w:tentative="1">
      <w:start w:val="1"/>
      <w:numFmt w:val="bullet"/>
      <w:lvlText w:val="•"/>
      <w:lvlJc w:val="left"/>
      <w:pPr>
        <w:tabs>
          <w:tab w:val="num" w:pos="5760"/>
        </w:tabs>
        <w:ind w:left="5760" w:hanging="360"/>
      </w:pPr>
      <w:rPr>
        <w:rFonts w:ascii="Arial" w:hAnsi="Arial" w:hint="default"/>
      </w:rPr>
    </w:lvl>
    <w:lvl w:ilvl="8" w:tplc="3900F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15:restartNumberingAfterBreak="0">
    <w:nsid w:val="65FC4F9A"/>
    <w:multiLevelType w:val="hybridMultilevel"/>
    <w:tmpl w:val="06DEB63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005794"/>
    <w:multiLevelType w:val="hybridMultilevel"/>
    <w:tmpl w:val="1B4A6D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
  </w:num>
  <w:num w:numId="4">
    <w:abstractNumId w:val="2"/>
  </w:num>
  <w:num w:numId="5">
    <w:abstractNumId w:val="13"/>
  </w:num>
  <w:num w:numId="6">
    <w:abstractNumId w:val="21"/>
  </w:num>
  <w:num w:numId="7">
    <w:abstractNumId w:val="16"/>
  </w:num>
  <w:num w:numId="8">
    <w:abstractNumId w:val="12"/>
  </w:num>
  <w:num w:numId="9">
    <w:abstractNumId w:val="23"/>
  </w:num>
  <w:num w:numId="10">
    <w:abstractNumId w:val="5"/>
  </w:num>
  <w:num w:numId="11">
    <w:abstractNumId w:val="17"/>
  </w:num>
  <w:num w:numId="12">
    <w:abstractNumId w:val="4"/>
  </w:num>
  <w:num w:numId="13">
    <w:abstractNumId w:val="10"/>
  </w:num>
  <w:num w:numId="14">
    <w:abstractNumId w:val="18"/>
  </w:num>
  <w:num w:numId="15">
    <w:abstractNumId w:val="10"/>
  </w:num>
  <w:num w:numId="16">
    <w:abstractNumId w:val="19"/>
  </w:num>
  <w:num w:numId="17">
    <w:abstractNumId w:val="8"/>
  </w:num>
  <w:num w:numId="18">
    <w:abstractNumId w:val="15"/>
  </w:num>
  <w:num w:numId="19">
    <w:abstractNumId w:val="7"/>
  </w:num>
  <w:num w:numId="20">
    <w:abstractNumId w:val="24"/>
  </w:num>
  <w:num w:numId="21">
    <w:abstractNumId w:val="0"/>
  </w:num>
  <w:num w:numId="22">
    <w:abstractNumId w:val="22"/>
  </w:num>
  <w:num w:numId="23">
    <w:abstractNumId w:val="14"/>
  </w:num>
  <w:num w:numId="24">
    <w:abstractNumId w:val="9"/>
    <w:lvlOverride w:ilvl="0">
      <w:startOverride w:val="1"/>
    </w:lvlOverride>
    <w:lvlOverride w:ilvl="1"/>
    <w:lvlOverride w:ilvl="2"/>
    <w:lvlOverride w:ilvl="3"/>
    <w:lvlOverride w:ilvl="4"/>
    <w:lvlOverride w:ilvl="5"/>
    <w:lvlOverride w:ilvl="6"/>
    <w:lvlOverride w:ilvl="7"/>
    <w:lvlOverride w:ilvl="8"/>
  </w:num>
  <w:num w:numId="25">
    <w:abstractNumId w:val="3"/>
  </w:num>
  <w:num w:numId="2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CommentReference">
    <w:name w:val="annotation reference"/>
    <w:semiHidden/>
    <w:rPr>
      <w:sz w:val="16"/>
    </w:rPr>
  </w:style>
  <w:style w:type="paragraph" w:styleId="CommentText">
    <w:name w:val="annotation text"/>
    <w:basedOn w:val="Normal"/>
    <w:link w:val="CommentTextChar"/>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paragraph" w:styleId="DocumentMap">
    <w:name w:val="Document Map"/>
    <w:basedOn w:val="Normal"/>
    <w:semiHidden/>
    <w:pPr>
      <w:shd w:val="clear" w:color="auto" w:fill="000080"/>
    </w:pPr>
    <w:rPr>
      <w:rFonts w:ascii="Tahoma" w:hAnsi="Tahoma" w:cs="Tahoma"/>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BalloonText">
    <w:name w:val="Balloon Text"/>
    <w:basedOn w:val="Normal"/>
    <w:semiHidden/>
    <w:rPr>
      <w:rFonts w:ascii="Tahoma" w:hAnsi="Tahoma" w:cs="Tahoma"/>
      <w:sz w:val="16"/>
      <w:szCs w:val="16"/>
    </w:rPr>
  </w:style>
  <w:style w:type="character" w:styleId="Hyperlink">
    <w:name w:val="Hyperlink"/>
    <w:uiPriority w:val="99"/>
    <w:qFormat/>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styleId="Revision">
    <w:name w:val="Revision"/>
    <w:hidden/>
    <w:uiPriority w:val="99"/>
    <w:semiHidden/>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character" w:styleId="FollowedHyperlink">
    <w:name w:val="FollowedHyperlink"/>
    <w:semiHidden/>
    <w:unhideWhenUsed/>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rPr>
  </w:style>
  <w:style w:type="character" w:customStyle="1" w:styleId="Heading1Char">
    <w:name w:val="Heading 1 Char"/>
    <w:aliases w:val="H1 Char,h1 Char,Heading 1 3GPP Char"/>
    <w:basedOn w:val="DefaultParagraphFont"/>
    <w:link w:val="Heading1"/>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Pr>
      <w:rFonts w:ascii="Arial" w:hAnsi="Arial"/>
      <w:sz w:val="32"/>
      <w:lang w:val="en-GB"/>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rPr>
      <w:rFonts w:ascii="Arial" w:hAnsi="Arial"/>
      <w:b/>
      <w:sz w:val="18"/>
      <w:lang w:val="en-GB"/>
    </w:rPr>
  </w:style>
  <w:style w:type="paragraph" w:styleId="NoSpacing">
    <w:name w:val="No Spacing"/>
    <w:uiPriority w:val="1"/>
    <w:qFormat/>
    <w:rPr>
      <w:rFonts w:ascii="Arial" w:eastAsia="Times New Roman" w:hAnsi="Arial"/>
      <w:sz w:val="22"/>
      <w:lang w:val="en-GB"/>
    </w:rPr>
  </w:style>
  <w:style w:type="character" w:customStyle="1" w:styleId="TALCar">
    <w:name w:val="TAL Car"/>
    <w:link w:val="TAL"/>
    <w:rPr>
      <w:rFonts w:ascii="Arial" w:hAnsi="Arial"/>
      <w:sz w:val="18"/>
      <w:lang w:val="en-GB"/>
    </w:rPr>
  </w:style>
  <w:style w:type="paragraph" w:customStyle="1" w:styleId="psection-2">
    <w:name w:val="psection-2"/>
    <w:basedOn w:val="Normal"/>
    <w:pPr>
      <w:overflowPunct/>
      <w:autoSpaceDE/>
      <w:autoSpaceDN/>
      <w:adjustRightInd/>
      <w:spacing w:after="150"/>
      <w:ind w:left="240"/>
      <w:textAlignment w:val="auto"/>
    </w:pPr>
    <w:rPr>
      <w:rFonts w:eastAsia="Times New Roman"/>
      <w:sz w:val="24"/>
      <w:szCs w:val="24"/>
      <w:lang w:val="en-US"/>
    </w:rPr>
  </w:style>
  <w:style w:type="character" w:customStyle="1" w:styleId="enumxml1">
    <w:name w:val="enumxml1"/>
    <w:basedOn w:val="DefaultParagraphFont"/>
    <w:rPr>
      <w:b/>
      <w:bCs/>
    </w:rPr>
  </w:style>
  <w:style w:type="character" w:customStyle="1" w:styleId="su1">
    <w:name w:val="su1"/>
    <w:basedOn w:val="DefaultParagraphFont"/>
    <w:rPr>
      <w:vanish w:val="0"/>
      <w:webHidden w:val="0"/>
      <w:sz w:val="17"/>
      <w:szCs w:val="17"/>
      <w:vertAlign w:val="baseline"/>
      <w:specVanish w:val="0"/>
    </w:rPr>
  </w:style>
  <w:style w:type="character" w:styleId="UnresolvedMention">
    <w:name w:val="Unresolved Mention"/>
    <w:basedOn w:val="DefaultParagraphFont"/>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432110">
      <w:bodyDiv w:val="1"/>
      <w:marLeft w:val="0"/>
      <w:marRight w:val="0"/>
      <w:marTop w:val="0"/>
      <w:marBottom w:val="0"/>
      <w:divBdr>
        <w:top w:val="none" w:sz="0" w:space="0" w:color="auto"/>
        <w:left w:val="none" w:sz="0" w:space="0" w:color="auto"/>
        <w:bottom w:val="none" w:sz="0" w:space="0" w:color="auto"/>
        <w:right w:val="none" w:sz="0" w:space="0" w:color="auto"/>
      </w:divBdr>
      <w:divsChild>
        <w:div w:id="1151873655">
          <w:marLeft w:val="878"/>
          <w:marRight w:val="0"/>
          <w:marTop w:val="86"/>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944255">
      <w:bodyDiv w:val="1"/>
      <w:marLeft w:val="0"/>
      <w:marRight w:val="0"/>
      <w:marTop w:val="0"/>
      <w:marBottom w:val="0"/>
      <w:divBdr>
        <w:top w:val="none" w:sz="0" w:space="0" w:color="auto"/>
        <w:left w:val="none" w:sz="0" w:space="0" w:color="auto"/>
        <w:bottom w:val="none" w:sz="0" w:space="0" w:color="auto"/>
        <w:right w:val="none" w:sz="0" w:space="0" w:color="auto"/>
      </w:divBdr>
      <w:divsChild>
        <w:div w:id="589126040">
          <w:marLeft w:val="490"/>
          <w:marRight w:val="0"/>
          <w:marTop w:val="0"/>
          <w:marBottom w:val="16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7145025">
      <w:bodyDiv w:val="1"/>
      <w:marLeft w:val="0"/>
      <w:marRight w:val="0"/>
      <w:marTop w:val="0"/>
      <w:marBottom w:val="0"/>
      <w:divBdr>
        <w:top w:val="none" w:sz="0" w:space="0" w:color="auto"/>
        <w:left w:val="none" w:sz="0" w:space="0" w:color="auto"/>
        <w:bottom w:val="none" w:sz="0" w:space="0" w:color="auto"/>
        <w:right w:val="none" w:sz="0" w:space="0" w:color="auto"/>
      </w:divBdr>
    </w:div>
    <w:div w:id="1101027965">
      <w:bodyDiv w:val="1"/>
      <w:marLeft w:val="0"/>
      <w:marRight w:val="0"/>
      <w:marTop w:val="0"/>
      <w:marBottom w:val="0"/>
      <w:divBdr>
        <w:top w:val="none" w:sz="0" w:space="0" w:color="auto"/>
        <w:left w:val="none" w:sz="0" w:space="0" w:color="auto"/>
        <w:bottom w:val="none" w:sz="0" w:space="0" w:color="auto"/>
        <w:right w:val="none" w:sz="0" w:space="0" w:color="auto"/>
      </w:divBdr>
      <w:divsChild>
        <w:div w:id="677586818">
          <w:marLeft w:val="490"/>
          <w:marRight w:val="0"/>
          <w:marTop w:val="0"/>
          <w:marBottom w:val="16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673985">
      <w:bodyDiv w:val="1"/>
      <w:marLeft w:val="0"/>
      <w:marRight w:val="0"/>
      <w:marTop w:val="0"/>
      <w:marBottom w:val="0"/>
      <w:divBdr>
        <w:top w:val="none" w:sz="0" w:space="0" w:color="auto"/>
        <w:left w:val="none" w:sz="0" w:space="0" w:color="auto"/>
        <w:bottom w:val="none" w:sz="0" w:space="0" w:color="auto"/>
        <w:right w:val="none" w:sz="0" w:space="0" w:color="auto"/>
      </w:divBdr>
      <w:divsChild>
        <w:div w:id="1799369637">
          <w:marLeft w:val="0"/>
          <w:marRight w:val="0"/>
          <w:marTop w:val="0"/>
          <w:marBottom w:val="0"/>
          <w:divBdr>
            <w:top w:val="none" w:sz="0" w:space="0" w:color="auto"/>
            <w:left w:val="none" w:sz="0" w:space="0" w:color="auto"/>
            <w:bottom w:val="none" w:sz="0" w:space="0" w:color="auto"/>
            <w:right w:val="none" w:sz="0" w:space="0" w:color="auto"/>
          </w:divBdr>
          <w:divsChild>
            <w:div w:id="590889297">
              <w:marLeft w:val="0"/>
              <w:marRight w:val="0"/>
              <w:marTop w:val="0"/>
              <w:marBottom w:val="0"/>
              <w:divBdr>
                <w:top w:val="none" w:sz="0" w:space="0" w:color="auto"/>
                <w:left w:val="none" w:sz="0" w:space="0" w:color="auto"/>
                <w:bottom w:val="none" w:sz="0" w:space="0" w:color="auto"/>
                <w:right w:val="none" w:sz="0" w:space="0" w:color="auto"/>
              </w:divBdr>
              <w:divsChild>
                <w:div w:id="281033283">
                  <w:marLeft w:val="0"/>
                  <w:marRight w:val="0"/>
                  <w:marTop w:val="0"/>
                  <w:marBottom w:val="0"/>
                  <w:divBdr>
                    <w:top w:val="none" w:sz="0" w:space="0" w:color="auto"/>
                    <w:left w:val="none" w:sz="0" w:space="0" w:color="auto"/>
                    <w:bottom w:val="none" w:sz="0" w:space="0" w:color="auto"/>
                    <w:right w:val="none" w:sz="0" w:space="0" w:color="auto"/>
                  </w:divBdr>
                  <w:divsChild>
                    <w:div w:id="441847863">
                      <w:marLeft w:val="0"/>
                      <w:marRight w:val="0"/>
                      <w:marTop w:val="0"/>
                      <w:marBottom w:val="0"/>
                      <w:divBdr>
                        <w:top w:val="none" w:sz="0" w:space="0" w:color="auto"/>
                        <w:left w:val="none" w:sz="0" w:space="0" w:color="auto"/>
                        <w:bottom w:val="none" w:sz="0" w:space="0" w:color="auto"/>
                        <w:right w:val="none" w:sz="0" w:space="0" w:color="auto"/>
                      </w:divBdr>
                      <w:divsChild>
                        <w:div w:id="570039899">
                          <w:marLeft w:val="0"/>
                          <w:marRight w:val="0"/>
                          <w:marTop w:val="0"/>
                          <w:marBottom w:val="0"/>
                          <w:divBdr>
                            <w:top w:val="none" w:sz="0" w:space="0" w:color="auto"/>
                            <w:left w:val="none" w:sz="0" w:space="0" w:color="auto"/>
                            <w:bottom w:val="none" w:sz="0" w:space="0" w:color="auto"/>
                            <w:right w:val="none" w:sz="0" w:space="0" w:color="auto"/>
                          </w:divBdr>
                          <w:divsChild>
                            <w:div w:id="1893153226">
                              <w:marLeft w:val="0"/>
                              <w:marRight w:val="0"/>
                              <w:marTop w:val="0"/>
                              <w:marBottom w:val="0"/>
                              <w:divBdr>
                                <w:top w:val="none" w:sz="0" w:space="0" w:color="auto"/>
                                <w:left w:val="none" w:sz="0" w:space="0" w:color="auto"/>
                                <w:bottom w:val="none" w:sz="0" w:space="0" w:color="auto"/>
                                <w:right w:val="none" w:sz="0" w:space="0" w:color="auto"/>
                              </w:divBdr>
                              <w:divsChild>
                                <w:div w:id="1961105843">
                                  <w:marLeft w:val="0"/>
                                  <w:marRight w:val="0"/>
                                  <w:marTop w:val="0"/>
                                  <w:marBottom w:val="0"/>
                                  <w:divBdr>
                                    <w:top w:val="none" w:sz="0" w:space="0" w:color="auto"/>
                                    <w:left w:val="none" w:sz="0" w:space="0" w:color="auto"/>
                                    <w:bottom w:val="none" w:sz="0" w:space="0" w:color="auto"/>
                                    <w:right w:val="none" w:sz="0" w:space="0" w:color="auto"/>
                                  </w:divBdr>
                                  <w:divsChild>
                                    <w:div w:id="2119057702">
                                      <w:marLeft w:val="0"/>
                                      <w:marRight w:val="0"/>
                                      <w:marTop w:val="0"/>
                                      <w:marBottom w:val="0"/>
                                      <w:divBdr>
                                        <w:top w:val="none" w:sz="0" w:space="0" w:color="auto"/>
                                        <w:left w:val="none" w:sz="0" w:space="0" w:color="auto"/>
                                        <w:bottom w:val="none" w:sz="0" w:space="0" w:color="auto"/>
                                        <w:right w:val="none" w:sz="0" w:space="0" w:color="auto"/>
                                      </w:divBdr>
                                      <w:divsChild>
                                        <w:div w:id="363093619">
                                          <w:marLeft w:val="0"/>
                                          <w:marRight w:val="0"/>
                                          <w:marTop w:val="0"/>
                                          <w:marBottom w:val="0"/>
                                          <w:divBdr>
                                            <w:top w:val="none" w:sz="0" w:space="0" w:color="auto"/>
                                            <w:left w:val="none" w:sz="0" w:space="0" w:color="auto"/>
                                            <w:bottom w:val="none" w:sz="0" w:space="0" w:color="auto"/>
                                            <w:right w:val="none" w:sz="0" w:space="0" w:color="auto"/>
                                          </w:divBdr>
                                          <w:divsChild>
                                            <w:div w:id="867260433">
                                              <w:marLeft w:val="0"/>
                                              <w:marRight w:val="0"/>
                                              <w:marTop w:val="0"/>
                                              <w:marBottom w:val="0"/>
                                              <w:divBdr>
                                                <w:top w:val="none" w:sz="0" w:space="0" w:color="auto"/>
                                                <w:left w:val="none" w:sz="0" w:space="0" w:color="auto"/>
                                                <w:bottom w:val="none" w:sz="0" w:space="0" w:color="auto"/>
                                                <w:right w:val="none" w:sz="0" w:space="0" w:color="auto"/>
                                              </w:divBdr>
                                              <w:divsChild>
                                                <w:div w:id="59533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5737">
      <w:bodyDiv w:val="1"/>
      <w:marLeft w:val="0"/>
      <w:marRight w:val="0"/>
      <w:marTop w:val="0"/>
      <w:marBottom w:val="0"/>
      <w:divBdr>
        <w:top w:val="none" w:sz="0" w:space="0" w:color="auto"/>
        <w:left w:val="none" w:sz="0" w:space="0" w:color="auto"/>
        <w:bottom w:val="none" w:sz="0" w:space="0" w:color="auto"/>
        <w:right w:val="none" w:sz="0" w:space="0" w:color="auto"/>
      </w:divBdr>
    </w:div>
    <w:div w:id="1263342949">
      <w:bodyDiv w:val="1"/>
      <w:marLeft w:val="0"/>
      <w:marRight w:val="0"/>
      <w:marTop w:val="0"/>
      <w:marBottom w:val="0"/>
      <w:divBdr>
        <w:top w:val="none" w:sz="0" w:space="0" w:color="auto"/>
        <w:left w:val="none" w:sz="0" w:space="0" w:color="auto"/>
        <w:bottom w:val="none" w:sz="0" w:space="0" w:color="auto"/>
        <w:right w:val="none" w:sz="0" w:space="0" w:color="auto"/>
      </w:divBdr>
      <w:divsChild>
        <w:div w:id="326446555">
          <w:marLeft w:val="878"/>
          <w:marRight w:val="0"/>
          <w:marTop w:val="86"/>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80376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2399">
      <w:bodyDiv w:val="1"/>
      <w:marLeft w:val="0"/>
      <w:marRight w:val="0"/>
      <w:marTop w:val="0"/>
      <w:marBottom w:val="0"/>
      <w:divBdr>
        <w:top w:val="none" w:sz="0" w:space="0" w:color="auto"/>
        <w:left w:val="none" w:sz="0" w:space="0" w:color="auto"/>
        <w:bottom w:val="none" w:sz="0" w:space="0" w:color="auto"/>
        <w:right w:val="none" w:sz="0" w:space="0" w:color="auto"/>
      </w:divBdr>
      <w:divsChild>
        <w:div w:id="350035120">
          <w:marLeft w:val="490"/>
          <w:marRight w:val="0"/>
          <w:marTop w:val="0"/>
          <w:marBottom w:val="160"/>
          <w:divBdr>
            <w:top w:val="none" w:sz="0" w:space="0" w:color="auto"/>
            <w:left w:val="none" w:sz="0" w:space="0" w:color="auto"/>
            <w:bottom w:val="none" w:sz="0" w:space="0" w:color="auto"/>
            <w:right w:val="none" w:sz="0" w:space="0" w:color="auto"/>
          </w:divBdr>
        </w:div>
        <w:div w:id="1604456940">
          <w:marLeft w:val="965"/>
          <w:marRight w:val="0"/>
          <w:marTop w:val="0"/>
          <w:marBottom w:val="160"/>
          <w:divBdr>
            <w:top w:val="none" w:sz="0" w:space="0" w:color="auto"/>
            <w:left w:val="none" w:sz="0" w:space="0" w:color="auto"/>
            <w:bottom w:val="none" w:sz="0" w:space="0" w:color="auto"/>
            <w:right w:val="none" w:sz="0" w:space="0" w:color="auto"/>
          </w:divBdr>
        </w:div>
        <w:div w:id="861044397">
          <w:marLeft w:val="965"/>
          <w:marRight w:val="0"/>
          <w:marTop w:val="0"/>
          <w:marBottom w:val="160"/>
          <w:divBdr>
            <w:top w:val="none" w:sz="0" w:space="0" w:color="auto"/>
            <w:left w:val="none" w:sz="0" w:space="0" w:color="auto"/>
            <w:bottom w:val="none" w:sz="0" w:space="0" w:color="auto"/>
            <w:right w:val="none" w:sz="0" w:space="0" w:color="auto"/>
          </w:divBdr>
        </w:div>
        <w:div w:id="508065567">
          <w:marLeft w:val="965"/>
          <w:marRight w:val="0"/>
          <w:marTop w:val="0"/>
          <w:marBottom w:val="160"/>
          <w:divBdr>
            <w:top w:val="none" w:sz="0" w:space="0" w:color="auto"/>
            <w:left w:val="none" w:sz="0" w:space="0" w:color="auto"/>
            <w:bottom w:val="none" w:sz="0" w:space="0" w:color="auto"/>
            <w:right w:val="none" w:sz="0" w:space="0" w:color="auto"/>
          </w:divBdr>
        </w:div>
        <w:div w:id="989408278">
          <w:marLeft w:val="490"/>
          <w:marRight w:val="0"/>
          <w:marTop w:val="0"/>
          <w:marBottom w:val="160"/>
          <w:divBdr>
            <w:top w:val="none" w:sz="0" w:space="0" w:color="auto"/>
            <w:left w:val="none" w:sz="0" w:space="0" w:color="auto"/>
            <w:bottom w:val="none" w:sz="0" w:space="0" w:color="auto"/>
            <w:right w:val="none" w:sz="0" w:space="0" w:color="auto"/>
          </w:divBdr>
        </w:div>
      </w:divsChild>
    </w:div>
    <w:div w:id="1551066222">
      <w:bodyDiv w:val="1"/>
      <w:marLeft w:val="0"/>
      <w:marRight w:val="0"/>
      <w:marTop w:val="0"/>
      <w:marBottom w:val="0"/>
      <w:divBdr>
        <w:top w:val="none" w:sz="0" w:space="0" w:color="auto"/>
        <w:left w:val="none" w:sz="0" w:space="0" w:color="auto"/>
        <w:bottom w:val="none" w:sz="0" w:space="0" w:color="auto"/>
        <w:right w:val="none" w:sz="0" w:space="0" w:color="auto"/>
      </w:divBdr>
      <w:divsChild>
        <w:div w:id="1320620248">
          <w:marLeft w:val="360"/>
          <w:marRight w:val="0"/>
          <w:marTop w:val="0"/>
          <w:marBottom w:val="0"/>
          <w:divBdr>
            <w:top w:val="none" w:sz="0" w:space="0" w:color="auto"/>
            <w:left w:val="none" w:sz="0" w:space="0" w:color="auto"/>
            <w:bottom w:val="none" w:sz="0" w:space="0" w:color="auto"/>
            <w:right w:val="none" w:sz="0" w:space="0" w:color="auto"/>
          </w:divBdr>
        </w:div>
        <w:div w:id="525026030">
          <w:marLeft w:val="1325"/>
          <w:marRight w:val="0"/>
          <w:marTop w:val="0"/>
          <w:marBottom w:val="0"/>
          <w:divBdr>
            <w:top w:val="none" w:sz="0" w:space="0" w:color="auto"/>
            <w:left w:val="none" w:sz="0" w:space="0" w:color="auto"/>
            <w:bottom w:val="none" w:sz="0" w:space="0" w:color="auto"/>
            <w:right w:val="none" w:sz="0" w:space="0" w:color="auto"/>
          </w:divBdr>
        </w:div>
        <w:div w:id="592669542">
          <w:marLeft w:val="1325"/>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749449">
      <w:bodyDiv w:val="1"/>
      <w:marLeft w:val="0"/>
      <w:marRight w:val="0"/>
      <w:marTop w:val="0"/>
      <w:marBottom w:val="0"/>
      <w:divBdr>
        <w:top w:val="none" w:sz="0" w:space="0" w:color="auto"/>
        <w:left w:val="none" w:sz="0" w:space="0" w:color="auto"/>
        <w:bottom w:val="none" w:sz="0" w:space="0" w:color="auto"/>
        <w:right w:val="none" w:sz="0" w:space="0" w:color="auto"/>
      </w:divBdr>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5AIRPNAIUNRU-1379959237-95</_dlc_DocId>
    <_dlc_DocIdUrl xmlns="71c5aaf6-e6ce-465b-b873-5148d2a4c105">
      <Url>https://nokia.sharepoint.com/sites/c5g/projects/phydesign/_layouts/15/DocIdRedir.aspx?ID=5AIRPNAIUNRU-1379959237-95</Url>
      <Description>5AIRPNAIUNRU-1379959237-95</Description>
    </_dlc_DocIdUrl>
    <HideFromDelve xmlns="71c5aaf6-e6ce-465b-b873-5148d2a4c105">false</HideFromDelve>
    <SharedWithUsers xmlns="3b34c8f0-1ef5-4d1e-bb66-517ce7fe7356">
      <UserInfo>
        <DisplayName>Cudak, Mark (Nokia - US/Naperville)</DisplayName>
        <AccountId>830</AccountId>
        <AccountType/>
      </UserInfo>
      <UserInfo>
        <DisplayName>Hulkkonen, Jari (Nokia - FI/Oulu)</DisplayName>
        <AccountId>553</AccountId>
        <AccountType/>
      </UserInfo>
      <UserInfo>
        <DisplayName>Tervo, Oskari (Nokia - FI/Oulu)</DisplayName>
        <AccountId>13738</AccountId>
        <AccountType/>
      </UserInfo>
      <UserInfo>
        <DisplayName>Hooli, Kari (Nokia - FI/Oulu)</DisplayName>
        <AccountId>780</AccountId>
        <AccountType/>
      </UserInfo>
      <UserInfo>
        <DisplayName>Kinnunen, Pasi Et. (Nokia - FI/Oulu)</DisplayName>
        <AccountId>862</AccountId>
        <AccountType/>
      </UserInfo>
      <UserInfo>
        <DisplayName>Tiirola, Esa (Nokia - FI/Oulu)</DisplayName>
        <AccountId>148</AccountId>
        <AccountType/>
      </UserInfo>
      <UserInfo>
        <DisplayName>Levanen, Toni A. (EXT - FI/Oulu)</DisplayName>
        <AccountId>812</AccountId>
        <AccountType/>
      </UserInfo>
      <UserInfo>
        <DisplayName>Talukdar, Anup (Nokia - US/Naperville)</DisplayName>
        <AccountId>845</AccountId>
        <AccountType/>
      </UserInfo>
      <UserInfo>
        <DisplayName>Ratasuk, Rapeepat (Nokia - US/Naperville)</DisplayName>
        <AccountId>318</AccountId>
        <AccountType/>
      </UserInfo>
      <UserInfo>
        <DisplayName>Vejlgaard, Benny (Nokia - DK/Aalborg)</DisplayName>
        <AccountId>15394</AccountId>
        <AccountType/>
      </UserInfo>
      <UserInfo>
        <DisplayName>Harrebek, Johannes (Nokia - DK/Aalborg)</DisplayName>
        <AccountId>17372</AccountId>
        <AccountType/>
      </UserInfo>
      <UserInfo>
        <DisplayName>Vook, Fred (Nokia - US/Naperville)</DisplayName>
        <AccountId>853</AccountId>
        <AccountType/>
      </UserInfo>
      <UserInfo>
        <DisplayName>Yuk, Youngsoo (Nokia - KR/Seoul)</DisplayName>
        <AccountId>388</AccountId>
        <AccountType/>
      </UserInfo>
      <UserInfo>
        <DisplayName>Baker, Matthew (Nokia - GB/Cambridge)</DisplayName>
        <AccountId>62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25" ma:contentTypeDescription="Create a new document." ma:contentTypeScope="" ma:versionID="657e1a24185a8cad9590e92b94017c3d">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1dc3298a18e8a29cea7428989bd0bfa3"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d499e888-b648-4639-a12e-124bf1d657b9"/>
    <ds:schemaRef ds:uri="http://purl.org/dc/terms/"/>
    <ds:schemaRef ds:uri="71c5aaf6-e6ce-465b-b873-5148d2a4c105"/>
    <ds:schemaRef ds:uri="http://schemas.microsoft.com/office/infopath/2007/PartnerControls"/>
    <ds:schemaRef ds:uri="http://purl.org/dc/elements/1.1/"/>
    <ds:schemaRef ds:uri="http://schemas.openxmlformats.org/package/2006/metadata/core-properties"/>
    <ds:schemaRef ds:uri="3b34c8f0-1ef5-4d1e-bb66-517ce7fe735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F3D97671-52D8-44EA-8FBC-61BCC999D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C587C0-E2C8-44F0-B2EC-3F4E44E1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2</Pages>
  <Words>651</Words>
  <Characters>3850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Baker, Matthew (Nokia - GB/Cambridge)</cp:lastModifiedBy>
  <cp:revision>13</cp:revision>
  <cp:lastPrinted>2016-06-20T11:35:00Z</cp:lastPrinted>
  <dcterms:created xsi:type="dcterms:W3CDTF">2019-02-20T22:57:00Z</dcterms:created>
  <dcterms:modified xsi:type="dcterms:W3CDTF">2019-03-11T18:14:00Z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fe94a162-9dc1-436e-a36c-95be5541ec48</vt:lpwstr>
  </property>
  <property fmtid="{D5CDD505-2E9C-101B-9397-08002B2CF9AE}" pid="9" name="AuthorIds_UIVersion_1024">
    <vt:lpwstr>419</vt:lpwstr>
  </property>
  <property fmtid="{D5CDD505-2E9C-101B-9397-08002B2CF9AE}" pid="10" name="AuthorIds_UIVersion_1536">
    <vt:lpwstr>830</vt:lpwstr>
  </property>
  <property fmtid="{D5CDD505-2E9C-101B-9397-08002B2CF9AE}" pid="11" name="AuthorIds_UIVersion_4608">
    <vt:lpwstr>830</vt:lpwstr>
  </property>
</Properties>
</file>