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4861DFF2"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F7E67">
            <w:rPr>
              <w:rFonts w:ascii="Arial" w:hAnsi="Arial" w:cs="Arial"/>
              <w:b/>
              <w:sz w:val="24"/>
            </w:rPr>
            <w:t>#</w:t>
          </w:r>
          <w:r w:rsidR="00C103C4">
            <w:rPr>
              <w:rFonts w:ascii="Arial" w:hAnsi="Arial" w:cs="Arial"/>
              <w:b/>
              <w:sz w:val="24"/>
            </w:rPr>
            <w:t>81</w:t>
          </w:r>
        </w:sdtContent>
      </w:sdt>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00C103C4">
        <w:rPr>
          <w:rFonts w:ascii="Arial" w:hAnsi="Arial" w:cs="Arial"/>
          <w:b/>
          <w:sz w:val="24"/>
        </w:rPr>
        <w:tab/>
      </w:r>
      <w:r w:rsidR="00C103C4">
        <w:rPr>
          <w:rFonts w:ascii="Arial" w:hAnsi="Arial" w:cs="Arial"/>
          <w:b/>
          <w:sz w:val="24"/>
        </w:rPr>
        <w:tab/>
      </w:r>
      <w:r w:rsidR="00C103C4">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B2DA5">
            <w:rPr>
              <w:rFonts w:ascii="Arial" w:hAnsi="Arial" w:cs="Arial"/>
              <w:b/>
              <w:sz w:val="24"/>
            </w:rPr>
            <w:t>RP</w:t>
          </w:r>
          <w:r w:rsidR="001B2DA5" w:rsidRPr="009B29DA">
            <w:rPr>
              <w:rFonts w:ascii="Arial" w:hAnsi="Arial" w:cs="Arial"/>
              <w:b/>
              <w:sz w:val="24"/>
            </w:rPr>
            <w:t>-18</w:t>
          </w:r>
          <w:r w:rsidR="001B2DA5">
            <w:rPr>
              <w:rFonts w:ascii="Arial" w:hAnsi="Arial" w:cs="Arial"/>
              <w:b/>
              <w:sz w:val="24"/>
            </w:rPr>
            <w:t>1713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6F5CC88B" w:rsidR="00425159" w:rsidRPr="009B29DA" w:rsidRDefault="00C103C4" w:rsidP="00425159">
          <w:pPr>
            <w:spacing w:after="0"/>
            <w:ind w:left="1988" w:hanging="1988"/>
            <w:jc w:val="both"/>
            <w:rPr>
              <w:rFonts w:ascii="Arial" w:hAnsi="Arial" w:cs="Arial"/>
              <w:b/>
              <w:sz w:val="24"/>
            </w:rPr>
          </w:pPr>
          <w:r w:rsidRPr="00C103C4">
            <w:rPr>
              <w:rFonts w:ascii="Arial" w:hAnsi="Arial" w:cs="Arial"/>
              <w:b/>
              <w:sz w:val="24"/>
            </w:rPr>
            <w:t>Gold Coast, Australia, September 10-13, 2018</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0EBD9F75"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C103C4">
            <w:rPr>
              <w:rFonts w:ascii="Arial" w:hAnsi="Arial" w:cs="Arial"/>
              <w:b/>
              <w:sz w:val="24"/>
            </w:rPr>
            <w:t>Discussion on NR UE Category</w:t>
          </w:r>
        </w:sdtContent>
      </w:sdt>
    </w:p>
    <w:p w14:paraId="4F42E201" w14:textId="0023A5D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C103C4">
        <w:rPr>
          <w:rFonts w:ascii="Arial" w:hAnsi="Arial" w:cs="Arial"/>
          <w:b/>
          <w:sz w:val="24"/>
        </w:rPr>
        <w:t>9.6</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0669B2C6" w14:textId="28694C8F" w:rsidR="00192DE2" w:rsidRDefault="00934397" w:rsidP="00934397">
      <w:pPr>
        <w:ind w:firstLine="288"/>
        <w:rPr>
          <w:sz w:val="22"/>
          <w:szCs w:val="22"/>
          <w:lang w:eastAsia="zh-CN"/>
        </w:rPr>
      </w:pPr>
      <w:r>
        <w:rPr>
          <w:sz w:val="22"/>
          <w:szCs w:val="22"/>
          <w:lang w:eastAsia="zh-CN"/>
        </w:rPr>
        <w:t xml:space="preserve">In RAN #77, TSG-RAN agreed </w:t>
      </w:r>
      <w:r w:rsidRPr="00934397">
        <w:rPr>
          <w:sz w:val="22"/>
          <w:szCs w:val="22"/>
          <w:lang w:eastAsia="zh-CN"/>
        </w:rPr>
        <w:t>that UE categories are defined for marketing purposes</w:t>
      </w:r>
      <w:r>
        <w:rPr>
          <w:sz w:val="22"/>
          <w:szCs w:val="22"/>
          <w:lang w:eastAsia="zh-CN"/>
        </w:rPr>
        <w:t xml:space="preserve">. </w:t>
      </w:r>
      <w:r w:rsidRPr="00934397">
        <w:rPr>
          <w:sz w:val="22"/>
          <w:szCs w:val="22"/>
          <w:lang w:eastAsia="zh-CN"/>
        </w:rPr>
        <w:t xml:space="preserve">RAN observed </w:t>
      </w:r>
      <w:r>
        <w:rPr>
          <w:sz w:val="22"/>
          <w:szCs w:val="22"/>
          <w:lang w:eastAsia="zh-CN"/>
        </w:rPr>
        <w:t xml:space="preserve">that </w:t>
      </w:r>
      <w:r w:rsidRPr="00934397">
        <w:rPr>
          <w:sz w:val="22"/>
          <w:szCs w:val="22"/>
          <w:lang w:eastAsia="zh-CN"/>
        </w:rPr>
        <w:t>industrial desire that the target data rate should be the same no matter which architecture option is to be deployed.</w:t>
      </w:r>
      <w:r>
        <w:rPr>
          <w:sz w:val="22"/>
          <w:szCs w:val="22"/>
          <w:lang w:eastAsia="zh-CN"/>
        </w:rPr>
        <w:t xml:space="preserve"> As a part of the LS to RAN1 [1], RAN </w:t>
      </w:r>
      <w:r w:rsidRPr="00934397">
        <w:rPr>
          <w:sz w:val="22"/>
          <w:szCs w:val="22"/>
          <w:lang w:eastAsia="zh-CN"/>
        </w:rPr>
        <w:t>decided that the UE category is not signaled to the network and so there is no Access Stratum functional impact.</w:t>
      </w:r>
      <w:r>
        <w:rPr>
          <w:sz w:val="22"/>
          <w:szCs w:val="22"/>
          <w:lang w:eastAsia="zh-CN"/>
        </w:rPr>
        <w:t xml:space="preserve"> </w:t>
      </w:r>
      <w:r w:rsidRPr="00934397">
        <w:rPr>
          <w:sz w:val="22"/>
          <w:szCs w:val="22"/>
          <w:lang w:eastAsia="zh-CN"/>
        </w:rPr>
        <w:t>In addition to RAN2 decision on UE capability signaling and NR/ENDC UE categories, RAN will decide NR/ENDC UE category definition. The exact peak data rate corresponding to the NR/ENDC UE category calculation will be left to RAN1 discussion.</w:t>
      </w:r>
    </w:p>
    <w:p w14:paraId="170FB884" w14:textId="6AAAE3A3" w:rsidR="00934397" w:rsidRDefault="00934397" w:rsidP="00934397">
      <w:pPr>
        <w:ind w:firstLine="288"/>
        <w:rPr>
          <w:sz w:val="22"/>
          <w:szCs w:val="22"/>
          <w:lang w:eastAsia="zh-CN"/>
        </w:rPr>
      </w:pPr>
      <w:r>
        <w:rPr>
          <w:sz w:val="22"/>
          <w:szCs w:val="22"/>
          <w:lang w:eastAsia="zh-CN"/>
        </w:rPr>
        <w:t>RAN1 has done it diligence and provide</w:t>
      </w:r>
      <w:r w:rsidR="00E1661F">
        <w:rPr>
          <w:sz w:val="22"/>
          <w:szCs w:val="22"/>
          <w:lang w:eastAsia="zh-CN"/>
        </w:rPr>
        <w:t>d</w:t>
      </w:r>
      <w:r>
        <w:rPr>
          <w:sz w:val="22"/>
          <w:szCs w:val="22"/>
          <w:lang w:eastAsia="zh-CN"/>
        </w:rPr>
        <w:t xml:space="preserve"> RAN and RAN2 with peak data rate definitions and its related capability signaling in [2] and [3], respectively. From our understanding, the UE capability signaling related to NR peak data rate is stable. However, UE category discussion, in which RAN has agreed to define UE categories has not progressed </w:t>
      </w:r>
      <w:r w:rsidR="00E1661F">
        <w:rPr>
          <w:sz w:val="22"/>
          <w:szCs w:val="22"/>
          <w:lang w:eastAsia="zh-CN"/>
        </w:rPr>
        <w:t>much</w:t>
      </w:r>
      <w:r>
        <w:rPr>
          <w:sz w:val="22"/>
          <w:szCs w:val="22"/>
          <w:lang w:eastAsia="zh-CN"/>
        </w:rPr>
        <w:t>.</w:t>
      </w:r>
    </w:p>
    <w:p w14:paraId="503ECB6D" w14:textId="74A4BA47" w:rsidR="00934397" w:rsidRPr="009B29DA" w:rsidRDefault="00934397" w:rsidP="00934397">
      <w:pPr>
        <w:ind w:firstLine="288"/>
        <w:rPr>
          <w:sz w:val="22"/>
          <w:szCs w:val="22"/>
          <w:lang w:eastAsia="zh-CN"/>
        </w:rPr>
      </w:pPr>
      <w:r>
        <w:rPr>
          <w:sz w:val="22"/>
          <w:szCs w:val="22"/>
          <w:lang w:eastAsia="zh-CN"/>
        </w:rPr>
        <w:t xml:space="preserve">In this contribution, we discuss Intel’s views </w:t>
      </w:r>
      <w:r w:rsidR="00495482">
        <w:rPr>
          <w:sz w:val="22"/>
          <w:szCs w:val="22"/>
          <w:lang w:eastAsia="zh-CN"/>
        </w:rPr>
        <w:t xml:space="preserve">and proposals </w:t>
      </w:r>
      <w:r>
        <w:rPr>
          <w:sz w:val="22"/>
          <w:szCs w:val="22"/>
          <w:lang w:eastAsia="zh-CN"/>
        </w:rPr>
        <w:t>on NR UE categor</w:t>
      </w:r>
      <w:r w:rsidR="00495482">
        <w:rPr>
          <w:sz w:val="22"/>
          <w:szCs w:val="22"/>
          <w:lang w:eastAsia="zh-CN"/>
        </w:rPr>
        <w:t>ies.</w:t>
      </w:r>
    </w:p>
    <w:p w14:paraId="57F211CA" w14:textId="77777777" w:rsidR="00211092" w:rsidRDefault="00211092" w:rsidP="00192DE2">
      <w:pPr>
        <w:ind w:firstLine="288"/>
        <w:rPr>
          <w:sz w:val="22"/>
          <w:szCs w:val="22"/>
          <w:lang w:eastAsia="zh-CN"/>
        </w:rPr>
      </w:pPr>
    </w:p>
    <w:p w14:paraId="0790129A" w14:textId="4DE8AA95" w:rsidR="00700F43" w:rsidRPr="009B29DA" w:rsidRDefault="00C103C4" w:rsidP="00700F43">
      <w:pPr>
        <w:pStyle w:val="Heading1"/>
        <w:numPr>
          <w:ilvl w:val="0"/>
          <w:numId w:val="2"/>
        </w:numPr>
        <w:ind w:left="360"/>
        <w:rPr>
          <w:rFonts w:cs="Arial"/>
          <w:sz w:val="32"/>
          <w:szCs w:val="32"/>
          <w:lang w:val="en-US"/>
        </w:rPr>
      </w:pPr>
      <w:r>
        <w:rPr>
          <w:rFonts w:cs="Arial"/>
          <w:sz w:val="32"/>
          <w:szCs w:val="32"/>
          <w:lang w:val="en-US"/>
        </w:rPr>
        <w:t>UE Categories for NR</w:t>
      </w:r>
    </w:p>
    <w:p w14:paraId="42CA3626" w14:textId="4956B4B2" w:rsidR="00FE2E2C" w:rsidRDefault="00365434" w:rsidP="00365434">
      <w:pPr>
        <w:ind w:firstLine="288"/>
        <w:rPr>
          <w:bCs/>
          <w:sz w:val="22"/>
          <w:lang w:eastAsia="zh-CN"/>
        </w:rPr>
      </w:pPr>
      <w:r>
        <w:rPr>
          <w:bCs/>
          <w:sz w:val="22"/>
          <w:lang w:eastAsia="zh-CN"/>
        </w:rPr>
        <w:t>UE category has been discussed since RAN #77 and moderated email discussion took place in RAN #79 [4] and RAN #80 [5]</w:t>
      </w:r>
      <w:r w:rsidR="00C674EA">
        <w:rPr>
          <w:bCs/>
          <w:sz w:val="22"/>
          <w:lang w:eastAsia="zh-CN"/>
        </w:rPr>
        <w:t>.</w:t>
      </w:r>
      <w:r>
        <w:rPr>
          <w:bCs/>
          <w:sz w:val="22"/>
          <w:lang w:eastAsia="zh-CN"/>
        </w:rPr>
        <w:t xml:space="preserve"> However, no progress has been made due to diverse view on the subject. One of the biggest problems of UE category, which is primary based on supported peak data rate, is the granularity of the specified peak data rates and whether the specified UE categories and its associated peak data rate can properly represent class of UEs that vendors wish to implement and market. From the discussions so far, it </w:t>
      </w:r>
      <w:r w:rsidR="00E1661F">
        <w:rPr>
          <w:bCs/>
          <w:sz w:val="22"/>
          <w:lang w:eastAsia="zh-CN"/>
        </w:rPr>
        <w:t xml:space="preserve">is </w:t>
      </w:r>
      <w:r>
        <w:rPr>
          <w:bCs/>
          <w:sz w:val="22"/>
          <w:lang w:eastAsia="zh-CN"/>
        </w:rPr>
        <w:t xml:space="preserve">clear that many operators and vendors </w:t>
      </w:r>
      <w:r w:rsidR="00E1661F">
        <w:rPr>
          <w:bCs/>
          <w:sz w:val="22"/>
          <w:lang w:eastAsia="zh-CN"/>
        </w:rPr>
        <w:t xml:space="preserve">do </w:t>
      </w:r>
      <w:r>
        <w:rPr>
          <w:bCs/>
          <w:sz w:val="22"/>
          <w:lang w:eastAsia="zh-CN"/>
        </w:rPr>
        <w:t>not wish to have numerous NR UE categories. This seems to the common theme based on learnings from the maintenance and defining new LTE UE categories, which were always difficult and challenging for all companies.</w:t>
      </w:r>
    </w:p>
    <w:p w14:paraId="75836913" w14:textId="0753790E" w:rsidR="00365434" w:rsidRDefault="00365434" w:rsidP="00365434">
      <w:pPr>
        <w:ind w:firstLine="288"/>
        <w:rPr>
          <w:bCs/>
          <w:sz w:val="22"/>
          <w:lang w:eastAsia="zh-CN"/>
        </w:rPr>
      </w:pPr>
      <w:r>
        <w:rPr>
          <w:bCs/>
          <w:sz w:val="22"/>
          <w:lang w:eastAsia="zh-CN"/>
        </w:rPr>
        <w:t xml:space="preserve">However, </w:t>
      </w:r>
      <w:r w:rsidR="00ED3811">
        <w:rPr>
          <w:bCs/>
          <w:sz w:val="22"/>
          <w:lang w:eastAsia="zh-CN"/>
        </w:rPr>
        <w:t>having too coarse UE categories could in fact have negative impact to the UE ecosystem. If there are one UE category for 1Gbps and another UE category for 5Gbps, and UE vendors are not allowed other options for marketing, UE vendors would have significant implementation challenges to build UEs to have leap performance gaps. Furthermore, each UE vendors would have less incentive to build more competitive products in each product cycle due to large leap gaps in UE categories.</w:t>
      </w:r>
    </w:p>
    <w:p w14:paraId="3E4036AC" w14:textId="1E5EDE24" w:rsidR="00ED3811" w:rsidRDefault="00ED3811" w:rsidP="00ED3811">
      <w:pPr>
        <w:ind w:firstLine="288"/>
        <w:rPr>
          <w:bCs/>
          <w:sz w:val="22"/>
          <w:lang w:eastAsia="zh-CN"/>
        </w:rPr>
      </w:pPr>
      <w:r>
        <w:rPr>
          <w:bCs/>
          <w:sz w:val="22"/>
          <w:lang w:eastAsia="zh-CN"/>
        </w:rPr>
        <w:t xml:space="preserve">Additionally, it is not clear how </w:t>
      </w:r>
      <w:r w:rsidR="00474D51">
        <w:rPr>
          <w:bCs/>
          <w:sz w:val="22"/>
          <w:lang w:eastAsia="zh-CN"/>
        </w:rPr>
        <w:t xml:space="preserve">the </w:t>
      </w:r>
      <w:r>
        <w:rPr>
          <w:bCs/>
          <w:sz w:val="22"/>
          <w:lang w:eastAsia="zh-CN"/>
        </w:rPr>
        <w:t xml:space="preserve">relationship between the NR peak data supported by the UE through UE capability signaling and the UE category that is only for marketing purposes will play out. Even if UE categories are defined for marketing purposes such that consumers can identify certain features of the UE, UE vendors should also have the freedom to advertise the peak data rate the device could support on top of the UE category. This is simply because the coarse UE categories would never be able to correct capture the peak data rates that could be supported </w:t>
      </w:r>
      <w:r w:rsidR="00883D8D">
        <w:rPr>
          <w:bCs/>
          <w:sz w:val="22"/>
          <w:lang w:eastAsia="zh-CN"/>
        </w:rPr>
        <w:t xml:space="preserve">by the UE. For example, assuming UE supports CA in FR2 with 120kHz subcarrier spacing each CC with 100MHz and 2 layers per CC. Even for this simply setup, the capability signaling allows UE to </w:t>
      </w:r>
      <w:r w:rsidR="00883D8D">
        <w:rPr>
          <w:bCs/>
          <w:sz w:val="22"/>
          <w:lang w:eastAsia="zh-CN"/>
        </w:rPr>
        <w:lastRenderedPageBreak/>
        <w:t xml:space="preserve">provide peak data rate from 0.3 Gbps to all the way to 6.5 Gbps. Table 1 shows the various peak data rate depending on number of supported CC and scaling factor. </w:t>
      </w:r>
    </w:p>
    <w:p w14:paraId="71B79434" w14:textId="1FEA6CFB" w:rsidR="00883D8D" w:rsidRDefault="00883D8D" w:rsidP="00883D8D">
      <w:pPr>
        <w:pStyle w:val="Caption"/>
        <w:keepNext/>
        <w:jc w:val="center"/>
      </w:pPr>
      <w:r>
        <w:t xml:space="preserve">Table </w:t>
      </w:r>
      <w:r w:rsidR="00027CBC">
        <w:fldChar w:fldCharType="begin"/>
      </w:r>
      <w:r w:rsidR="00027CBC">
        <w:instrText xml:space="preserve"> SEQ Table \* ARABIC </w:instrText>
      </w:r>
      <w:r w:rsidR="00027CBC">
        <w:fldChar w:fldCharType="separate"/>
      </w:r>
      <w:r>
        <w:rPr>
          <w:noProof/>
        </w:rPr>
        <w:t>1</w:t>
      </w:r>
      <w:r w:rsidR="00027CBC">
        <w:rPr>
          <w:noProof/>
        </w:rPr>
        <w:fldChar w:fldCharType="end"/>
      </w:r>
      <w:r>
        <w:t>. NR peak data rate 120kHz subcarrier spacing and each CC with 100MHz using up to 2 MIMO layers.</w:t>
      </w:r>
    </w:p>
    <w:tbl>
      <w:tblPr>
        <w:tblW w:w="7716" w:type="dxa"/>
        <w:jc w:val="center"/>
        <w:tblLook w:val="04A0" w:firstRow="1" w:lastRow="0" w:firstColumn="1" w:lastColumn="0" w:noHBand="0" w:noVBand="1"/>
      </w:tblPr>
      <w:tblGrid>
        <w:gridCol w:w="685"/>
        <w:gridCol w:w="1235"/>
        <w:gridCol w:w="966"/>
        <w:gridCol w:w="966"/>
        <w:gridCol w:w="966"/>
        <w:gridCol w:w="966"/>
        <w:gridCol w:w="966"/>
        <w:gridCol w:w="966"/>
      </w:tblGrid>
      <w:tr w:rsidR="00883D8D" w:rsidRPr="00883D8D" w14:paraId="5D11B6A1" w14:textId="42DD6B1C" w:rsidTr="00883D8D">
        <w:trPr>
          <w:trHeight w:val="300"/>
          <w:jc w:val="center"/>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000000" w:fill="FFF2CC"/>
            <w:noWrap/>
            <w:vAlign w:val="center"/>
            <w:hideMark/>
          </w:tcPr>
          <w:p w14:paraId="4CFF7B1E" w14:textId="77777777" w:rsidR="00883D8D" w:rsidRPr="00883D8D" w:rsidRDefault="00883D8D" w:rsidP="00883D8D">
            <w:pPr>
              <w:overflowPunct/>
              <w:autoSpaceDE/>
              <w:autoSpaceDN/>
              <w:adjustRightInd/>
              <w:spacing w:after="0"/>
              <w:jc w:val="center"/>
              <w:textAlignment w:val="auto"/>
              <w:rPr>
                <w:rFonts w:eastAsia="Times New Roman"/>
                <w:b/>
                <w:bCs/>
                <w:color w:val="000000"/>
                <w:lang w:eastAsia="ko-KR"/>
              </w:rPr>
            </w:pPr>
            <w:r w:rsidRPr="00883D8D">
              <w:rPr>
                <w:rFonts w:eastAsia="Times New Roman"/>
                <w:b/>
                <w:bCs/>
                <w:color w:val="000000"/>
                <w:lang w:eastAsia="ko-KR"/>
              </w:rPr>
              <w:t>NR [Gbps]</w:t>
            </w:r>
          </w:p>
        </w:tc>
        <w:tc>
          <w:tcPr>
            <w:tcW w:w="5796" w:type="dxa"/>
            <w:gridSpan w:val="6"/>
            <w:tcBorders>
              <w:top w:val="single" w:sz="4" w:space="0" w:color="auto"/>
              <w:left w:val="nil"/>
              <w:bottom w:val="single" w:sz="4" w:space="0" w:color="auto"/>
              <w:right w:val="single" w:sz="4" w:space="0" w:color="auto"/>
            </w:tcBorders>
            <w:shd w:val="clear" w:color="000000" w:fill="FFF2CC"/>
            <w:noWrap/>
            <w:vAlign w:val="bottom"/>
            <w:hideMark/>
          </w:tcPr>
          <w:p w14:paraId="0023160E" w14:textId="77777777" w:rsidR="00883D8D" w:rsidRPr="00883D8D" w:rsidRDefault="00883D8D" w:rsidP="00883D8D">
            <w:pPr>
              <w:overflowPunct/>
              <w:autoSpaceDE/>
              <w:autoSpaceDN/>
              <w:adjustRightInd/>
              <w:spacing w:after="0"/>
              <w:jc w:val="center"/>
              <w:textAlignment w:val="auto"/>
              <w:rPr>
                <w:rFonts w:eastAsia="Times New Roman"/>
                <w:b/>
                <w:bCs/>
                <w:color w:val="000000"/>
                <w:lang w:eastAsia="ko-KR"/>
              </w:rPr>
            </w:pPr>
            <w:r w:rsidRPr="00883D8D">
              <w:rPr>
                <w:rFonts w:eastAsia="Times New Roman"/>
                <w:b/>
                <w:bCs/>
                <w:color w:val="000000"/>
                <w:lang w:eastAsia="ko-KR"/>
              </w:rPr>
              <w:t>#CC</w:t>
            </w:r>
          </w:p>
        </w:tc>
      </w:tr>
      <w:tr w:rsidR="00883D8D" w:rsidRPr="00883D8D" w14:paraId="2C07ED73" w14:textId="77777777" w:rsidTr="00883D8D">
        <w:trPr>
          <w:trHeight w:val="300"/>
          <w:jc w:val="center"/>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0B982A64" w14:textId="77777777" w:rsidR="00883D8D" w:rsidRPr="00883D8D" w:rsidRDefault="00883D8D" w:rsidP="00883D8D">
            <w:pPr>
              <w:overflowPunct/>
              <w:autoSpaceDE/>
              <w:autoSpaceDN/>
              <w:adjustRightInd/>
              <w:spacing w:after="0"/>
              <w:textAlignment w:val="auto"/>
              <w:rPr>
                <w:rFonts w:eastAsia="Times New Roman"/>
                <w:b/>
                <w:bCs/>
                <w:color w:val="000000"/>
                <w:lang w:eastAsia="ko-KR"/>
              </w:rPr>
            </w:pPr>
          </w:p>
        </w:tc>
        <w:tc>
          <w:tcPr>
            <w:tcW w:w="966" w:type="dxa"/>
            <w:tcBorders>
              <w:top w:val="nil"/>
              <w:left w:val="nil"/>
              <w:bottom w:val="single" w:sz="4" w:space="0" w:color="auto"/>
              <w:right w:val="single" w:sz="4" w:space="0" w:color="auto"/>
            </w:tcBorders>
            <w:shd w:val="clear" w:color="000000" w:fill="FFF2CC"/>
            <w:noWrap/>
            <w:vAlign w:val="bottom"/>
            <w:hideMark/>
          </w:tcPr>
          <w:p w14:paraId="679EEF67" w14:textId="77777777" w:rsidR="00883D8D" w:rsidRPr="00883D8D" w:rsidRDefault="00883D8D" w:rsidP="00883D8D">
            <w:pPr>
              <w:overflowPunct/>
              <w:autoSpaceDE/>
              <w:autoSpaceDN/>
              <w:adjustRightInd/>
              <w:spacing w:after="0"/>
              <w:jc w:val="right"/>
              <w:textAlignment w:val="auto"/>
              <w:rPr>
                <w:rFonts w:eastAsia="Times New Roman"/>
                <w:b/>
                <w:bCs/>
                <w:color w:val="000000"/>
                <w:lang w:eastAsia="ko-KR"/>
              </w:rPr>
            </w:pPr>
            <w:r w:rsidRPr="00883D8D">
              <w:rPr>
                <w:rFonts w:eastAsia="Times New Roman"/>
                <w:b/>
                <w:bCs/>
                <w:color w:val="000000"/>
                <w:lang w:eastAsia="ko-KR"/>
              </w:rPr>
              <w:t>1</w:t>
            </w:r>
          </w:p>
        </w:tc>
        <w:tc>
          <w:tcPr>
            <w:tcW w:w="966" w:type="dxa"/>
            <w:tcBorders>
              <w:top w:val="nil"/>
              <w:left w:val="nil"/>
              <w:bottom w:val="single" w:sz="4" w:space="0" w:color="auto"/>
              <w:right w:val="single" w:sz="4" w:space="0" w:color="auto"/>
            </w:tcBorders>
            <w:shd w:val="clear" w:color="000000" w:fill="FFF2CC"/>
            <w:noWrap/>
            <w:vAlign w:val="bottom"/>
            <w:hideMark/>
          </w:tcPr>
          <w:p w14:paraId="575341A5" w14:textId="77777777" w:rsidR="00883D8D" w:rsidRPr="00883D8D" w:rsidRDefault="00883D8D" w:rsidP="00883D8D">
            <w:pPr>
              <w:overflowPunct/>
              <w:autoSpaceDE/>
              <w:autoSpaceDN/>
              <w:adjustRightInd/>
              <w:spacing w:after="0"/>
              <w:jc w:val="right"/>
              <w:textAlignment w:val="auto"/>
              <w:rPr>
                <w:rFonts w:eastAsia="Times New Roman"/>
                <w:b/>
                <w:bCs/>
                <w:color w:val="000000"/>
                <w:lang w:eastAsia="ko-KR"/>
              </w:rPr>
            </w:pPr>
            <w:r w:rsidRPr="00883D8D">
              <w:rPr>
                <w:rFonts w:eastAsia="Times New Roman"/>
                <w:b/>
                <w:bCs/>
                <w:color w:val="000000"/>
                <w:lang w:eastAsia="ko-KR"/>
              </w:rPr>
              <w:t>2</w:t>
            </w:r>
          </w:p>
        </w:tc>
        <w:tc>
          <w:tcPr>
            <w:tcW w:w="966" w:type="dxa"/>
            <w:tcBorders>
              <w:top w:val="nil"/>
              <w:left w:val="nil"/>
              <w:bottom w:val="single" w:sz="4" w:space="0" w:color="auto"/>
              <w:right w:val="single" w:sz="4" w:space="0" w:color="auto"/>
            </w:tcBorders>
            <w:shd w:val="clear" w:color="000000" w:fill="FFF2CC"/>
            <w:noWrap/>
            <w:vAlign w:val="bottom"/>
            <w:hideMark/>
          </w:tcPr>
          <w:p w14:paraId="300A411E" w14:textId="77777777" w:rsidR="00883D8D" w:rsidRPr="00883D8D" w:rsidRDefault="00883D8D" w:rsidP="00883D8D">
            <w:pPr>
              <w:overflowPunct/>
              <w:autoSpaceDE/>
              <w:autoSpaceDN/>
              <w:adjustRightInd/>
              <w:spacing w:after="0"/>
              <w:jc w:val="right"/>
              <w:textAlignment w:val="auto"/>
              <w:rPr>
                <w:rFonts w:eastAsia="Times New Roman"/>
                <w:b/>
                <w:bCs/>
                <w:color w:val="000000"/>
                <w:lang w:eastAsia="ko-KR"/>
              </w:rPr>
            </w:pPr>
            <w:r w:rsidRPr="00883D8D">
              <w:rPr>
                <w:rFonts w:eastAsia="Times New Roman"/>
                <w:b/>
                <w:bCs/>
                <w:color w:val="000000"/>
                <w:lang w:eastAsia="ko-KR"/>
              </w:rPr>
              <w:t>3</w:t>
            </w:r>
          </w:p>
        </w:tc>
        <w:tc>
          <w:tcPr>
            <w:tcW w:w="966" w:type="dxa"/>
            <w:tcBorders>
              <w:top w:val="nil"/>
              <w:left w:val="nil"/>
              <w:bottom w:val="single" w:sz="4" w:space="0" w:color="auto"/>
              <w:right w:val="single" w:sz="4" w:space="0" w:color="auto"/>
            </w:tcBorders>
            <w:shd w:val="clear" w:color="000000" w:fill="FFF2CC"/>
            <w:noWrap/>
            <w:vAlign w:val="bottom"/>
            <w:hideMark/>
          </w:tcPr>
          <w:p w14:paraId="1470DE23" w14:textId="77777777" w:rsidR="00883D8D" w:rsidRPr="00883D8D" w:rsidRDefault="00883D8D" w:rsidP="00883D8D">
            <w:pPr>
              <w:overflowPunct/>
              <w:autoSpaceDE/>
              <w:autoSpaceDN/>
              <w:adjustRightInd/>
              <w:spacing w:after="0"/>
              <w:jc w:val="right"/>
              <w:textAlignment w:val="auto"/>
              <w:rPr>
                <w:rFonts w:eastAsia="Times New Roman"/>
                <w:b/>
                <w:bCs/>
                <w:color w:val="000000"/>
                <w:lang w:eastAsia="ko-KR"/>
              </w:rPr>
            </w:pPr>
            <w:r w:rsidRPr="00883D8D">
              <w:rPr>
                <w:rFonts w:eastAsia="Times New Roman"/>
                <w:b/>
                <w:bCs/>
                <w:color w:val="000000"/>
                <w:lang w:eastAsia="ko-KR"/>
              </w:rPr>
              <w:t>4</w:t>
            </w:r>
          </w:p>
        </w:tc>
        <w:tc>
          <w:tcPr>
            <w:tcW w:w="966" w:type="dxa"/>
            <w:tcBorders>
              <w:top w:val="nil"/>
              <w:left w:val="nil"/>
              <w:bottom w:val="single" w:sz="4" w:space="0" w:color="auto"/>
              <w:right w:val="single" w:sz="4" w:space="0" w:color="auto"/>
            </w:tcBorders>
            <w:shd w:val="clear" w:color="000000" w:fill="FFF2CC"/>
            <w:noWrap/>
            <w:vAlign w:val="bottom"/>
            <w:hideMark/>
          </w:tcPr>
          <w:p w14:paraId="4906AE12" w14:textId="77777777" w:rsidR="00883D8D" w:rsidRPr="00883D8D" w:rsidRDefault="00883D8D" w:rsidP="00883D8D">
            <w:pPr>
              <w:overflowPunct/>
              <w:autoSpaceDE/>
              <w:autoSpaceDN/>
              <w:adjustRightInd/>
              <w:spacing w:after="0"/>
              <w:jc w:val="right"/>
              <w:textAlignment w:val="auto"/>
              <w:rPr>
                <w:rFonts w:eastAsia="Times New Roman"/>
                <w:b/>
                <w:bCs/>
                <w:color w:val="000000"/>
                <w:lang w:eastAsia="ko-KR"/>
              </w:rPr>
            </w:pPr>
            <w:r w:rsidRPr="00883D8D">
              <w:rPr>
                <w:rFonts w:eastAsia="Times New Roman"/>
                <w:b/>
                <w:bCs/>
                <w:color w:val="000000"/>
                <w:lang w:eastAsia="ko-KR"/>
              </w:rPr>
              <w:t>6</w:t>
            </w:r>
          </w:p>
        </w:tc>
        <w:tc>
          <w:tcPr>
            <w:tcW w:w="966" w:type="dxa"/>
            <w:tcBorders>
              <w:top w:val="nil"/>
              <w:left w:val="nil"/>
              <w:bottom w:val="single" w:sz="4" w:space="0" w:color="auto"/>
              <w:right w:val="single" w:sz="4" w:space="0" w:color="auto"/>
            </w:tcBorders>
            <w:shd w:val="clear" w:color="000000" w:fill="FFF2CC"/>
            <w:noWrap/>
            <w:vAlign w:val="bottom"/>
            <w:hideMark/>
          </w:tcPr>
          <w:p w14:paraId="2050BBB6" w14:textId="77777777" w:rsidR="00883D8D" w:rsidRPr="00883D8D" w:rsidRDefault="00883D8D" w:rsidP="00883D8D">
            <w:pPr>
              <w:overflowPunct/>
              <w:autoSpaceDE/>
              <w:autoSpaceDN/>
              <w:adjustRightInd/>
              <w:spacing w:after="0"/>
              <w:jc w:val="right"/>
              <w:textAlignment w:val="auto"/>
              <w:rPr>
                <w:rFonts w:eastAsia="Times New Roman"/>
                <w:b/>
                <w:bCs/>
                <w:color w:val="000000"/>
                <w:lang w:eastAsia="ko-KR"/>
              </w:rPr>
            </w:pPr>
            <w:r w:rsidRPr="00883D8D">
              <w:rPr>
                <w:rFonts w:eastAsia="Times New Roman"/>
                <w:b/>
                <w:bCs/>
                <w:color w:val="000000"/>
                <w:lang w:eastAsia="ko-KR"/>
              </w:rPr>
              <w:t>8</w:t>
            </w:r>
          </w:p>
        </w:tc>
      </w:tr>
      <w:tr w:rsidR="00883D8D" w:rsidRPr="00883D8D" w14:paraId="150E062E" w14:textId="77777777" w:rsidTr="00883D8D">
        <w:trPr>
          <w:trHeight w:val="300"/>
          <w:jc w:val="center"/>
        </w:trPr>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2D270C" w14:textId="77777777" w:rsidR="00883D8D" w:rsidRPr="00883D8D" w:rsidRDefault="00883D8D" w:rsidP="00883D8D">
            <w:pPr>
              <w:overflowPunct/>
              <w:autoSpaceDE/>
              <w:autoSpaceDN/>
              <w:adjustRightInd/>
              <w:spacing w:after="0"/>
              <w:jc w:val="center"/>
              <w:textAlignment w:val="auto"/>
              <w:rPr>
                <w:rFonts w:eastAsia="Times New Roman"/>
                <w:b/>
                <w:bCs/>
                <w:color w:val="000000"/>
                <w:lang w:eastAsia="ko-KR"/>
              </w:rPr>
            </w:pPr>
            <w:r w:rsidRPr="00883D8D">
              <w:rPr>
                <w:rFonts w:eastAsia="Times New Roman"/>
                <w:b/>
                <w:bCs/>
                <w:color w:val="000000"/>
                <w:lang w:eastAsia="ko-KR"/>
              </w:rPr>
              <w:t>SF</w:t>
            </w:r>
          </w:p>
        </w:tc>
        <w:tc>
          <w:tcPr>
            <w:tcW w:w="1235" w:type="dxa"/>
            <w:tcBorders>
              <w:top w:val="nil"/>
              <w:left w:val="nil"/>
              <w:bottom w:val="single" w:sz="4" w:space="0" w:color="auto"/>
              <w:right w:val="single" w:sz="4" w:space="0" w:color="auto"/>
            </w:tcBorders>
            <w:shd w:val="clear" w:color="auto" w:fill="auto"/>
            <w:noWrap/>
            <w:vAlign w:val="bottom"/>
            <w:hideMark/>
          </w:tcPr>
          <w:p w14:paraId="2A3FE222" w14:textId="77777777" w:rsidR="00883D8D" w:rsidRPr="00883D8D" w:rsidRDefault="00883D8D" w:rsidP="00883D8D">
            <w:pPr>
              <w:overflowPunct/>
              <w:autoSpaceDE/>
              <w:autoSpaceDN/>
              <w:adjustRightInd/>
              <w:spacing w:after="0"/>
              <w:jc w:val="right"/>
              <w:textAlignment w:val="auto"/>
              <w:rPr>
                <w:rFonts w:eastAsia="Times New Roman"/>
                <w:b/>
                <w:bCs/>
                <w:color w:val="000000"/>
                <w:lang w:eastAsia="ko-KR"/>
              </w:rPr>
            </w:pPr>
            <w:r w:rsidRPr="00883D8D">
              <w:rPr>
                <w:rFonts w:eastAsia="Times New Roman"/>
                <w:b/>
                <w:bCs/>
                <w:color w:val="000000"/>
                <w:lang w:eastAsia="ko-KR"/>
              </w:rPr>
              <w:t>1</w:t>
            </w:r>
          </w:p>
        </w:tc>
        <w:tc>
          <w:tcPr>
            <w:tcW w:w="966" w:type="dxa"/>
            <w:tcBorders>
              <w:top w:val="nil"/>
              <w:left w:val="nil"/>
              <w:bottom w:val="single" w:sz="4" w:space="0" w:color="auto"/>
              <w:right w:val="single" w:sz="4" w:space="0" w:color="auto"/>
            </w:tcBorders>
            <w:shd w:val="clear" w:color="auto" w:fill="auto"/>
            <w:noWrap/>
            <w:vAlign w:val="bottom"/>
            <w:hideMark/>
          </w:tcPr>
          <w:p w14:paraId="6FD305F8"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0.808066</w:t>
            </w:r>
          </w:p>
        </w:tc>
        <w:tc>
          <w:tcPr>
            <w:tcW w:w="966" w:type="dxa"/>
            <w:tcBorders>
              <w:top w:val="nil"/>
              <w:left w:val="nil"/>
              <w:bottom w:val="single" w:sz="4" w:space="0" w:color="auto"/>
              <w:right w:val="single" w:sz="4" w:space="0" w:color="auto"/>
            </w:tcBorders>
            <w:shd w:val="clear" w:color="auto" w:fill="auto"/>
            <w:noWrap/>
            <w:vAlign w:val="bottom"/>
            <w:hideMark/>
          </w:tcPr>
          <w:p w14:paraId="0D98F036"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1.616131</w:t>
            </w:r>
          </w:p>
        </w:tc>
        <w:tc>
          <w:tcPr>
            <w:tcW w:w="966" w:type="dxa"/>
            <w:tcBorders>
              <w:top w:val="nil"/>
              <w:left w:val="nil"/>
              <w:bottom w:val="single" w:sz="4" w:space="0" w:color="auto"/>
              <w:right w:val="single" w:sz="4" w:space="0" w:color="auto"/>
            </w:tcBorders>
            <w:shd w:val="clear" w:color="auto" w:fill="auto"/>
            <w:noWrap/>
            <w:vAlign w:val="bottom"/>
            <w:hideMark/>
          </w:tcPr>
          <w:p w14:paraId="3F43F77F"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2.424197</w:t>
            </w:r>
          </w:p>
        </w:tc>
        <w:tc>
          <w:tcPr>
            <w:tcW w:w="966" w:type="dxa"/>
            <w:tcBorders>
              <w:top w:val="nil"/>
              <w:left w:val="nil"/>
              <w:bottom w:val="single" w:sz="4" w:space="0" w:color="auto"/>
              <w:right w:val="single" w:sz="4" w:space="0" w:color="auto"/>
            </w:tcBorders>
            <w:shd w:val="clear" w:color="auto" w:fill="auto"/>
            <w:noWrap/>
            <w:vAlign w:val="bottom"/>
            <w:hideMark/>
          </w:tcPr>
          <w:p w14:paraId="2D7A9F9A"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3.232263</w:t>
            </w:r>
          </w:p>
        </w:tc>
        <w:tc>
          <w:tcPr>
            <w:tcW w:w="966" w:type="dxa"/>
            <w:tcBorders>
              <w:top w:val="nil"/>
              <w:left w:val="nil"/>
              <w:bottom w:val="single" w:sz="4" w:space="0" w:color="auto"/>
              <w:right w:val="single" w:sz="4" w:space="0" w:color="auto"/>
            </w:tcBorders>
            <w:shd w:val="clear" w:color="auto" w:fill="auto"/>
            <w:noWrap/>
            <w:vAlign w:val="bottom"/>
            <w:hideMark/>
          </w:tcPr>
          <w:p w14:paraId="54498FF7"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4.848394</w:t>
            </w:r>
          </w:p>
        </w:tc>
        <w:tc>
          <w:tcPr>
            <w:tcW w:w="966" w:type="dxa"/>
            <w:tcBorders>
              <w:top w:val="nil"/>
              <w:left w:val="nil"/>
              <w:bottom w:val="single" w:sz="4" w:space="0" w:color="auto"/>
              <w:right w:val="single" w:sz="4" w:space="0" w:color="auto"/>
            </w:tcBorders>
            <w:shd w:val="clear" w:color="auto" w:fill="auto"/>
            <w:noWrap/>
            <w:vAlign w:val="bottom"/>
            <w:hideMark/>
          </w:tcPr>
          <w:p w14:paraId="2524D957"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6.464526</w:t>
            </w:r>
          </w:p>
        </w:tc>
      </w:tr>
      <w:tr w:rsidR="00883D8D" w:rsidRPr="00883D8D" w14:paraId="39516555" w14:textId="77777777" w:rsidTr="00883D8D">
        <w:trPr>
          <w:trHeight w:val="300"/>
          <w:jc w:val="center"/>
        </w:trPr>
        <w:tc>
          <w:tcPr>
            <w:tcW w:w="685" w:type="dxa"/>
            <w:vMerge/>
            <w:tcBorders>
              <w:top w:val="nil"/>
              <w:left w:val="single" w:sz="4" w:space="0" w:color="auto"/>
              <w:bottom w:val="single" w:sz="4" w:space="0" w:color="auto"/>
              <w:right w:val="single" w:sz="4" w:space="0" w:color="auto"/>
            </w:tcBorders>
            <w:vAlign w:val="center"/>
            <w:hideMark/>
          </w:tcPr>
          <w:p w14:paraId="560FC211" w14:textId="77777777" w:rsidR="00883D8D" w:rsidRPr="00883D8D" w:rsidRDefault="00883D8D" w:rsidP="00883D8D">
            <w:pPr>
              <w:overflowPunct/>
              <w:autoSpaceDE/>
              <w:autoSpaceDN/>
              <w:adjustRightInd/>
              <w:spacing w:after="0"/>
              <w:textAlignment w:val="auto"/>
              <w:rPr>
                <w:rFonts w:eastAsia="Times New Roman"/>
                <w:b/>
                <w:bCs/>
                <w:color w:val="000000"/>
                <w:lang w:eastAsia="ko-KR"/>
              </w:rPr>
            </w:pPr>
          </w:p>
        </w:tc>
        <w:tc>
          <w:tcPr>
            <w:tcW w:w="1235" w:type="dxa"/>
            <w:tcBorders>
              <w:top w:val="nil"/>
              <w:left w:val="nil"/>
              <w:bottom w:val="single" w:sz="4" w:space="0" w:color="auto"/>
              <w:right w:val="single" w:sz="4" w:space="0" w:color="auto"/>
            </w:tcBorders>
            <w:shd w:val="clear" w:color="auto" w:fill="auto"/>
            <w:noWrap/>
            <w:vAlign w:val="bottom"/>
            <w:hideMark/>
          </w:tcPr>
          <w:p w14:paraId="3594D839" w14:textId="77777777" w:rsidR="00883D8D" w:rsidRPr="00883D8D" w:rsidRDefault="00883D8D" w:rsidP="00883D8D">
            <w:pPr>
              <w:overflowPunct/>
              <w:autoSpaceDE/>
              <w:autoSpaceDN/>
              <w:adjustRightInd/>
              <w:spacing w:after="0"/>
              <w:jc w:val="right"/>
              <w:textAlignment w:val="auto"/>
              <w:rPr>
                <w:rFonts w:eastAsia="Times New Roman"/>
                <w:b/>
                <w:bCs/>
                <w:color w:val="000000"/>
                <w:lang w:eastAsia="ko-KR"/>
              </w:rPr>
            </w:pPr>
            <w:r w:rsidRPr="00883D8D">
              <w:rPr>
                <w:rFonts w:eastAsia="Times New Roman"/>
                <w:b/>
                <w:bCs/>
                <w:color w:val="000000"/>
                <w:lang w:eastAsia="ko-KR"/>
              </w:rPr>
              <w:t>0.8</w:t>
            </w:r>
          </w:p>
        </w:tc>
        <w:tc>
          <w:tcPr>
            <w:tcW w:w="966" w:type="dxa"/>
            <w:tcBorders>
              <w:top w:val="nil"/>
              <w:left w:val="nil"/>
              <w:bottom w:val="single" w:sz="4" w:space="0" w:color="auto"/>
              <w:right w:val="single" w:sz="4" w:space="0" w:color="auto"/>
            </w:tcBorders>
            <w:shd w:val="clear" w:color="auto" w:fill="auto"/>
            <w:noWrap/>
            <w:vAlign w:val="bottom"/>
            <w:hideMark/>
          </w:tcPr>
          <w:p w14:paraId="2A37D894"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0.646453</w:t>
            </w:r>
          </w:p>
        </w:tc>
        <w:tc>
          <w:tcPr>
            <w:tcW w:w="966" w:type="dxa"/>
            <w:tcBorders>
              <w:top w:val="nil"/>
              <w:left w:val="nil"/>
              <w:bottom w:val="single" w:sz="4" w:space="0" w:color="auto"/>
              <w:right w:val="single" w:sz="4" w:space="0" w:color="auto"/>
            </w:tcBorders>
            <w:shd w:val="clear" w:color="auto" w:fill="auto"/>
            <w:noWrap/>
            <w:vAlign w:val="bottom"/>
            <w:hideMark/>
          </w:tcPr>
          <w:p w14:paraId="3B7C5F63"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1.292905</w:t>
            </w:r>
          </w:p>
        </w:tc>
        <w:tc>
          <w:tcPr>
            <w:tcW w:w="966" w:type="dxa"/>
            <w:tcBorders>
              <w:top w:val="nil"/>
              <w:left w:val="nil"/>
              <w:bottom w:val="single" w:sz="4" w:space="0" w:color="auto"/>
              <w:right w:val="single" w:sz="4" w:space="0" w:color="auto"/>
            </w:tcBorders>
            <w:shd w:val="clear" w:color="auto" w:fill="auto"/>
            <w:noWrap/>
            <w:vAlign w:val="bottom"/>
            <w:hideMark/>
          </w:tcPr>
          <w:p w14:paraId="2D642698"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1.939358</w:t>
            </w:r>
          </w:p>
        </w:tc>
        <w:tc>
          <w:tcPr>
            <w:tcW w:w="966" w:type="dxa"/>
            <w:tcBorders>
              <w:top w:val="nil"/>
              <w:left w:val="nil"/>
              <w:bottom w:val="single" w:sz="4" w:space="0" w:color="auto"/>
              <w:right w:val="single" w:sz="4" w:space="0" w:color="auto"/>
            </w:tcBorders>
            <w:shd w:val="clear" w:color="auto" w:fill="auto"/>
            <w:noWrap/>
            <w:vAlign w:val="bottom"/>
            <w:hideMark/>
          </w:tcPr>
          <w:p w14:paraId="76294F96"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2.58581</w:t>
            </w:r>
          </w:p>
        </w:tc>
        <w:tc>
          <w:tcPr>
            <w:tcW w:w="966" w:type="dxa"/>
            <w:tcBorders>
              <w:top w:val="nil"/>
              <w:left w:val="nil"/>
              <w:bottom w:val="single" w:sz="4" w:space="0" w:color="auto"/>
              <w:right w:val="single" w:sz="4" w:space="0" w:color="auto"/>
            </w:tcBorders>
            <w:shd w:val="clear" w:color="auto" w:fill="auto"/>
            <w:noWrap/>
            <w:vAlign w:val="bottom"/>
            <w:hideMark/>
          </w:tcPr>
          <w:p w14:paraId="29DF1A71"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3.878715</w:t>
            </w:r>
          </w:p>
        </w:tc>
        <w:tc>
          <w:tcPr>
            <w:tcW w:w="966" w:type="dxa"/>
            <w:tcBorders>
              <w:top w:val="nil"/>
              <w:left w:val="nil"/>
              <w:bottom w:val="single" w:sz="4" w:space="0" w:color="auto"/>
              <w:right w:val="single" w:sz="4" w:space="0" w:color="auto"/>
            </w:tcBorders>
            <w:shd w:val="clear" w:color="auto" w:fill="auto"/>
            <w:noWrap/>
            <w:vAlign w:val="bottom"/>
            <w:hideMark/>
          </w:tcPr>
          <w:p w14:paraId="6F0618B8"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5.171621</w:t>
            </w:r>
          </w:p>
        </w:tc>
      </w:tr>
      <w:tr w:rsidR="00883D8D" w:rsidRPr="00883D8D" w14:paraId="411E1827" w14:textId="77777777" w:rsidTr="00883D8D">
        <w:trPr>
          <w:trHeight w:val="300"/>
          <w:jc w:val="center"/>
        </w:trPr>
        <w:tc>
          <w:tcPr>
            <w:tcW w:w="685" w:type="dxa"/>
            <w:vMerge/>
            <w:tcBorders>
              <w:top w:val="nil"/>
              <w:left w:val="single" w:sz="4" w:space="0" w:color="auto"/>
              <w:bottom w:val="single" w:sz="4" w:space="0" w:color="auto"/>
              <w:right w:val="single" w:sz="4" w:space="0" w:color="auto"/>
            </w:tcBorders>
            <w:vAlign w:val="center"/>
            <w:hideMark/>
          </w:tcPr>
          <w:p w14:paraId="02A9525D" w14:textId="77777777" w:rsidR="00883D8D" w:rsidRPr="00883D8D" w:rsidRDefault="00883D8D" w:rsidP="00883D8D">
            <w:pPr>
              <w:overflowPunct/>
              <w:autoSpaceDE/>
              <w:autoSpaceDN/>
              <w:adjustRightInd/>
              <w:spacing w:after="0"/>
              <w:textAlignment w:val="auto"/>
              <w:rPr>
                <w:rFonts w:eastAsia="Times New Roman"/>
                <w:b/>
                <w:bCs/>
                <w:color w:val="000000"/>
                <w:lang w:eastAsia="ko-KR"/>
              </w:rPr>
            </w:pPr>
          </w:p>
        </w:tc>
        <w:tc>
          <w:tcPr>
            <w:tcW w:w="1235" w:type="dxa"/>
            <w:tcBorders>
              <w:top w:val="nil"/>
              <w:left w:val="nil"/>
              <w:bottom w:val="single" w:sz="4" w:space="0" w:color="auto"/>
              <w:right w:val="single" w:sz="4" w:space="0" w:color="auto"/>
            </w:tcBorders>
            <w:shd w:val="clear" w:color="auto" w:fill="auto"/>
            <w:noWrap/>
            <w:vAlign w:val="bottom"/>
            <w:hideMark/>
          </w:tcPr>
          <w:p w14:paraId="34C95D27" w14:textId="77777777" w:rsidR="00883D8D" w:rsidRPr="00883D8D" w:rsidRDefault="00883D8D" w:rsidP="00883D8D">
            <w:pPr>
              <w:overflowPunct/>
              <w:autoSpaceDE/>
              <w:autoSpaceDN/>
              <w:adjustRightInd/>
              <w:spacing w:after="0"/>
              <w:jc w:val="right"/>
              <w:textAlignment w:val="auto"/>
              <w:rPr>
                <w:rFonts w:eastAsia="Times New Roman"/>
                <w:b/>
                <w:bCs/>
                <w:color w:val="000000"/>
                <w:lang w:eastAsia="ko-KR"/>
              </w:rPr>
            </w:pPr>
            <w:r w:rsidRPr="00883D8D">
              <w:rPr>
                <w:rFonts w:eastAsia="Times New Roman"/>
                <w:b/>
                <w:bCs/>
                <w:color w:val="000000"/>
                <w:lang w:eastAsia="ko-KR"/>
              </w:rPr>
              <w:t>0.75</w:t>
            </w:r>
          </w:p>
        </w:tc>
        <w:tc>
          <w:tcPr>
            <w:tcW w:w="966" w:type="dxa"/>
            <w:tcBorders>
              <w:top w:val="nil"/>
              <w:left w:val="nil"/>
              <w:bottom w:val="single" w:sz="4" w:space="0" w:color="auto"/>
              <w:right w:val="single" w:sz="4" w:space="0" w:color="auto"/>
            </w:tcBorders>
            <w:shd w:val="clear" w:color="auto" w:fill="auto"/>
            <w:noWrap/>
            <w:vAlign w:val="bottom"/>
            <w:hideMark/>
          </w:tcPr>
          <w:p w14:paraId="2C0770D2"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0.606049</w:t>
            </w:r>
          </w:p>
        </w:tc>
        <w:tc>
          <w:tcPr>
            <w:tcW w:w="966" w:type="dxa"/>
            <w:tcBorders>
              <w:top w:val="nil"/>
              <w:left w:val="nil"/>
              <w:bottom w:val="single" w:sz="4" w:space="0" w:color="auto"/>
              <w:right w:val="single" w:sz="4" w:space="0" w:color="auto"/>
            </w:tcBorders>
            <w:shd w:val="clear" w:color="auto" w:fill="auto"/>
            <w:noWrap/>
            <w:vAlign w:val="bottom"/>
            <w:hideMark/>
          </w:tcPr>
          <w:p w14:paraId="347FF5FE"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1.212099</w:t>
            </w:r>
          </w:p>
        </w:tc>
        <w:tc>
          <w:tcPr>
            <w:tcW w:w="966" w:type="dxa"/>
            <w:tcBorders>
              <w:top w:val="nil"/>
              <w:left w:val="nil"/>
              <w:bottom w:val="single" w:sz="4" w:space="0" w:color="auto"/>
              <w:right w:val="single" w:sz="4" w:space="0" w:color="auto"/>
            </w:tcBorders>
            <w:shd w:val="clear" w:color="auto" w:fill="auto"/>
            <w:noWrap/>
            <w:vAlign w:val="bottom"/>
            <w:hideMark/>
          </w:tcPr>
          <w:p w14:paraId="2C0CD29D"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1.818148</w:t>
            </w:r>
          </w:p>
        </w:tc>
        <w:tc>
          <w:tcPr>
            <w:tcW w:w="966" w:type="dxa"/>
            <w:tcBorders>
              <w:top w:val="nil"/>
              <w:left w:val="nil"/>
              <w:bottom w:val="single" w:sz="4" w:space="0" w:color="auto"/>
              <w:right w:val="single" w:sz="4" w:space="0" w:color="auto"/>
            </w:tcBorders>
            <w:shd w:val="clear" w:color="auto" w:fill="auto"/>
            <w:noWrap/>
            <w:vAlign w:val="bottom"/>
            <w:hideMark/>
          </w:tcPr>
          <w:p w14:paraId="02F89380"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2.424197</w:t>
            </w:r>
          </w:p>
        </w:tc>
        <w:tc>
          <w:tcPr>
            <w:tcW w:w="966" w:type="dxa"/>
            <w:tcBorders>
              <w:top w:val="nil"/>
              <w:left w:val="nil"/>
              <w:bottom w:val="single" w:sz="4" w:space="0" w:color="auto"/>
              <w:right w:val="single" w:sz="4" w:space="0" w:color="auto"/>
            </w:tcBorders>
            <w:shd w:val="clear" w:color="auto" w:fill="auto"/>
            <w:noWrap/>
            <w:vAlign w:val="bottom"/>
            <w:hideMark/>
          </w:tcPr>
          <w:p w14:paraId="153F4D66"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3.636296</w:t>
            </w:r>
          </w:p>
        </w:tc>
        <w:tc>
          <w:tcPr>
            <w:tcW w:w="966" w:type="dxa"/>
            <w:tcBorders>
              <w:top w:val="nil"/>
              <w:left w:val="nil"/>
              <w:bottom w:val="single" w:sz="4" w:space="0" w:color="auto"/>
              <w:right w:val="single" w:sz="4" w:space="0" w:color="auto"/>
            </w:tcBorders>
            <w:shd w:val="clear" w:color="auto" w:fill="auto"/>
            <w:noWrap/>
            <w:vAlign w:val="bottom"/>
            <w:hideMark/>
          </w:tcPr>
          <w:p w14:paraId="388908DD"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4.848394</w:t>
            </w:r>
          </w:p>
        </w:tc>
      </w:tr>
      <w:tr w:rsidR="00883D8D" w:rsidRPr="00883D8D" w14:paraId="168301C2" w14:textId="77777777" w:rsidTr="00883D8D">
        <w:trPr>
          <w:trHeight w:val="300"/>
          <w:jc w:val="center"/>
        </w:trPr>
        <w:tc>
          <w:tcPr>
            <w:tcW w:w="685" w:type="dxa"/>
            <w:vMerge/>
            <w:tcBorders>
              <w:top w:val="nil"/>
              <w:left w:val="single" w:sz="4" w:space="0" w:color="auto"/>
              <w:bottom w:val="single" w:sz="4" w:space="0" w:color="auto"/>
              <w:right w:val="single" w:sz="4" w:space="0" w:color="auto"/>
            </w:tcBorders>
            <w:vAlign w:val="center"/>
            <w:hideMark/>
          </w:tcPr>
          <w:p w14:paraId="3A9175EC" w14:textId="77777777" w:rsidR="00883D8D" w:rsidRPr="00883D8D" w:rsidRDefault="00883D8D" w:rsidP="00883D8D">
            <w:pPr>
              <w:overflowPunct/>
              <w:autoSpaceDE/>
              <w:autoSpaceDN/>
              <w:adjustRightInd/>
              <w:spacing w:after="0"/>
              <w:textAlignment w:val="auto"/>
              <w:rPr>
                <w:rFonts w:eastAsia="Times New Roman"/>
                <w:b/>
                <w:bCs/>
                <w:color w:val="000000"/>
                <w:lang w:eastAsia="ko-KR"/>
              </w:rPr>
            </w:pPr>
          </w:p>
        </w:tc>
        <w:tc>
          <w:tcPr>
            <w:tcW w:w="1235" w:type="dxa"/>
            <w:tcBorders>
              <w:top w:val="nil"/>
              <w:left w:val="nil"/>
              <w:bottom w:val="single" w:sz="4" w:space="0" w:color="auto"/>
              <w:right w:val="single" w:sz="4" w:space="0" w:color="auto"/>
            </w:tcBorders>
            <w:shd w:val="clear" w:color="auto" w:fill="auto"/>
            <w:noWrap/>
            <w:vAlign w:val="bottom"/>
            <w:hideMark/>
          </w:tcPr>
          <w:p w14:paraId="7965ABD5" w14:textId="77777777" w:rsidR="00883D8D" w:rsidRPr="00883D8D" w:rsidRDefault="00883D8D" w:rsidP="00883D8D">
            <w:pPr>
              <w:overflowPunct/>
              <w:autoSpaceDE/>
              <w:autoSpaceDN/>
              <w:adjustRightInd/>
              <w:spacing w:after="0"/>
              <w:jc w:val="right"/>
              <w:textAlignment w:val="auto"/>
              <w:rPr>
                <w:rFonts w:eastAsia="Times New Roman"/>
                <w:b/>
                <w:bCs/>
                <w:color w:val="000000"/>
                <w:lang w:eastAsia="ko-KR"/>
              </w:rPr>
            </w:pPr>
            <w:r w:rsidRPr="00883D8D">
              <w:rPr>
                <w:rFonts w:eastAsia="Times New Roman"/>
                <w:b/>
                <w:bCs/>
                <w:color w:val="000000"/>
                <w:lang w:eastAsia="ko-KR"/>
              </w:rPr>
              <w:t>0.4</w:t>
            </w:r>
          </w:p>
        </w:tc>
        <w:tc>
          <w:tcPr>
            <w:tcW w:w="966" w:type="dxa"/>
            <w:tcBorders>
              <w:top w:val="nil"/>
              <w:left w:val="nil"/>
              <w:bottom w:val="single" w:sz="4" w:space="0" w:color="auto"/>
              <w:right w:val="single" w:sz="4" w:space="0" w:color="auto"/>
            </w:tcBorders>
            <w:shd w:val="clear" w:color="auto" w:fill="auto"/>
            <w:noWrap/>
            <w:vAlign w:val="bottom"/>
            <w:hideMark/>
          </w:tcPr>
          <w:p w14:paraId="4C7E070F"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0.323226</w:t>
            </w:r>
          </w:p>
        </w:tc>
        <w:tc>
          <w:tcPr>
            <w:tcW w:w="966" w:type="dxa"/>
            <w:tcBorders>
              <w:top w:val="nil"/>
              <w:left w:val="nil"/>
              <w:bottom w:val="single" w:sz="4" w:space="0" w:color="auto"/>
              <w:right w:val="single" w:sz="4" w:space="0" w:color="auto"/>
            </w:tcBorders>
            <w:shd w:val="clear" w:color="auto" w:fill="auto"/>
            <w:noWrap/>
            <w:vAlign w:val="bottom"/>
            <w:hideMark/>
          </w:tcPr>
          <w:p w14:paraId="19E1ADE2"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0.646453</w:t>
            </w:r>
          </w:p>
        </w:tc>
        <w:tc>
          <w:tcPr>
            <w:tcW w:w="966" w:type="dxa"/>
            <w:tcBorders>
              <w:top w:val="nil"/>
              <w:left w:val="nil"/>
              <w:bottom w:val="single" w:sz="4" w:space="0" w:color="auto"/>
              <w:right w:val="single" w:sz="4" w:space="0" w:color="auto"/>
            </w:tcBorders>
            <w:shd w:val="clear" w:color="auto" w:fill="auto"/>
            <w:noWrap/>
            <w:vAlign w:val="bottom"/>
            <w:hideMark/>
          </w:tcPr>
          <w:p w14:paraId="01D86C01"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0.969679</w:t>
            </w:r>
          </w:p>
        </w:tc>
        <w:tc>
          <w:tcPr>
            <w:tcW w:w="966" w:type="dxa"/>
            <w:tcBorders>
              <w:top w:val="nil"/>
              <w:left w:val="nil"/>
              <w:bottom w:val="single" w:sz="4" w:space="0" w:color="auto"/>
              <w:right w:val="single" w:sz="4" w:space="0" w:color="auto"/>
            </w:tcBorders>
            <w:shd w:val="clear" w:color="auto" w:fill="auto"/>
            <w:noWrap/>
            <w:vAlign w:val="bottom"/>
            <w:hideMark/>
          </w:tcPr>
          <w:p w14:paraId="66B41EFA"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1.292905</w:t>
            </w:r>
          </w:p>
        </w:tc>
        <w:tc>
          <w:tcPr>
            <w:tcW w:w="966" w:type="dxa"/>
            <w:tcBorders>
              <w:top w:val="nil"/>
              <w:left w:val="nil"/>
              <w:bottom w:val="single" w:sz="4" w:space="0" w:color="auto"/>
              <w:right w:val="single" w:sz="4" w:space="0" w:color="auto"/>
            </w:tcBorders>
            <w:shd w:val="clear" w:color="auto" w:fill="auto"/>
            <w:noWrap/>
            <w:vAlign w:val="bottom"/>
            <w:hideMark/>
          </w:tcPr>
          <w:p w14:paraId="27155B01"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1.939358</w:t>
            </w:r>
          </w:p>
        </w:tc>
        <w:tc>
          <w:tcPr>
            <w:tcW w:w="966" w:type="dxa"/>
            <w:tcBorders>
              <w:top w:val="nil"/>
              <w:left w:val="nil"/>
              <w:bottom w:val="single" w:sz="4" w:space="0" w:color="auto"/>
              <w:right w:val="single" w:sz="4" w:space="0" w:color="auto"/>
            </w:tcBorders>
            <w:shd w:val="clear" w:color="auto" w:fill="auto"/>
            <w:noWrap/>
            <w:vAlign w:val="bottom"/>
            <w:hideMark/>
          </w:tcPr>
          <w:p w14:paraId="7950FB58" w14:textId="77777777" w:rsidR="00883D8D" w:rsidRPr="00883D8D" w:rsidRDefault="00883D8D" w:rsidP="00883D8D">
            <w:pPr>
              <w:overflowPunct/>
              <w:autoSpaceDE/>
              <w:autoSpaceDN/>
              <w:adjustRightInd/>
              <w:spacing w:after="0"/>
              <w:jc w:val="right"/>
              <w:textAlignment w:val="auto"/>
              <w:rPr>
                <w:rFonts w:eastAsia="Times New Roman"/>
                <w:color w:val="000000"/>
                <w:lang w:eastAsia="ko-KR"/>
              </w:rPr>
            </w:pPr>
            <w:r w:rsidRPr="00883D8D">
              <w:rPr>
                <w:rFonts w:eastAsia="Times New Roman"/>
                <w:color w:val="000000"/>
                <w:lang w:eastAsia="ko-KR"/>
              </w:rPr>
              <w:t>2.58581</w:t>
            </w:r>
          </w:p>
        </w:tc>
      </w:tr>
    </w:tbl>
    <w:p w14:paraId="346B9745" w14:textId="77777777" w:rsidR="00883D8D" w:rsidRDefault="00883D8D" w:rsidP="00ED3811">
      <w:pPr>
        <w:ind w:firstLine="288"/>
        <w:rPr>
          <w:bCs/>
          <w:sz w:val="22"/>
          <w:lang w:eastAsia="zh-CN"/>
        </w:rPr>
      </w:pPr>
    </w:p>
    <w:p w14:paraId="314EDA3E" w14:textId="54AFE6AF" w:rsidR="00883D8D" w:rsidRDefault="00883D8D" w:rsidP="00ED3811">
      <w:pPr>
        <w:ind w:firstLine="288"/>
        <w:rPr>
          <w:bCs/>
          <w:sz w:val="22"/>
          <w:lang w:eastAsia="zh-CN"/>
        </w:rPr>
      </w:pPr>
      <w:r>
        <w:rPr>
          <w:bCs/>
          <w:sz w:val="22"/>
          <w:lang w:eastAsia="zh-CN"/>
        </w:rPr>
        <w:t>Based on these observations, we propose</w:t>
      </w:r>
      <w:r w:rsidR="00E045CC">
        <w:rPr>
          <w:bCs/>
          <w:sz w:val="22"/>
          <w:lang w:eastAsia="zh-CN"/>
        </w:rPr>
        <w:t xml:space="preserve"> to agree on one of the following:</w:t>
      </w:r>
    </w:p>
    <w:p w14:paraId="1E2B62CB" w14:textId="30FE6FAF" w:rsidR="00E045CC" w:rsidRPr="009B29DA" w:rsidRDefault="00E045CC" w:rsidP="00E045CC">
      <w:pPr>
        <w:jc w:val="both"/>
        <w:rPr>
          <w:b/>
          <w:sz w:val="22"/>
          <w:szCs w:val="22"/>
        </w:rPr>
      </w:pPr>
      <w:r>
        <w:rPr>
          <w:b/>
          <w:sz w:val="22"/>
          <w:szCs w:val="22"/>
        </w:rPr>
        <w:t>Proposal</w:t>
      </w:r>
      <w:r w:rsidRPr="009B29DA">
        <w:rPr>
          <w:b/>
          <w:sz w:val="22"/>
          <w:szCs w:val="22"/>
        </w:rPr>
        <w:t>:</w:t>
      </w:r>
      <w:bookmarkStart w:id="0" w:name="_GoBack"/>
      <w:bookmarkEnd w:id="0"/>
    </w:p>
    <w:p w14:paraId="0BBBBFBE" w14:textId="77777777" w:rsidR="00E045CC" w:rsidRPr="00D414D7" w:rsidRDefault="00E045CC" w:rsidP="00E045CC">
      <w:pPr>
        <w:pStyle w:val="BodyText"/>
        <w:numPr>
          <w:ilvl w:val="0"/>
          <w:numId w:val="4"/>
        </w:numPr>
        <w:spacing w:after="0"/>
        <w:rPr>
          <w:rFonts w:ascii="Times New Roman" w:hAnsi="Times New Roman"/>
          <w:b/>
          <w:i/>
          <w:sz w:val="22"/>
          <w:szCs w:val="22"/>
          <w:lang w:eastAsia="zh-CN"/>
        </w:rPr>
      </w:pPr>
      <w:r w:rsidRPr="00D414D7">
        <w:rPr>
          <w:rFonts w:ascii="Times New Roman" w:hAnsi="Times New Roman"/>
          <w:b/>
          <w:i/>
          <w:sz w:val="22"/>
          <w:szCs w:val="22"/>
          <w:lang w:eastAsia="zh-CN"/>
        </w:rPr>
        <w:t>Adopt one of the following alternatives:</w:t>
      </w:r>
    </w:p>
    <w:p w14:paraId="30DA5FC6" w14:textId="2C0F685D" w:rsidR="00E045CC" w:rsidRPr="00D414D7" w:rsidRDefault="00E045CC" w:rsidP="00E045CC">
      <w:pPr>
        <w:pStyle w:val="BodyText"/>
        <w:numPr>
          <w:ilvl w:val="1"/>
          <w:numId w:val="4"/>
        </w:numPr>
        <w:spacing w:after="0"/>
        <w:rPr>
          <w:rFonts w:ascii="Times New Roman" w:hAnsi="Times New Roman"/>
          <w:b/>
          <w:i/>
          <w:sz w:val="22"/>
          <w:szCs w:val="22"/>
          <w:lang w:eastAsia="zh-CN"/>
        </w:rPr>
      </w:pPr>
      <w:r w:rsidRPr="00D414D7">
        <w:rPr>
          <w:b/>
          <w:bCs/>
          <w:i/>
          <w:sz w:val="22"/>
          <w:lang w:eastAsia="zh-CN"/>
        </w:rPr>
        <w:t xml:space="preserve">Alternative 1) </w:t>
      </w:r>
      <w:r w:rsidRPr="00D414D7">
        <w:rPr>
          <w:b/>
          <w:bCs/>
          <w:i/>
          <w:sz w:val="22"/>
          <w:u w:val="single"/>
          <w:lang w:eastAsia="zh-CN"/>
        </w:rPr>
        <w:t>Do not define NR UE categories</w:t>
      </w:r>
      <w:r w:rsidRPr="00D414D7">
        <w:rPr>
          <w:b/>
          <w:bCs/>
          <w:i/>
          <w:sz w:val="22"/>
          <w:lang w:eastAsia="zh-CN"/>
        </w:rPr>
        <w:t>. Instead rely on supported features and UE capability to appropriately advertise the supported peak data rate for marketing purposes.</w:t>
      </w:r>
    </w:p>
    <w:p w14:paraId="5CFF7366" w14:textId="7AC4F941" w:rsidR="00E045CC" w:rsidRPr="00D414D7" w:rsidRDefault="00E045CC" w:rsidP="00E045CC">
      <w:pPr>
        <w:pStyle w:val="BodyText"/>
        <w:numPr>
          <w:ilvl w:val="1"/>
          <w:numId w:val="4"/>
        </w:numPr>
        <w:spacing w:after="0"/>
        <w:rPr>
          <w:rFonts w:ascii="Times New Roman" w:hAnsi="Times New Roman"/>
          <w:b/>
          <w:i/>
          <w:sz w:val="22"/>
          <w:szCs w:val="22"/>
          <w:lang w:eastAsia="zh-CN"/>
        </w:rPr>
      </w:pPr>
      <w:r w:rsidRPr="00D414D7">
        <w:rPr>
          <w:b/>
          <w:bCs/>
          <w:i/>
          <w:sz w:val="22"/>
          <w:lang w:eastAsia="zh-CN"/>
        </w:rPr>
        <w:t xml:space="preserve">Alternative 2) </w:t>
      </w:r>
      <w:r w:rsidR="00A24FC1" w:rsidRPr="00D414D7">
        <w:rPr>
          <w:b/>
          <w:bCs/>
          <w:i/>
          <w:sz w:val="22"/>
          <w:lang w:eastAsia="zh-CN"/>
        </w:rPr>
        <w:t xml:space="preserve">If NR UE categories </w:t>
      </w:r>
      <w:r w:rsidR="00E63F08" w:rsidRPr="00D414D7">
        <w:rPr>
          <w:b/>
          <w:bCs/>
          <w:i/>
          <w:sz w:val="22"/>
          <w:lang w:eastAsia="zh-CN"/>
        </w:rPr>
        <w:t xml:space="preserve">are introduced, </w:t>
      </w:r>
      <w:r w:rsidR="00A24FC1" w:rsidRPr="00D414D7">
        <w:rPr>
          <w:b/>
          <w:bCs/>
          <w:i/>
          <w:sz w:val="22"/>
          <w:lang w:eastAsia="zh-CN"/>
        </w:rPr>
        <w:t xml:space="preserve">UE is allowed to advertise peak data rate based on supported features and UE capability signaling other than defined UE category for marketing purposes. </w:t>
      </w:r>
    </w:p>
    <w:p w14:paraId="1B06E343" w14:textId="77777777" w:rsidR="00D860B3" w:rsidRDefault="00D860B3" w:rsidP="00192DE2">
      <w:pPr>
        <w:ind w:firstLine="288"/>
        <w:rPr>
          <w:sz w:val="22"/>
          <w:szCs w:val="22"/>
          <w:lang w:eastAsia="zh-CN"/>
        </w:rPr>
      </w:pPr>
    </w:p>
    <w:p w14:paraId="1926C817" w14:textId="77777777" w:rsidR="00C103C4" w:rsidRPr="009B29DA" w:rsidRDefault="00C103C4" w:rsidP="00192DE2">
      <w:pPr>
        <w:ind w:firstLine="288"/>
        <w:rPr>
          <w:sz w:val="22"/>
          <w:szCs w:val="22"/>
          <w:lang w:eastAsia="zh-CN"/>
        </w:rPr>
      </w:pP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6F00829B" w14:textId="3DCCECA8" w:rsidR="007C45D9" w:rsidRPr="009B29DA" w:rsidRDefault="009945CF" w:rsidP="009945CF">
      <w:pPr>
        <w:rPr>
          <w:sz w:val="22"/>
          <w:szCs w:val="22"/>
          <w:lang w:eastAsia="zh-CN"/>
        </w:rPr>
      </w:pPr>
      <w:r w:rsidRPr="009B29DA">
        <w:rPr>
          <w:sz w:val="22"/>
          <w:szCs w:val="22"/>
          <w:lang w:eastAsia="zh-CN"/>
        </w:rPr>
        <w:tab/>
      </w:r>
      <w:r w:rsidR="007C45D9" w:rsidRPr="009B29DA">
        <w:rPr>
          <w:sz w:val="22"/>
          <w:szCs w:val="22"/>
          <w:lang w:eastAsia="zh-CN"/>
        </w:rPr>
        <w:t xml:space="preserve">In this contribution, we discussed </w:t>
      </w:r>
      <w:r w:rsidR="00C103C4">
        <w:rPr>
          <w:sz w:val="22"/>
          <w:szCs w:val="22"/>
          <w:lang w:eastAsia="zh-CN"/>
        </w:rPr>
        <w:t>main key issues for defining NR UE categories. The following is a summary of the proposals made in this contribution:</w:t>
      </w:r>
    </w:p>
    <w:p w14:paraId="5467C07D" w14:textId="719B30F1" w:rsidR="00E045CC" w:rsidRPr="009B29DA" w:rsidRDefault="00E045CC" w:rsidP="00E045CC">
      <w:pPr>
        <w:jc w:val="both"/>
        <w:rPr>
          <w:b/>
          <w:sz w:val="22"/>
          <w:szCs w:val="22"/>
        </w:rPr>
      </w:pPr>
      <w:r>
        <w:rPr>
          <w:b/>
          <w:sz w:val="22"/>
          <w:szCs w:val="22"/>
        </w:rPr>
        <w:t>Proposal</w:t>
      </w:r>
      <w:r w:rsidRPr="009B29DA">
        <w:rPr>
          <w:b/>
          <w:sz w:val="22"/>
          <w:szCs w:val="22"/>
        </w:rPr>
        <w:t>:</w:t>
      </w:r>
    </w:p>
    <w:p w14:paraId="04B88D47" w14:textId="77777777" w:rsidR="00A13A49" w:rsidRPr="002765E7" w:rsidRDefault="00A13A49" w:rsidP="00A13A49">
      <w:pPr>
        <w:pStyle w:val="BodyText"/>
        <w:numPr>
          <w:ilvl w:val="0"/>
          <w:numId w:val="4"/>
        </w:numPr>
        <w:spacing w:after="0"/>
        <w:rPr>
          <w:rFonts w:ascii="Times New Roman" w:hAnsi="Times New Roman"/>
          <w:b/>
          <w:i/>
          <w:sz w:val="22"/>
          <w:szCs w:val="22"/>
          <w:lang w:eastAsia="zh-CN"/>
        </w:rPr>
      </w:pPr>
      <w:r w:rsidRPr="002765E7">
        <w:rPr>
          <w:rFonts w:ascii="Times New Roman" w:hAnsi="Times New Roman"/>
          <w:b/>
          <w:i/>
          <w:sz w:val="22"/>
          <w:szCs w:val="22"/>
          <w:lang w:eastAsia="zh-CN"/>
        </w:rPr>
        <w:t>Adopt one of the following alternatives:</w:t>
      </w:r>
    </w:p>
    <w:p w14:paraId="37108122" w14:textId="77777777" w:rsidR="00A13A49" w:rsidRPr="002765E7" w:rsidRDefault="00A13A49" w:rsidP="00A13A49">
      <w:pPr>
        <w:pStyle w:val="BodyText"/>
        <w:numPr>
          <w:ilvl w:val="1"/>
          <w:numId w:val="4"/>
        </w:numPr>
        <w:spacing w:after="0"/>
        <w:rPr>
          <w:rFonts w:ascii="Times New Roman" w:hAnsi="Times New Roman"/>
          <w:b/>
          <w:i/>
          <w:sz w:val="22"/>
          <w:szCs w:val="22"/>
          <w:lang w:eastAsia="zh-CN"/>
        </w:rPr>
      </w:pPr>
      <w:r w:rsidRPr="002765E7">
        <w:rPr>
          <w:b/>
          <w:bCs/>
          <w:i/>
          <w:sz w:val="22"/>
          <w:lang w:eastAsia="zh-CN"/>
        </w:rPr>
        <w:t xml:space="preserve">Alternative 1) </w:t>
      </w:r>
      <w:r w:rsidRPr="002765E7">
        <w:rPr>
          <w:b/>
          <w:bCs/>
          <w:i/>
          <w:sz w:val="22"/>
          <w:u w:val="single"/>
          <w:lang w:eastAsia="zh-CN"/>
        </w:rPr>
        <w:t>Do not define NR UE categories</w:t>
      </w:r>
      <w:r w:rsidRPr="002765E7">
        <w:rPr>
          <w:b/>
          <w:bCs/>
          <w:i/>
          <w:sz w:val="22"/>
          <w:lang w:eastAsia="zh-CN"/>
        </w:rPr>
        <w:t>. Instead rely on supported features and UE capability to appropriately advertise the supported peak data rate for marketing purposes.</w:t>
      </w:r>
    </w:p>
    <w:p w14:paraId="0F36D2DE" w14:textId="77777777" w:rsidR="00A13A49" w:rsidRPr="002765E7" w:rsidRDefault="00A13A49" w:rsidP="00A13A49">
      <w:pPr>
        <w:pStyle w:val="BodyText"/>
        <w:numPr>
          <w:ilvl w:val="1"/>
          <w:numId w:val="4"/>
        </w:numPr>
        <w:spacing w:after="0"/>
        <w:rPr>
          <w:rFonts w:ascii="Times New Roman" w:hAnsi="Times New Roman"/>
          <w:b/>
          <w:i/>
          <w:sz w:val="22"/>
          <w:szCs w:val="22"/>
          <w:lang w:eastAsia="zh-CN"/>
        </w:rPr>
      </w:pPr>
      <w:r w:rsidRPr="002765E7">
        <w:rPr>
          <w:b/>
          <w:bCs/>
          <w:i/>
          <w:sz w:val="22"/>
          <w:lang w:eastAsia="zh-CN"/>
        </w:rPr>
        <w:t xml:space="preserve">Alternative 2) If NR UE categories are introduced, UE is allowed to advertise peak data rate based on supported features and UE capability signaling other than defined UE category for marketing purposes. </w:t>
      </w:r>
    </w:p>
    <w:p w14:paraId="2BDAECEA" w14:textId="77777777" w:rsidR="005D1D82" w:rsidRPr="009B29DA" w:rsidRDefault="005D1D82" w:rsidP="005D1D82">
      <w:pPr>
        <w:pStyle w:val="BodyText"/>
        <w:spacing w:after="0"/>
        <w:ind w:left="720"/>
        <w:rPr>
          <w:rFonts w:ascii="Times New Roman" w:hAnsi="Times New Roman"/>
          <w:i/>
          <w:sz w:val="22"/>
          <w:szCs w:val="22"/>
          <w:lang w:eastAsia="zh-CN"/>
        </w:rPr>
      </w:pPr>
    </w:p>
    <w:p w14:paraId="7B0F4DC4" w14:textId="77777777" w:rsidR="009907F2" w:rsidRDefault="009907F2" w:rsidP="004F189C">
      <w:pPr>
        <w:jc w:val="both"/>
        <w:rPr>
          <w:b/>
          <w:sz w:val="22"/>
          <w:szCs w:val="22"/>
        </w:rPr>
      </w:pPr>
    </w:p>
    <w:p w14:paraId="1F6C3711" w14:textId="4999FBFD" w:rsidR="009907F2" w:rsidRPr="009B29DA" w:rsidRDefault="009907F2" w:rsidP="009907F2">
      <w:pPr>
        <w:pStyle w:val="Heading1"/>
        <w:rPr>
          <w:rFonts w:cs="Arial"/>
          <w:sz w:val="32"/>
          <w:szCs w:val="32"/>
          <w:lang w:val="en-US"/>
        </w:rPr>
      </w:pPr>
      <w:r>
        <w:rPr>
          <w:rFonts w:cs="Arial"/>
          <w:sz w:val="32"/>
          <w:szCs w:val="32"/>
          <w:lang w:val="en-US"/>
        </w:rPr>
        <w:t>References</w:t>
      </w:r>
    </w:p>
    <w:p w14:paraId="68CD771D" w14:textId="2F825E09" w:rsidR="007269CF" w:rsidRDefault="007269CF" w:rsidP="004F189C">
      <w:pPr>
        <w:jc w:val="both"/>
        <w:rPr>
          <w:sz w:val="22"/>
          <w:szCs w:val="22"/>
        </w:rPr>
      </w:pPr>
      <w:r>
        <w:rPr>
          <w:sz w:val="22"/>
          <w:szCs w:val="22"/>
        </w:rPr>
        <w:t xml:space="preserve">[1] </w:t>
      </w:r>
      <w:r w:rsidRPr="007269CF">
        <w:rPr>
          <w:sz w:val="22"/>
          <w:szCs w:val="22"/>
        </w:rPr>
        <w:t>RP-172113</w:t>
      </w:r>
      <w:r>
        <w:rPr>
          <w:sz w:val="22"/>
          <w:szCs w:val="22"/>
        </w:rPr>
        <w:t>, “</w:t>
      </w:r>
      <w:r w:rsidRPr="007269CF">
        <w:rPr>
          <w:sz w:val="22"/>
          <w:szCs w:val="22"/>
        </w:rPr>
        <w:t>LS on NR UE Category</w:t>
      </w:r>
      <w:r>
        <w:rPr>
          <w:sz w:val="22"/>
          <w:szCs w:val="22"/>
        </w:rPr>
        <w:t>,” 3GPP TSG RAN</w:t>
      </w:r>
    </w:p>
    <w:p w14:paraId="160775DA" w14:textId="77777777" w:rsidR="00934397" w:rsidRDefault="00934397" w:rsidP="00934397">
      <w:pPr>
        <w:jc w:val="both"/>
        <w:rPr>
          <w:sz w:val="22"/>
          <w:szCs w:val="22"/>
        </w:rPr>
      </w:pPr>
      <w:r>
        <w:rPr>
          <w:sz w:val="22"/>
          <w:szCs w:val="22"/>
        </w:rPr>
        <w:t xml:space="preserve">[2] </w:t>
      </w:r>
      <w:r w:rsidRPr="00934397">
        <w:rPr>
          <w:sz w:val="22"/>
          <w:szCs w:val="22"/>
        </w:rPr>
        <w:t>R1-1721732</w:t>
      </w:r>
      <w:r>
        <w:rPr>
          <w:sz w:val="22"/>
          <w:szCs w:val="22"/>
        </w:rPr>
        <w:t>, “</w:t>
      </w:r>
      <w:r w:rsidRPr="00934397">
        <w:rPr>
          <w:sz w:val="22"/>
          <w:szCs w:val="22"/>
        </w:rPr>
        <w:t>Reply to LS on NR UE Category</w:t>
      </w:r>
      <w:r>
        <w:rPr>
          <w:sz w:val="22"/>
          <w:szCs w:val="22"/>
        </w:rPr>
        <w:t xml:space="preserve">,” 3GPP TSG </w:t>
      </w:r>
      <w:r w:rsidRPr="00934397">
        <w:rPr>
          <w:sz w:val="22"/>
          <w:szCs w:val="22"/>
        </w:rPr>
        <w:t>RAN1</w:t>
      </w:r>
    </w:p>
    <w:p w14:paraId="53C54403" w14:textId="3EE3E7EB" w:rsidR="00934397" w:rsidRPr="00934397" w:rsidRDefault="00934397" w:rsidP="00934397">
      <w:pPr>
        <w:jc w:val="both"/>
        <w:rPr>
          <w:sz w:val="22"/>
          <w:szCs w:val="22"/>
        </w:rPr>
      </w:pPr>
      <w:r>
        <w:rPr>
          <w:sz w:val="22"/>
          <w:szCs w:val="22"/>
        </w:rPr>
        <w:t xml:space="preserve">[3] </w:t>
      </w:r>
      <w:r w:rsidRPr="00934397">
        <w:rPr>
          <w:sz w:val="22"/>
          <w:szCs w:val="22"/>
        </w:rPr>
        <w:t>R1-1721733</w:t>
      </w:r>
      <w:r>
        <w:rPr>
          <w:sz w:val="22"/>
          <w:szCs w:val="22"/>
        </w:rPr>
        <w:t>, “</w:t>
      </w:r>
      <w:r w:rsidRPr="00934397">
        <w:rPr>
          <w:sz w:val="22"/>
          <w:szCs w:val="22"/>
        </w:rPr>
        <w:t>LS reply on formula or table for L1 data rate</w:t>
      </w:r>
      <w:r>
        <w:rPr>
          <w:sz w:val="22"/>
          <w:szCs w:val="22"/>
        </w:rPr>
        <w:t xml:space="preserve">,” 3GPP TSG </w:t>
      </w:r>
      <w:r w:rsidRPr="00934397">
        <w:rPr>
          <w:sz w:val="22"/>
          <w:szCs w:val="22"/>
        </w:rPr>
        <w:t>RAN1</w:t>
      </w:r>
    </w:p>
    <w:p w14:paraId="2818C743" w14:textId="1AF6A4FF" w:rsidR="00FC46F1" w:rsidRDefault="007269CF" w:rsidP="004F189C">
      <w:pPr>
        <w:jc w:val="both"/>
        <w:rPr>
          <w:sz w:val="22"/>
          <w:szCs w:val="22"/>
        </w:rPr>
      </w:pPr>
      <w:r>
        <w:rPr>
          <w:sz w:val="22"/>
          <w:szCs w:val="22"/>
        </w:rPr>
        <w:t>[</w:t>
      </w:r>
      <w:r w:rsidR="00934397">
        <w:rPr>
          <w:sz w:val="22"/>
          <w:szCs w:val="22"/>
        </w:rPr>
        <w:t>4</w:t>
      </w:r>
      <w:r w:rsidR="00FC46F1">
        <w:rPr>
          <w:sz w:val="22"/>
          <w:szCs w:val="22"/>
        </w:rPr>
        <w:t xml:space="preserve">] </w:t>
      </w:r>
      <w:r w:rsidR="00FC46F1" w:rsidRPr="00FC46F1">
        <w:rPr>
          <w:sz w:val="22"/>
          <w:szCs w:val="22"/>
        </w:rPr>
        <w:t>RP-180343</w:t>
      </w:r>
      <w:r>
        <w:rPr>
          <w:sz w:val="22"/>
          <w:szCs w:val="22"/>
        </w:rPr>
        <w:t>, “</w:t>
      </w:r>
      <w:r w:rsidRPr="007269CF">
        <w:rPr>
          <w:sz w:val="22"/>
          <w:szCs w:val="22"/>
        </w:rPr>
        <w:t>Summary of email discussion on possible peak data rate values for Rel-15 NR UE Category definition</w:t>
      </w:r>
      <w:r>
        <w:rPr>
          <w:sz w:val="22"/>
          <w:szCs w:val="22"/>
        </w:rPr>
        <w:t>,” Mediatek</w:t>
      </w:r>
    </w:p>
    <w:p w14:paraId="15274AC5" w14:textId="2CA1D234" w:rsidR="009907F2" w:rsidRDefault="00934397" w:rsidP="004F189C">
      <w:pPr>
        <w:jc w:val="both"/>
        <w:rPr>
          <w:sz w:val="22"/>
          <w:szCs w:val="22"/>
        </w:rPr>
      </w:pPr>
      <w:r>
        <w:rPr>
          <w:sz w:val="22"/>
          <w:szCs w:val="22"/>
        </w:rPr>
        <w:lastRenderedPageBreak/>
        <w:t>[5</w:t>
      </w:r>
      <w:r w:rsidR="009907F2" w:rsidRPr="009907F2">
        <w:rPr>
          <w:sz w:val="22"/>
          <w:szCs w:val="22"/>
        </w:rPr>
        <w:t>]</w:t>
      </w:r>
      <w:r w:rsidR="00D357BE">
        <w:t xml:space="preserve"> </w:t>
      </w:r>
      <w:r w:rsidR="00C103C4" w:rsidRPr="00C103C4">
        <w:rPr>
          <w:sz w:val="22"/>
          <w:szCs w:val="22"/>
        </w:rPr>
        <w:t>RP-181118</w:t>
      </w:r>
      <w:r w:rsidR="007269CF">
        <w:rPr>
          <w:sz w:val="22"/>
          <w:szCs w:val="22"/>
        </w:rPr>
        <w:t>,</w:t>
      </w:r>
      <w:r w:rsidR="00C103C4" w:rsidRPr="00C103C4">
        <w:rPr>
          <w:sz w:val="22"/>
          <w:szCs w:val="22"/>
        </w:rPr>
        <w:tab/>
      </w:r>
      <w:r w:rsidR="007269CF">
        <w:rPr>
          <w:sz w:val="22"/>
          <w:szCs w:val="22"/>
        </w:rPr>
        <w:t>“</w:t>
      </w:r>
      <w:r w:rsidR="00C103C4" w:rsidRPr="00C103C4">
        <w:rPr>
          <w:sz w:val="22"/>
          <w:szCs w:val="22"/>
        </w:rPr>
        <w:t>Summary of email discussion on UE categories</w:t>
      </w:r>
      <w:r w:rsidR="007269CF">
        <w:rPr>
          <w:sz w:val="22"/>
          <w:szCs w:val="22"/>
        </w:rPr>
        <w:t xml:space="preserve">,” </w:t>
      </w:r>
      <w:r w:rsidR="007269CF" w:rsidRPr="007269CF">
        <w:rPr>
          <w:sz w:val="22"/>
          <w:szCs w:val="22"/>
        </w:rPr>
        <w:t>Telecom Italia</w:t>
      </w:r>
    </w:p>
    <w:sectPr w:rsidR="009907F2"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103FB" w14:textId="77777777" w:rsidR="00027CBC" w:rsidRDefault="00027CBC">
      <w:r>
        <w:separator/>
      </w:r>
    </w:p>
  </w:endnote>
  <w:endnote w:type="continuationSeparator" w:id="0">
    <w:p w14:paraId="4A720E84" w14:textId="77777777" w:rsidR="00027CBC" w:rsidRDefault="00027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883D8D" w:rsidRDefault="00883D8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883D8D" w:rsidRDefault="00883D8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883D8D" w:rsidRDefault="00883D8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414D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14D7">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2F055" w14:textId="77777777" w:rsidR="00027CBC" w:rsidRDefault="00027CBC">
      <w:r>
        <w:separator/>
      </w:r>
    </w:p>
  </w:footnote>
  <w:footnote w:type="continuationSeparator" w:id="0">
    <w:p w14:paraId="2D658B6C" w14:textId="77777777" w:rsidR="00027CBC" w:rsidRDefault="00027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883D8D" w:rsidRDefault="00883D8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F1CD5"/>
    <w:multiLevelType w:val="hybridMultilevel"/>
    <w:tmpl w:val="8ABCBBA8"/>
    <w:lvl w:ilvl="0" w:tplc="F7B0A4BC">
      <w:start w:val="30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175A56"/>
    <w:multiLevelType w:val="hybridMultilevel"/>
    <w:tmpl w:val="DF30D48C"/>
    <w:lvl w:ilvl="0" w:tplc="2CEA73C2">
      <w:start w:val="313"/>
      <w:numFmt w:val="bullet"/>
      <w:lvlText w:val="•"/>
      <w:lvlJc w:val="left"/>
      <w:pPr>
        <w:tabs>
          <w:tab w:val="num" w:pos="2160"/>
        </w:tabs>
        <w:ind w:left="21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C36BD5"/>
    <w:multiLevelType w:val="hybridMultilevel"/>
    <w:tmpl w:val="9F1A572E"/>
    <w:lvl w:ilvl="0" w:tplc="84F63C0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CF4397"/>
    <w:multiLevelType w:val="hybridMultilevel"/>
    <w:tmpl w:val="E456496A"/>
    <w:lvl w:ilvl="0" w:tplc="FDC2C95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cs="Times New Roman" w:hint="default"/>
      </w:rPr>
    </w:lvl>
    <w:lvl w:ilvl="1" w:tplc="3918DD9C">
      <w:start w:val="142"/>
      <w:numFmt w:val="bullet"/>
      <w:lvlText w:val="–"/>
      <w:lvlJc w:val="left"/>
      <w:pPr>
        <w:tabs>
          <w:tab w:val="num" w:pos="1440"/>
        </w:tabs>
        <w:ind w:left="1440" w:hanging="360"/>
      </w:pPr>
      <w:rPr>
        <w:rFonts w:ascii="Arial" w:hAnsi="Arial" w:cs="Times New Roman" w:hint="default"/>
      </w:rPr>
    </w:lvl>
    <w:lvl w:ilvl="2" w:tplc="3030E616">
      <w:start w:val="1"/>
      <w:numFmt w:val="bullet"/>
      <w:lvlText w:val="•"/>
      <w:lvlJc w:val="left"/>
      <w:pPr>
        <w:tabs>
          <w:tab w:val="num" w:pos="2160"/>
        </w:tabs>
        <w:ind w:left="2160" w:hanging="360"/>
      </w:pPr>
      <w:rPr>
        <w:rFonts w:ascii="Arial" w:hAnsi="Arial" w:cs="Times New Roman" w:hint="default"/>
      </w:rPr>
    </w:lvl>
    <w:lvl w:ilvl="3" w:tplc="82743122">
      <w:start w:val="1"/>
      <w:numFmt w:val="bullet"/>
      <w:lvlText w:val="•"/>
      <w:lvlJc w:val="left"/>
      <w:pPr>
        <w:tabs>
          <w:tab w:val="num" w:pos="2880"/>
        </w:tabs>
        <w:ind w:left="2880" w:hanging="360"/>
      </w:pPr>
      <w:rPr>
        <w:rFonts w:ascii="Arial" w:hAnsi="Arial" w:cs="Times New Roman" w:hint="default"/>
      </w:rPr>
    </w:lvl>
    <w:lvl w:ilvl="4" w:tplc="66F892A0">
      <w:start w:val="1"/>
      <w:numFmt w:val="bullet"/>
      <w:lvlText w:val="•"/>
      <w:lvlJc w:val="left"/>
      <w:pPr>
        <w:tabs>
          <w:tab w:val="num" w:pos="3600"/>
        </w:tabs>
        <w:ind w:left="3600" w:hanging="360"/>
      </w:pPr>
      <w:rPr>
        <w:rFonts w:ascii="Arial" w:hAnsi="Arial" w:cs="Times New Roman" w:hint="default"/>
      </w:rPr>
    </w:lvl>
    <w:lvl w:ilvl="5" w:tplc="A94668F8">
      <w:start w:val="1"/>
      <w:numFmt w:val="bullet"/>
      <w:lvlText w:val="•"/>
      <w:lvlJc w:val="left"/>
      <w:pPr>
        <w:tabs>
          <w:tab w:val="num" w:pos="4320"/>
        </w:tabs>
        <w:ind w:left="4320" w:hanging="360"/>
      </w:pPr>
      <w:rPr>
        <w:rFonts w:ascii="Arial" w:hAnsi="Arial" w:cs="Times New Roman" w:hint="default"/>
      </w:rPr>
    </w:lvl>
    <w:lvl w:ilvl="6" w:tplc="922075C0">
      <w:start w:val="1"/>
      <w:numFmt w:val="bullet"/>
      <w:lvlText w:val="•"/>
      <w:lvlJc w:val="left"/>
      <w:pPr>
        <w:tabs>
          <w:tab w:val="num" w:pos="5040"/>
        </w:tabs>
        <w:ind w:left="5040" w:hanging="360"/>
      </w:pPr>
      <w:rPr>
        <w:rFonts w:ascii="Arial" w:hAnsi="Arial" w:cs="Times New Roman" w:hint="default"/>
      </w:rPr>
    </w:lvl>
    <w:lvl w:ilvl="7" w:tplc="CFE0482A">
      <w:start w:val="1"/>
      <w:numFmt w:val="bullet"/>
      <w:lvlText w:val="•"/>
      <w:lvlJc w:val="left"/>
      <w:pPr>
        <w:tabs>
          <w:tab w:val="num" w:pos="5760"/>
        </w:tabs>
        <w:ind w:left="5760" w:hanging="360"/>
      </w:pPr>
      <w:rPr>
        <w:rFonts w:ascii="Arial" w:hAnsi="Arial" w:cs="Times New Roman" w:hint="default"/>
      </w:rPr>
    </w:lvl>
    <w:lvl w:ilvl="8" w:tplc="FCD0825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CA1895"/>
    <w:multiLevelType w:val="hybridMultilevel"/>
    <w:tmpl w:val="82882FF8"/>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A75180"/>
    <w:multiLevelType w:val="hybridMultilevel"/>
    <w:tmpl w:val="28A0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cs="Times New Roman" w:hint="default"/>
      </w:rPr>
    </w:lvl>
    <w:lvl w:ilvl="1" w:tplc="066469D8">
      <w:start w:val="1"/>
      <w:numFmt w:val="bullet"/>
      <w:lvlText w:val="•"/>
      <w:lvlJc w:val="left"/>
      <w:pPr>
        <w:tabs>
          <w:tab w:val="num" w:pos="1440"/>
        </w:tabs>
        <w:ind w:left="1440" w:hanging="360"/>
      </w:pPr>
      <w:rPr>
        <w:rFonts w:ascii="Arial" w:hAnsi="Arial" w:cs="Times New Roman" w:hint="default"/>
      </w:rPr>
    </w:lvl>
    <w:lvl w:ilvl="2" w:tplc="FCD2C29A">
      <w:start w:val="174"/>
      <w:numFmt w:val="bullet"/>
      <w:lvlText w:val="•"/>
      <w:lvlJc w:val="left"/>
      <w:pPr>
        <w:tabs>
          <w:tab w:val="num" w:pos="2160"/>
        </w:tabs>
        <w:ind w:left="2160" w:hanging="360"/>
      </w:pPr>
      <w:rPr>
        <w:rFonts w:ascii="Arial" w:hAnsi="Arial" w:cs="Times New Roman" w:hint="default"/>
      </w:rPr>
    </w:lvl>
    <w:lvl w:ilvl="3" w:tplc="2F227C58">
      <w:start w:val="1"/>
      <w:numFmt w:val="bullet"/>
      <w:lvlText w:val="•"/>
      <w:lvlJc w:val="left"/>
      <w:pPr>
        <w:tabs>
          <w:tab w:val="num" w:pos="2880"/>
        </w:tabs>
        <w:ind w:left="2880" w:hanging="360"/>
      </w:pPr>
      <w:rPr>
        <w:rFonts w:ascii="Arial" w:hAnsi="Arial" w:cs="Times New Roman" w:hint="default"/>
      </w:rPr>
    </w:lvl>
    <w:lvl w:ilvl="4" w:tplc="AEAECBE8">
      <w:start w:val="1"/>
      <w:numFmt w:val="bullet"/>
      <w:lvlText w:val="•"/>
      <w:lvlJc w:val="left"/>
      <w:pPr>
        <w:tabs>
          <w:tab w:val="num" w:pos="3600"/>
        </w:tabs>
        <w:ind w:left="3600" w:hanging="360"/>
      </w:pPr>
      <w:rPr>
        <w:rFonts w:ascii="Arial" w:hAnsi="Arial" w:cs="Times New Roman" w:hint="default"/>
      </w:rPr>
    </w:lvl>
    <w:lvl w:ilvl="5" w:tplc="2256BDA8">
      <w:start w:val="1"/>
      <w:numFmt w:val="bullet"/>
      <w:lvlText w:val="•"/>
      <w:lvlJc w:val="left"/>
      <w:pPr>
        <w:tabs>
          <w:tab w:val="num" w:pos="4320"/>
        </w:tabs>
        <w:ind w:left="4320" w:hanging="360"/>
      </w:pPr>
      <w:rPr>
        <w:rFonts w:ascii="Arial" w:hAnsi="Arial" w:cs="Times New Roman" w:hint="default"/>
      </w:rPr>
    </w:lvl>
    <w:lvl w:ilvl="6" w:tplc="79120D30">
      <w:start w:val="1"/>
      <w:numFmt w:val="bullet"/>
      <w:lvlText w:val="•"/>
      <w:lvlJc w:val="left"/>
      <w:pPr>
        <w:tabs>
          <w:tab w:val="num" w:pos="5040"/>
        </w:tabs>
        <w:ind w:left="5040" w:hanging="360"/>
      </w:pPr>
      <w:rPr>
        <w:rFonts w:ascii="Arial" w:hAnsi="Arial" w:cs="Times New Roman" w:hint="default"/>
      </w:rPr>
    </w:lvl>
    <w:lvl w:ilvl="7" w:tplc="4802064E">
      <w:start w:val="1"/>
      <w:numFmt w:val="bullet"/>
      <w:lvlText w:val="•"/>
      <w:lvlJc w:val="left"/>
      <w:pPr>
        <w:tabs>
          <w:tab w:val="num" w:pos="5760"/>
        </w:tabs>
        <w:ind w:left="5760" w:hanging="360"/>
      </w:pPr>
      <w:rPr>
        <w:rFonts w:ascii="Arial" w:hAnsi="Arial" w:cs="Times New Roman" w:hint="default"/>
      </w:rPr>
    </w:lvl>
    <w:lvl w:ilvl="8" w:tplc="53DA5F2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001020"/>
    <w:multiLevelType w:val="hybridMultilevel"/>
    <w:tmpl w:val="889E808C"/>
    <w:lvl w:ilvl="0" w:tplc="97AAC33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B297B27"/>
    <w:multiLevelType w:val="hybridMultilevel"/>
    <w:tmpl w:val="ED84848A"/>
    <w:lvl w:ilvl="0" w:tplc="08090001">
      <w:start w:val="1"/>
      <w:numFmt w:val="bullet"/>
      <w:lvlText w:val=""/>
      <w:lvlJc w:val="left"/>
      <w:pPr>
        <w:ind w:left="720" w:hanging="360"/>
      </w:pPr>
      <w:rPr>
        <w:rFonts w:ascii="Symbol" w:hAnsi="Symbol" w:hint="default"/>
      </w:rPr>
    </w:lvl>
    <w:lvl w:ilvl="1" w:tplc="98F69B3C">
      <w:start w:val="1"/>
      <w:numFmt w:val="bullet"/>
      <w:lvlText w:val="‒"/>
      <w:lvlJc w:val="left"/>
      <w:pPr>
        <w:ind w:left="1440" w:hanging="360"/>
      </w:pPr>
      <w:rPr>
        <w:rFonts w:ascii="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CA5DA1"/>
    <w:multiLevelType w:val="hybridMultilevel"/>
    <w:tmpl w:val="61F0AF24"/>
    <w:lvl w:ilvl="0" w:tplc="5CE64FBC">
      <w:start w:val="1"/>
      <w:numFmt w:val="bullet"/>
      <w:lvlText w:val=""/>
      <w:lvlJc w:val="left"/>
      <w:pPr>
        <w:tabs>
          <w:tab w:val="num" w:pos="360"/>
        </w:tabs>
        <w:ind w:left="360" w:hanging="360"/>
      </w:pPr>
      <w:rPr>
        <w:rFonts w:ascii="Wingdings" w:hAnsi="Wingdings" w:hint="default"/>
      </w:rPr>
    </w:lvl>
    <w:lvl w:ilvl="1" w:tplc="169EF51E">
      <w:start w:val="1"/>
      <w:numFmt w:val="bullet"/>
      <w:lvlText w:val="»"/>
      <w:lvlJc w:val="left"/>
      <w:pPr>
        <w:tabs>
          <w:tab w:val="num" w:pos="1080"/>
        </w:tabs>
        <w:ind w:left="1080" w:hanging="360"/>
      </w:pPr>
      <w:rPr>
        <w:rFonts w:ascii="Arial" w:hAnsi="Arial" w:hint="default"/>
      </w:rPr>
    </w:lvl>
    <w:lvl w:ilvl="2" w:tplc="19DEADD2">
      <w:start w:val="1"/>
      <w:numFmt w:val="bullet"/>
      <w:lvlText w:val="»"/>
      <w:lvlJc w:val="left"/>
      <w:pPr>
        <w:tabs>
          <w:tab w:val="num" w:pos="1800"/>
        </w:tabs>
        <w:ind w:left="1800" w:hanging="360"/>
      </w:pPr>
      <w:rPr>
        <w:rFonts w:ascii="Arial" w:hAnsi="Arial" w:hint="default"/>
      </w:rPr>
    </w:lvl>
    <w:lvl w:ilvl="3" w:tplc="E0AA9600" w:tentative="1">
      <w:start w:val="1"/>
      <w:numFmt w:val="bullet"/>
      <w:lvlText w:val="»"/>
      <w:lvlJc w:val="left"/>
      <w:pPr>
        <w:tabs>
          <w:tab w:val="num" w:pos="2520"/>
        </w:tabs>
        <w:ind w:left="2520" w:hanging="360"/>
      </w:pPr>
      <w:rPr>
        <w:rFonts w:ascii="Arial" w:hAnsi="Arial" w:hint="default"/>
      </w:rPr>
    </w:lvl>
    <w:lvl w:ilvl="4" w:tplc="EF4E14DC" w:tentative="1">
      <w:start w:val="1"/>
      <w:numFmt w:val="bullet"/>
      <w:lvlText w:val="»"/>
      <w:lvlJc w:val="left"/>
      <w:pPr>
        <w:tabs>
          <w:tab w:val="num" w:pos="3240"/>
        </w:tabs>
        <w:ind w:left="3240" w:hanging="360"/>
      </w:pPr>
      <w:rPr>
        <w:rFonts w:ascii="Arial" w:hAnsi="Arial" w:hint="default"/>
      </w:rPr>
    </w:lvl>
    <w:lvl w:ilvl="5" w:tplc="A8C642F2" w:tentative="1">
      <w:start w:val="1"/>
      <w:numFmt w:val="bullet"/>
      <w:lvlText w:val="»"/>
      <w:lvlJc w:val="left"/>
      <w:pPr>
        <w:tabs>
          <w:tab w:val="num" w:pos="3960"/>
        </w:tabs>
        <w:ind w:left="3960" w:hanging="360"/>
      </w:pPr>
      <w:rPr>
        <w:rFonts w:ascii="Arial" w:hAnsi="Arial" w:hint="default"/>
      </w:rPr>
    </w:lvl>
    <w:lvl w:ilvl="6" w:tplc="8DE8619E" w:tentative="1">
      <w:start w:val="1"/>
      <w:numFmt w:val="bullet"/>
      <w:lvlText w:val="»"/>
      <w:lvlJc w:val="left"/>
      <w:pPr>
        <w:tabs>
          <w:tab w:val="num" w:pos="4680"/>
        </w:tabs>
        <w:ind w:left="4680" w:hanging="360"/>
      </w:pPr>
      <w:rPr>
        <w:rFonts w:ascii="Arial" w:hAnsi="Arial" w:hint="default"/>
      </w:rPr>
    </w:lvl>
    <w:lvl w:ilvl="7" w:tplc="63923778" w:tentative="1">
      <w:start w:val="1"/>
      <w:numFmt w:val="bullet"/>
      <w:lvlText w:val="»"/>
      <w:lvlJc w:val="left"/>
      <w:pPr>
        <w:tabs>
          <w:tab w:val="num" w:pos="5400"/>
        </w:tabs>
        <w:ind w:left="5400" w:hanging="360"/>
      </w:pPr>
      <w:rPr>
        <w:rFonts w:ascii="Arial" w:hAnsi="Arial" w:hint="default"/>
      </w:rPr>
    </w:lvl>
    <w:lvl w:ilvl="8" w:tplc="7A6E4EC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3"/>
  </w:num>
  <w:num w:numId="3">
    <w:abstractNumId w:val="32"/>
  </w:num>
  <w:num w:numId="4">
    <w:abstractNumId w:val="8"/>
  </w:num>
  <w:num w:numId="5">
    <w:abstractNumId w:val="18"/>
  </w:num>
  <w:num w:numId="6">
    <w:abstractNumId w:val="30"/>
  </w:num>
  <w:num w:numId="7">
    <w:abstractNumId w:val="24"/>
  </w:num>
  <w:num w:numId="8">
    <w:abstractNumId w:val="6"/>
  </w:num>
  <w:num w:numId="9">
    <w:abstractNumId w:val="2"/>
  </w:num>
  <w:num w:numId="10">
    <w:abstractNumId w:val="7"/>
  </w:num>
  <w:num w:numId="11">
    <w:abstractNumId w:val="23"/>
  </w:num>
  <w:num w:numId="12">
    <w:abstractNumId w:val="15"/>
  </w:num>
  <w:num w:numId="13">
    <w:abstractNumId w:val="4"/>
  </w:num>
  <w:num w:numId="14">
    <w:abstractNumId w:val="22"/>
  </w:num>
  <w:num w:numId="15">
    <w:abstractNumId w:val="10"/>
  </w:num>
  <w:num w:numId="16">
    <w:abstractNumId w:val="28"/>
  </w:num>
  <w:num w:numId="17">
    <w:abstractNumId w:val="5"/>
  </w:num>
  <w:num w:numId="18">
    <w:abstractNumId w:val="25"/>
  </w:num>
  <w:num w:numId="19">
    <w:abstractNumId w:val="35"/>
  </w:num>
  <w:num w:numId="20">
    <w:abstractNumId w:val="1"/>
  </w:num>
  <w:num w:numId="21">
    <w:abstractNumId w:val="40"/>
  </w:num>
  <w:num w:numId="22">
    <w:abstractNumId w:val="38"/>
  </w:num>
  <w:num w:numId="23">
    <w:abstractNumId w:val="29"/>
  </w:num>
  <w:num w:numId="24">
    <w:abstractNumId w:val="14"/>
  </w:num>
  <w:num w:numId="25">
    <w:abstractNumId w:val="37"/>
  </w:num>
  <w:num w:numId="26">
    <w:abstractNumId w:val="36"/>
  </w:num>
  <w:num w:numId="27">
    <w:abstractNumId w:val="34"/>
  </w:num>
  <w:num w:numId="28">
    <w:abstractNumId w:val="9"/>
  </w:num>
  <w:num w:numId="29">
    <w:abstractNumId w:val="19"/>
  </w:num>
  <w:num w:numId="30">
    <w:abstractNumId w:val="8"/>
  </w:num>
  <w:num w:numId="31">
    <w:abstractNumId w:val="13"/>
  </w:num>
  <w:num w:numId="32">
    <w:abstractNumId w:val="20"/>
  </w:num>
  <w:num w:numId="33">
    <w:abstractNumId w:val="26"/>
  </w:num>
  <w:num w:numId="34">
    <w:abstractNumId w:val="17"/>
  </w:num>
  <w:num w:numId="35">
    <w:abstractNumId w:val="16"/>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9"/>
  </w:num>
  <w:num w:numId="39">
    <w:abstractNumId w:val="12"/>
  </w:num>
  <w:num w:numId="40">
    <w:abstractNumId w:val="3"/>
  </w:num>
  <w:num w:numId="41">
    <w:abstractNumId w:val="11"/>
  </w:num>
  <w:num w:numId="4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CB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6A"/>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2DA5"/>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5434"/>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123"/>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D51"/>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49F"/>
    <w:rsid w:val="004935A4"/>
    <w:rsid w:val="00493A0D"/>
    <w:rsid w:val="00493D08"/>
    <w:rsid w:val="00494506"/>
    <w:rsid w:val="00494E75"/>
    <w:rsid w:val="00495071"/>
    <w:rsid w:val="00495227"/>
    <w:rsid w:val="00495482"/>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CAB"/>
    <w:rsid w:val="00557DC5"/>
    <w:rsid w:val="00560AC9"/>
    <w:rsid w:val="00560DDA"/>
    <w:rsid w:val="00561250"/>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E7F3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1B1"/>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E34"/>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9C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247"/>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97A"/>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D8D"/>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397"/>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624"/>
    <w:rsid w:val="009926DD"/>
    <w:rsid w:val="009927C4"/>
    <w:rsid w:val="00992B8A"/>
    <w:rsid w:val="009930C0"/>
    <w:rsid w:val="0099324C"/>
    <w:rsid w:val="00993627"/>
    <w:rsid w:val="00993658"/>
    <w:rsid w:val="0099367D"/>
    <w:rsid w:val="009936F0"/>
    <w:rsid w:val="00993720"/>
    <w:rsid w:val="00993DA5"/>
    <w:rsid w:val="009945CF"/>
    <w:rsid w:val="00995360"/>
    <w:rsid w:val="009954AD"/>
    <w:rsid w:val="0099558E"/>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11A9"/>
    <w:rsid w:val="009E176B"/>
    <w:rsid w:val="009E1E13"/>
    <w:rsid w:val="009E1F70"/>
    <w:rsid w:val="009E1FFC"/>
    <w:rsid w:val="009E2F97"/>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A49"/>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4FC1"/>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891"/>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3C4"/>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4D5"/>
    <w:rsid w:val="00C40B7D"/>
    <w:rsid w:val="00C42130"/>
    <w:rsid w:val="00C4223B"/>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45D"/>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421"/>
    <w:rsid w:val="00CA5F22"/>
    <w:rsid w:val="00CA6164"/>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4D7"/>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34"/>
    <w:rsid w:val="00D60BCB"/>
    <w:rsid w:val="00D60CB2"/>
    <w:rsid w:val="00D60DD4"/>
    <w:rsid w:val="00D62243"/>
    <w:rsid w:val="00D6278F"/>
    <w:rsid w:val="00D62949"/>
    <w:rsid w:val="00D62A0D"/>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18"/>
    <w:rsid w:val="00E02D8C"/>
    <w:rsid w:val="00E032C1"/>
    <w:rsid w:val="00E039C0"/>
    <w:rsid w:val="00E04353"/>
    <w:rsid w:val="00E045CC"/>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626E"/>
    <w:rsid w:val="00E164E8"/>
    <w:rsid w:val="00E1654E"/>
    <w:rsid w:val="00E1661F"/>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F08"/>
    <w:rsid w:val="00E6412A"/>
    <w:rsid w:val="00E64286"/>
    <w:rsid w:val="00E64763"/>
    <w:rsid w:val="00E649CE"/>
    <w:rsid w:val="00E656C1"/>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11"/>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18F7"/>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2F9A"/>
    <w:rsid w:val="00FC330F"/>
    <w:rsid w:val="00FC37F0"/>
    <w:rsid w:val="00FC3BBC"/>
    <w:rsid w:val="00FC3EEB"/>
    <w:rsid w:val="00FC416A"/>
    <w:rsid w:val="00FC4278"/>
    <w:rsid w:val="00FC4423"/>
    <w:rsid w:val="00FC46F1"/>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172"/>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72"/>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6F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C4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C46F1"/>
    <w:pPr>
      <w:pBdr>
        <w:top w:val="none" w:sz="0" w:space="0" w:color="auto"/>
      </w:pBdr>
      <w:spacing w:before="180"/>
      <w:outlineLvl w:val="1"/>
    </w:pPr>
    <w:rPr>
      <w:sz w:val="32"/>
    </w:rPr>
  </w:style>
  <w:style w:type="paragraph" w:styleId="Heading3">
    <w:name w:val="heading 3"/>
    <w:basedOn w:val="Heading2"/>
    <w:next w:val="Normal"/>
    <w:link w:val="Heading3Char"/>
    <w:qFormat/>
    <w:rsid w:val="00FC46F1"/>
    <w:pPr>
      <w:spacing w:before="120"/>
      <w:outlineLvl w:val="2"/>
    </w:pPr>
    <w:rPr>
      <w:sz w:val="28"/>
    </w:rPr>
  </w:style>
  <w:style w:type="paragraph" w:styleId="Heading4">
    <w:name w:val="heading 4"/>
    <w:aliases w:val="h4"/>
    <w:basedOn w:val="Heading3"/>
    <w:next w:val="Normal"/>
    <w:link w:val="Heading4Char"/>
    <w:qFormat/>
    <w:rsid w:val="00FC46F1"/>
    <w:pPr>
      <w:ind w:left="1418" w:hanging="1418"/>
      <w:outlineLvl w:val="3"/>
    </w:pPr>
    <w:rPr>
      <w:sz w:val="24"/>
    </w:rPr>
  </w:style>
  <w:style w:type="paragraph" w:styleId="Heading5">
    <w:name w:val="heading 5"/>
    <w:basedOn w:val="Heading4"/>
    <w:next w:val="Normal"/>
    <w:link w:val="Heading5Char"/>
    <w:qFormat/>
    <w:rsid w:val="00FC46F1"/>
    <w:pPr>
      <w:ind w:left="1701" w:hanging="1701"/>
      <w:outlineLvl w:val="4"/>
    </w:pPr>
    <w:rPr>
      <w:sz w:val="22"/>
    </w:rPr>
  </w:style>
  <w:style w:type="paragraph" w:styleId="Heading6">
    <w:name w:val="heading 6"/>
    <w:basedOn w:val="H6"/>
    <w:next w:val="Normal"/>
    <w:qFormat/>
    <w:rsid w:val="00FC46F1"/>
    <w:pPr>
      <w:outlineLvl w:val="5"/>
    </w:pPr>
  </w:style>
  <w:style w:type="paragraph" w:styleId="Heading7">
    <w:name w:val="heading 7"/>
    <w:basedOn w:val="H6"/>
    <w:next w:val="Normal"/>
    <w:qFormat/>
    <w:rsid w:val="00FC46F1"/>
    <w:pPr>
      <w:outlineLvl w:val="6"/>
    </w:pPr>
  </w:style>
  <w:style w:type="paragraph" w:styleId="Heading8">
    <w:name w:val="heading 8"/>
    <w:basedOn w:val="Heading1"/>
    <w:next w:val="Normal"/>
    <w:qFormat/>
    <w:rsid w:val="00FC46F1"/>
    <w:pPr>
      <w:ind w:left="0" w:firstLine="0"/>
      <w:outlineLvl w:val="7"/>
    </w:pPr>
  </w:style>
  <w:style w:type="paragraph" w:styleId="Heading9">
    <w:name w:val="heading 9"/>
    <w:basedOn w:val="Heading8"/>
    <w:next w:val="Normal"/>
    <w:qFormat/>
    <w:rsid w:val="00FC4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46F1"/>
    <w:pPr>
      <w:spacing w:before="180"/>
      <w:ind w:left="2693" w:hanging="2693"/>
    </w:pPr>
    <w:rPr>
      <w:b/>
    </w:rPr>
  </w:style>
  <w:style w:type="paragraph" w:styleId="TOC1">
    <w:name w:val="toc 1"/>
    <w:semiHidden/>
    <w:rsid w:val="00FC46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C46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C46F1"/>
    <w:pPr>
      <w:ind w:left="1701" w:hanging="1701"/>
    </w:pPr>
  </w:style>
  <w:style w:type="paragraph" w:styleId="TOC4">
    <w:name w:val="toc 4"/>
    <w:basedOn w:val="TOC3"/>
    <w:semiHidden/>
    <w:rsid w:val="00FC46F1"/>
    <w:pPr>
      <w:ind w:left="1418" w:hanging="1418"/>
    </w:pPr>
  </w:style>
  <w:style w:type="paragraph" w:styleId="TOC3">
    <w:name w:val="toc 3"/>
    <w:basedOn w:val="TOC2"/>
    <w:semiHidden/>
    <w:rsid w:val="00FC46F1"/>
    <w:pPr>
      <w:ind w:left="1134" w:hanging="1134"/>
    </w:pPr>
  </w:style>
  <w:style w:type="paragraph" w:styleId="TOC2">
    <w:name w:val="toc 2"/>
    <w:basedOn w:val="TOC1"/>
    <w:semiHidden/>
    <w:rsid w:val="00FC46F1"/>
    <w:pPr>
      <w:keepNext w:val="0"/>
      <w:spacing w:before="0"/>
      <w:ind w:left="851" w:hanging="851"/>
    </w:pPr>
    <w:rPr>
      <w:sz w:val="20"/>
    </w:rPr>
  </w:style>
  <w:style w:type="paragraph" w:styleId="Index2">
    <w:name w:val="index 2"/>
    <w:basedOn w:val="Index1"/>
    <w:semiHidden/>
    <w:rsid w:val="00FC46F1"/>
    <w:pPr>
      <w:ind w:left="284"/>
    </w:pPr>
  </w:style>
  <w:style w:type="paragraph" w:styleId="Index1">
    <w:name w:val="index 1"/>
    <w:basedOn w:val="Normal"/>
    <w:semiHidden/>
    <w:rsid w:val="00FC46F1"/>
    <w:pPr>
      <w:keepLines/>
      <w:spacing w:after="0"/>
    </w:pPr>
  </w:style>
  <w:style w:type="paragraph" w:customStyle="1" w:styleId="ZH">
    <w:name w:val="ZH"/>
    <w:rsid w:val="00FC46F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C46F1"/>
    <w:pPr>
      <w:outlineLvl w:val="9"/>
    </w:pPr>
  </w:style>
  <w:style w:type="paragraph" w:styleId="ListNumber2">
    <w:name w:val="List Number 2"/>
    <w:basedOn w:val="ListNumber"/>
    <w:rsid w:val="00FC46F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46F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C46F1"/>
    <w:rPr>
      <w:b/>
      <w:position w:val="6"/>
      <w:sz w:val="16"/>
    </w:rPr>
  </w:style>
  <w:style w:type="paragraph" w:styleId="FootnoteText">
    <w:name w:val="footnote text"/>
    <w:basedOn w:val="Normal"/>
    <w:semiHidden/>
    <w:rsid w:val="00FC46F1"/>
    <w:pPr>
      <w:keepLines/>
      <w:spacing w:after="0"/>
      <w:ind w:left="454" w:hanging="454"/>
    </w:pPr>
    <w:rPr>
      <w:sz w:val="16"/>
    </w:rPr>
  </w:style>
  <w:style w:type="paragraph" w:customStyle="1" w:styleId="TAH">
    <w:name w:val="TAH"/>
    <w:basedOn w:val="TAC"/>
    <w:link w:val="TAHCar"/>
    <w:rsid w:val="00FC46F1"/>
    <w:rPr>
      <w:b/>
    </w:rPr>
  </w:style>
  <w:style w:type="paragraph" w:customStyle="1" w:styleId="TAC">
    <w:name w:val="TAC"/>
    <w:basedOn w:val="TAL"/>
    <w:link w:val="TACChar"/>
    <w:rsid w:val="00FC46F1"/>
    <w:pPr>
      <w:jc w:val="center"/>
    </w:pPr>
  </w:style>
  <w:style w:type="paragraph" w:customStyle="1" w:styleId="TF">
    <w:name w:val="TF"/>
    <w:basedOn w:val="TH"/>
    <w:rsid w:val="00FC46F1"/>
    <w:pPr>
      <w:keepNext w:val="0"/>
      <w:spacing w:before="0" w:after="240"/>
    </w:pPr>
  </w:style>
  <w:style w:type="paragraph" w:customStyle="1" w:styleId="NO">
    <w:name w:val="NO"/>
    <w:basedOn w:val="Normal"/>
    <w:rsid w:val="00FC46F1"/>
    <w:pPr>
      <w:keepLines/>
      <w:ind w:left="1135" w:hanging="851"/>
    </w:pPr>
  </w:style>
  <w:style w:type="paragraph" w:styleId="TOC9">
    <w:name w:val="toc 9"/>
    <w:basedOn w:val="TOC8"/>
    <w:semiHidden/>
    <w:rsid w:val="00FC46F1"/>
    <w:pPr>
      <w:ind w:left="1418" w:hanging="1418"/>
    </w:pPr>
  </w:style>
  <w:style w:type="paragraph" w:customStyle="1" w:styleId="EX">
    <w:name w:val="EX"/>
    <w:basedOn w:val="Normal"/>
    <w:rsid w:val="00FC46F1"/>
    <w:pPr>
      <w:keepLines/>
      <w:ind w:left="1702" w:hanging="1418"/>
    </w:pPr>
  </w:style>
  <w:style w:type="paragraph" w:customStyle="1" w:styleId="FP">
    <w:name w:val="FP"/>
    <w:basedOn w:val="Normal"/>
    <w:rsid w:val="00FC46F1"/>
    <w:pPr>
      <w:spacing w:after="0"/>
    </w:pPr>
  </w:style>
  <w:style w:type="paragraph" w:customStyle="1" w:styleId="LD">
    <w:name w:val="LD"/>
    <w:rsid w:val="00FC46F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C46F1"/>
    <w:pPr>
      <w:spacing w:after="0"/>
    </w:pPr>
  </w:style>
  <w:style w:type="paragraph" w:customStyle="1" w:styleId="EW">
    <w:name w:val="EW"/>
    <w:basedOn w:val="EX"/>
    <w:rsid w:val="00FC46F1"/>
    <w:pPr>
      <w:spacing w:after="0"/>
    </w:pPr>
  </w:style>
  <w:style w:type="paragraph" w:styleId="TOC6">
    <w:name w:val="toc 6"/>
    <w:basedOn w:val="TOC5"/>
    <w:next w:val="Normal"/>
    <w:semiHidden/>
    <w:rsid w:val="00FC46F1"/>
    <w:pPr>
      <w:ind w:left="1985" w:hanging="1985"/>
    </w:pPr>
  </w:style>
  <w:style w:type="paragraph" w:styleId="TOC7">
    <w:name w:val="toc 7"/>
    <w:basedOn w:val="TOC6"/>
    <w:next w:val="Normal"/>
    <w:semiHidden/>
    <w:rsid w:val="00FC46F1"/>
    <w:pPr>
      <w:ind w:left="2268" w:hanging="2268"/>
    </w:pPr>
  </w:style>
  <w:style w:type="paragraph" w:styleId="ListBullet2">
    <w:name w:val="List Bullet 2"/>
    <w:basedOn w:val="ListBullet"/>
    <w:rsid w:val="00FC46F1"/>
    <w:pPr>
      <w:ind w:left="851"/>
    </w:pPr>
  </w:style>
  <w:style w:type="paragraph" w:styleId="ListBullet3">
    <w:name w:val="List Bullet 3"/>
    <w:basedOn w:val="ListBullet2"/>
    <w:rsid w:val="00FC46F1"/>
    <w:pPr>
      <w:ind w:left="1135"/>
    </w:pPr>
  </w:style>
  <w:style w:type="paragraph" w:styleId="ListNumber">
    <w:name w:val="List Number"/>
    <w:basedOn w:val="List"/>
    <w:rsid w:val="00FC46F1"/>
  </w:style>
  <w:style w:type="paragraph" w:customStyle="1" w:styleId="EQ">
    <w:name w:val="EQ"/>
    <w:basedOn w:val="Normal"/>
    <w:next w:val="Normal"/>
    <w:rsid w:val="00FC46F1"/>
    <w:pPr>
      <w:keepLines/>
      <w:tabs>
        <w:tab w:val="center" w:pos="4536"/>
        <w:tab w:val="right" w:pos="9072"/>
      </w:tabs>
    </w:pPr>
    <w:rPr>
      <w:noProof/>
    </w:rPr>
  </w:style>
  <w:style w:type="paragraph" w:customStyle="1" w:styleId="TH">
    <w:name w:val="TH"/>
    <w:basedOn w:val="Normal"/>
    <w:rsid w:val="00FC46F1"/>
    <w:pPr>
      <w:keepNext/>
      <w:keepLines/>
      <w:spacing w:before="60"/>
      <w:jc w:val="center"/>
    </w:pPr>
    <w:rPr>
      <w:rFonts w:ascii="Arial" w:hAnsi="Arial"/>
      <w:b/>
    </w:rPr>
  </w:style>
  <w:style w:type="paragraph" w:customStyle="1" w:styleId="NF">
    <w:name w:val="NF"/>
    <w:basedOn w:val="NO"/>
    <w:rsid w:val="00FC46F1"/>
    <w:pPr>
      <w:keepNext/>
      <w:spacing w:after="0"/>
    </w:pPr>
    <w:rPr>
      <w:rFonts w:ascii="Arial" w:hAnsi="Arial"/>
      <w:sz w:val="18"/>
    </w:rPr>
  </w:style>
  <w:style w:type="paragraph" w:customStyle="1" w:styleId="PL">
    <w:name w:val="PL"/>
    <w:rsid w:val="00FC4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C46F1"/>
    <w:pPr>
      <w:jc w:val="right"/>
    </w:pPr>
  </w:style>
  <w:style w:type="paragraph" w:customStyle="1" w:styleId="H6">
    <w:name w:val="H6"/>
    <w:basedOn w:val="Heading5"/>
    <w:next w:val="Normal"/>
    <w:rsid w:val="00FC46F1"/>
    <w:pPr>
      <w:ind w:left="1985" w:hanging="1985"/>
      <w:outlineLvl w:val="9"/>
    </w:pPr>
    <w:rPr>
      <w:sz w:val="20"/>
    </w:rPr>
  </w:style>
  <w:style w:type="paragraph" w:customStyle="1" w:styleId="TAN">
    <w:name w:val="TAN"/>
    <w:basedOn w:val="TAL"/>
    <w:rsid w:val="00FC46F1"/>
    <w:pPr>
      <w:ind w:left="851" w:hanging="851"/>
    </w:pPr>
  </w:style>
  <w:style w:type="paragraph" w:customStyle="1" w:styleId="TAL">
    <w:name w:val="TAL"/>
    <w:basedOn w:val="Normal"/>
    <w:link w:val="TALChar"/>
    <w:rsid w:val="00FC46F1"/>
    <w:pPr>
      <w:keepNext/>
      <w:keepLines/>
      <w:spacing w:after="0"/>
    </w:pPr>
    <w:rPr>
      <w:rFonts w:ascii="Arial" w:hAnsi="Arial"/>
      <w:sz w:val="18"/>
    </w:rPr>
  </w:style>
  <w:style w:type="paragraph" w:customStyle="1" w:styleId="ZA">
    <w:name w:val="ZA"/>
    <w:rsid w:val="00FC46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C46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C46F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C46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C46F1"/>
    <w:pPr>
      <w:framePr w:wrap="notBeside" w:y="16161"/>
    </w:pPr>
  </w:style>
  <w:style w:type="character" w:customStyle="1" w:styleId="ZGSM">
    <w:name w:val="ZGSM"/>
    <w:rsid w:val="00FC46F1"/>
  </w:style>
  <w:style w:type="paragraph" w:styleId="List2">
    <w:name w:val="List 2"/>
    <w:basedOn w:val="List"/>
    <w:rsid w:val="00FC46F1"/>
    <w:pPr>
      <w:ind w:left="851"/>
    </w:pPr>
  </w:style>
  <w:style w:type="paragraph" w:customStyle="1" w:styleId="ZG">
    <w:name w:val="ZG"/>
    <w:rsid w:val="00FC46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C46F1"/>
    <w:pPr>
      <w:ind w:left="1135"/>
    </w:pPr>
  </w:style>
  <w:style w:type="paragraph" w:styleId="List4">
    <w:name w:val="List 4"/>
    <w:basedOn w:val="List3"/>
    <w:rsid w:val="00FC46F1"/>
    <w:pPr>
      <w:ind w:left="1418"/>
    </w:pPr>
  </w:style>
  <w:style w:type="paragraph" w:styleId="List5">
    <w:name w:val="List 5"/>
    <w:basedOn w:val="List4"/>
    <w:rsid w:val="00FC46F1"/>
    <w:pPr>
      <w:ind w:left="1702"/>
    </w:pPr>
  </w:style>
  <w:style w:type="paragraph" w:customStyle="1" w:styleId="EditorsNote">
    <w:name w:val="Editor's Note"/>
    <w:basedOn w:val="NO"/>
    <w:rsid w:val="00FC46F1"/>
    <w:rPr>
      <w:color w:val="FF0000"/>
    </w:rPr>
  </w:style>
  <w:style w:type="paragraph" w:styleId="List">
    <w:name w:val="List"/>
    <w:basedOn w:val="Normal"/>
    <w:rsid w:val="00FC46F1"/>
    <w:pPr>
      <w:ind w:left="568" w:hanging="284"/>
    </w:pPr>
  </w:style>
  <w:style w:type="paragraph" w:styleId="ListBullet">
    <w:name w:val="List Bullet"/>
    <w:basedOn w:val="List"/>
    <w:rsid w:val="00FC46F1"/>
  </w:style>
  <w:style w:type="paragraph" w:styleId="ListBullet4">
    <w:name w:val="List Bullet 4"/>
    <w:basedOn w:val="ListBullet3"/>
    <w:rsid w:val="00FC46F1"/>
    <w:pPr>
      <w:ind w:left="1418"/>
    </w:pPr>
  </w:style>
  <w:style w:type="paragraph" w:styleId="ListBullet5">
    <w:name w:val="List Bullet 5"/>
    <w:basedOn w:val="ListBullet4"/>
    <w:rsid w:val="00FC46F1"/>
    <w:pPr>
      <w:ind w:left="1702"/>
    </w:pPr>
  </w:style>
  <w:style w:type="paragraph" w:customStyle="1" w:styleId="B1">
    <w:name w:val="B1"/>
    <w:basedOn w:val="List"/>
    <w:link w:val="B1Char1"/>
    <w:rsid w:val="00FC46F1"/>
  </w:style>
  <w:style w:type="paragraph" w:customStyle="1" w:styleId="B2">
    <w:name w:val="B2"/>
    <w:basedOn w:val="List2"/>
    <w:rsid w:val="00FC46F1"/>
  </w:style>
  <w:style w:type="paragraph" w:customStyle="1" w:styleId="B3">
    <w:name w:val="B3"/>
    <w:basedOn w:val="List3"/>
    <w:rsid w:val="00FC46F1"/>
  </w:style>
  <w:style w:type="paragraph" w:customStyle="1" w:styleId="B4">
    <w:name w:val="B4"/>
    <w:basedOn w:val="List4"/>
    <w:rsid w:val="00FC46F1"/>
  </w:style>
  <w:style w:type="paragraph" w:customStyle="1" w:styleId="B5">
    <w:name w:val="B5"/>
    <w:basedOn w:val="List5"/>
    <w:rsid w:val="00FC46F1"/>
  </w:style>
  <w:style w:type="paragraph" w:styleId="Footer">
    <w:name w:val="footer"/>
    <w:basedOn w:val="Header"/>
    <w:link w:val="FooterChar"/>
    <w:uiPriority w:val="99"/>
    <w:rsid w:val="00FC46F1"/>
    <w:pPr>
      <w:jc w:val="center"/>
    </w:pPr>
    <w:rPr>
      <w:i/>
    </w:rPr>
  </w:style>
  <w:style w:type="paragraph" w:customStyle="1" w:styleId="ZTD">
    <w:name w:val="ZTD"/>
    <w:basedOn w:val="ZB"/>
    <w:rsid w:val="00FC46F1"/>
    <w:pPr>
      <w:framePr w:hRule="auto" w:wrap="notBeside" w:y="852"/>
    </w:pPr>
    <w:rPr>
      <w:i w:val="0"/>
      <w:sz w:val="40"/>
    </w:rPr>
  </w:style>
  <w:style w:type="character" w:customStyle="1" w:styleId="MTEquationSection">
    <w:name w:val="MTEquationSection"/>
    <w:rsid w:val="00FC46F1"/>
    <w:rPr>
      <w:rFonts w:ascii="Arial" w:hAnsi="Arial"/>
      <w:vanish w:val="0"/>
      <w:color w:val="FF0000"/>
      <w:sz w:val="24"/>
    </w:rPr>
  </w:style>
  <w:style w:type="paragraph" w:styleId="BodyText3">
    <w:name w:val="Body Text 3"/>
    <w:basedOn w:val="Normal"/>
    <w:rsid w:val="00FC46F1"/>
    <w:rPr>
      <w:i/>
    </w:rPr>
  </w:style>
  <w:style w:type="paragraph" w:styleId="DocumentMap">
    <w:name w:val="Document Map"/>
    <w:basedOn w:val="Normal"/>
    <w:semiHidden/>
    <w:rsid w:val="00FC46F1"/>
    <w:pPr>
      <w:shd w:val="clear" w:color="auto" w:fill="000080"/>
    </w:pPr>
    <w:rPr>
      <w:rFonts w:ascii="Tahoma" w:hAnsi="Tahoma"/>
    </w:rPr>
  </w:style>
  <w:style w:type="paragraph" w:customStyle="1" w:styleId="Bulletedo1">
    <w:name w:val="Bulleted o 1"/>
    <w:basedOn w:val="Normal"/>
    <w:rsid w:val="00FC46F1"/>
    <w:pPr>
      <w:numPr>
        <w:numId w:val="1"/>
      </w:numPr>
    </w:pPr>
  </w:style>
  <w:style w:type="paragraph" w:customStyle="1" w:styleId="text">
    <w:name w:val="text"/>
    <w:basedOn w:val="Normal"/>
    <w:rsid w:val="00FC46F1"/>
    <w:pPr>
      <w:spacing w:after="240"/>
      <w:jc w:val="both"/>
    </w:pPr>
    <w:rPr>
      <w:sz w:val="24"/>
      <w:lang w:eastAsia="zh-CN"/>
    </w:rPr>
  </w:style>
  <w:style w:type="paragraph" w:customStyle="1" w:styleId="Equation">
    <w:name w:val="Equation"/>
    <w:basedOn w:val="Normal"/>
    <w:next w:val="Normal"/>
    <w:rsid w:val="00FC46F1"/>
    <w:pPr>
      <w:tabs>
        <w:tab w:val="right" w:pos="10206"/>
      </w:tabs>
      <w:spacing w:after="220"/>
      <w:ind w:left="1298"/>
    </w:pPr>
    <w:rPr>
      <w:rFonts w:ascii="Arial" w:hAnsi="Arial"/>
      <w:sz w:val="22"/>
      <w:lang w:eastAsia="zh-CN"/>
    </w:rPr>
  </w:style>
  <w:style w:type="paragraph" w:customStyle="1" w:styleId="00BodyText">
    <w:name w:val="00 BodyText"/>
    <w:basedOn w:val="Normal"/>
    <w:rsid w:val="00FC46F1"/>
    <w:pPr>
      <w:spacing w:after="220"/>
    </w:pPr>
    <w:rPr>
      <w:rFonts w:ascii="Arial" w:hAnsi="Arial"/>
      <w:sz w:val="22"/>
    </w:rPr>
  </w:style>
  <w:style w:type="paragraph" w:customStyle="1" w:styleId="11BodyText">
    <w:name w:val="11 BodyText"/>
    <w:basedOn w:val="Normal"/>
    <w:rsid w:val="00FC46F1"/>
    <w:pPr>
      <w:spacing w:after="220"/>
      <w:ind w:left="1298"/>
    </w:pPr>
    <w:rPr>
      <w:rFonts w:ascii="Arial" w:hAnsi="Arial"/>
      <w:sz w:val="22"/>
    </w:rPr>
  </w:style>
  <w:style w:type="paragraph" w:customStyle="1" w:styleId="table">
    <w:name w:val="table"/>
    <w:basedOn w:val="text"/>
    <w:next w:val="text"/>
    <w:rsid w:val="00FC46F1"/>
    <w:pPr>
      <w:spacing w:after="0"/>
      <w:jc w:val="center"/>
    </w:pPr>
    <w:rPr>
      <w:sz w:val="20"/>
    </w:rPr>
  </w:style>
  <w:style w:type="paragraph" w:styleId="Caption">
    <w:name w:val="caption"/>
    <w:aliases w:val="cap"/>
    <w:basedOn w:val="Normal"/>
    <w:next w:val="Normal"/>
    <w:qFormat/>
    <w:rsid w:val="00FC46F1"/>
    <w:pPr>
      <w:spacing w:before="120" w:after="120"/>
    </w:pPr>
    <w:rPr>
      <w:b/>
      <w:bCs/>
    </w:rPr>
  </w:style>
  <w:style w:type="paragraph" w:customStyle="1" w:styleId="bodyCharCharChar">
    <w:name w:val="body Char Char Char"/>
    <w:basedOn w:val="Normal"/>
    <w:rsid w:val="00FC46F1"/>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C46F1"/>
    <w:pPr>
      <w:spacing w:after="120"/>
      <w:jc w:val="both"/>
    </w:pPr>
    <w:rPr>
      <w:rFonts w:ascii="Times" w:hAnsi="Times"/>
      <w:szCs w:val="24"/>
    </w:rPr>
  </w:style>
  <w:style w:type="paragraph" w:styleId="BodyText2">
    <w:name w:val="Body Text 2"/>
    <w:basedOn w:val="Normal"/>
    <w:rsid w:val="00FC46F1"/>
    <w:pPr>
      <w:tabs>
        <w:tab w:val="left" w:pos="1985"/>
      </w:tabs>
      <w:spacing w:after="0"/>
      <w:jc w:val="both"/>
    </w:pPr>
    <w:rPr>
      <w:rFonts w:ascii="Arial" w:hAnsi="Arial"/>
      <w:sz w:val="22"/>
    </w:rPr>
  </w:style>
  <w:style w:type="character" w:customStyle="1" w:styleId="Heading1Char">
    <w:name w:val="Heading 1 Char"/>
    <w:rsid w:val="00FC46F1"/>
    <w:rPr>
      <w:rFonts w:ascii="Arial" w:hAnsi="Arial"/>
      <w:sz w:val="36"/>
      <w:lang w:val="en-GB" w:eastAsia="en-US" w:bidi="ar-SA"/>
    </w:rPr>
  </w:style>
  <w:style w:type="paragraph" w:customStyle="1" w:styleId="body">
    <w:name w:val="body"/>
    <w:basedOn w:val="Normal"/>
    <w:rsid w:val="00FC46F1"/>
    <w:pPr>
      <w:tabs>
        <w:tab w:val="left" w:pos="2160"/>
      </w:tabs>
      <w:spacing w:before="120" w:after="120" w:line="280" w:lineRule="atLeast"/>
      <w:jc w:val="both"/>
    </w:pPr>
    <w:rPr>
      <w:rFonts w:ascii="New York" w:hAnsi="New York"/>
      <w:sz w:val="24"/>
    </w:rPr>
  </w:style>
  <w:style w:type="table" w:styleId="TableGrid">
    <w:name w:val="Table Grid"/>
    <w:basedOn w:val="TableNormal"/>
    <w:rsid w:val="00FC46F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C46F1"/>
  </w:style>
  <w:style w:type="character" w:styleId="CommentReference">
    <w:name w:val="annotation reference"/>
    <w:uiPriority w:val="99"/>
    <w:semiHidden/>
    <w:rsid w:val="00FC46F1"/>
    <w:rPr>
      <w:sz w:val="16"/>
      <w:szCs w:val="16"/>
    </w:rPr>
  </w:style>
  <w:style w:type="paragraph" w:styleId="CommentText">
    <w:name w:val="annotation text"/>
    <w:basedOn w:val="Normal"/>
    <w:link w:val="CommentTextChar"/>
    <w:uiPriority w:val="99"/>
    <w:rsid w:val="00FC46F1"/>
    <w:rPr>
      <w:lang w:eastAsia="x-none"/>
    </w:rPr>
  </w:style>
  <w:style w:type="paragraph" w:styleId="CommentSubject">
    <w:name w:val="annotation subject"/>
    <w:basedOn w:val="CommentText"/>
    <w:next w:val="CommentText"/>
    <w:semiHidden/>
    <w:rsid w:val="00FC46F1"/>
    <w:rPr>
      <w:b/>
      <w:bCs/>
    </w:rPr>
  </w:style>
  <w:style w:type="paragraph" w:styleId="BalloonText">
    <w:name w:val="Balloon Text"/>
    <w:basedOn w:val="Normal"/>
    <w:semiHidden/>
    <w:rsid w:val="00FC46F1"/>
    <w:rPr>
      <w:rFonts w:ascii="Tahoma" w:hAnsi="Tahoma" w:cs="Tahoma"/>
      <w:sz w:val="16"/>
      <w:szCs w:val="16"/>
    </w:rPr>
  </w:style>
  <w:style w:type="paragraph" w:customStyle="1" w:styleId="CRCoverPage">
    <w:name w:val="CR Cover Page"/>
    <w:rsid w:val="00FC46F1"/>
    <w:pPr>
      <w:spacing w:after="120"/>
    </w:pPr>
    <w:rPr>
      <w:rFonts w:ascii="Arial" w:eastAsia="MS Mincho" w:hAnsi="Arial"/>
      <w:lang w:val="en-GB" w:eastAsia="en-US"/>
    </w:rPr>
  </w:style>
  <w:style w:type="character" w:customStyle="1" w:styleId="Heading1Char1">
    <w:name w:val="Heading 1 Char1"/>
    <w:link w:val="Heading1"/>
    <w:rsid w:val="00FC46F1"/>
    <w:rPr>
      <w:rFonts w:ascii="Arial" w:hAnsi="Arial"/>
      <w:sz w:val="36"/>
      <w:lang w:val="en-GB" w:eastAsia="en-US"/>
    </w:rPr>
  </w:style>
  <w:style w:type="character" w:customStyle="1" w:styleId="Heading2Char">
    <w:name w:val="Heading 2 Char"/>
    <w:link w:val="Heading2"/>
    <w:rsid w:val="00FC46F1"/>
    <w:rPr>
      <w:rFonts w:ascii="Arial" w:hAnsi="Arial"/>
      <w:sz w:val="32"/>
      <w:lang w:val="en-GB" w:eastAsia="en-US"/>
    </w:rPr>
  </w:style>
  <w:style w:type="character" w:customStyle="1" w:styleId="Heading3Char">
    <w:name w:val="Heading 3 Char"/>
    <w:link w:val="Heading3"/>
    <w:rsid w:val="00FC46F1"/>
    <w:rPr>
      <w:rFonts w:ascii="Arial" w:hAnsi="Arial"/>
      <w:sz w:val="28"/>
      <w:lang w:val="en-GB" w:eastAsia="en-US"/>
    </w:rPr>
  </w:style>
  <w:style w:type="character" w:customStyle="1" w:styleId="Heading4Char">
    <w:name w:val="Heading 4 Char"/>
    <w:aliases w:val="h4 Char"/>
    <w:link w:val="Heading4"/>
    <w:rsid w:val="00FC46F1"/>
    <w:rPr>
      <w:rFonts w:ascii="Arial" w:hAnsi="Arial"/>
      <w:sz w:val="24"/>
      <w:lang w:val="en-GB" w:eastAsia="en-US"/>
    </w:rPr>
  </w:style>
  <w:style w:type="character" w:customStyle="1" w:styleId="Heading5Char">
    <w:name w:val="Heading 5 Char"/>
    <w:link w:val="Heading5"/>
    <w:rsid w:val="00FC46F1"/>
    <w:rPr>
      <w:rFonts w:ascii="Arial" w:hAnsi="Arial"/>
      <w:sz w:val="22"/>
      <w:lang w:val="en-GB" w:eastAsia="en-US"/>
    </w:rPr>
  </w:style>
  <w:style w:type="character" w:customStyle="1" w:styleId="CharChar3">
    <w:name w:val="Char Char3"/>
    <w:rsid w:val="00FC46F1"/>
    <w:rPr>
      <w:rFonts w:ascii="Arial" w:hAnsi="Arial"/>
      <w:sz w:val="36"/>
      <w:lang w:val="en-GB" w:eastAsia="en-US" w:bidi="ar-SA"/>
    </w:rPr>
  </w:style>
  <w:style w:type="character" w:customStyle="1" w:styleId="CharChar2">
    <w:name w:val="Char Char2"/>
    <w:rsid w:val="00FC46F1"/>
    <w:rPr>
      <w:rFonts w:ascii="Arial" w:hAnsi="Arial"/>
      <w:sz w:val="32"/>
      <w:lang w:val="en-GB" w:eastAsia="en-US" w:bidi="ar-SA"/>
    </w:rPr>
  </w:style>
  <w:style w:type="character" w:customStyle="1" w:styleId="CharChar1">
    <w:name w:val="Char Char1"/>
    <w:rsid w:val="00FC46F1"/>
    <w:rPr>
      <w:rFonts w:ascii="Arial" w:hAnsi="Arial"/>
      <w:sz w:val="28"/>
      <w:lang w:val="en-GB" w:eastAsia="en-US" w:bidi="ar-SA"/>
    </w:rPr>
  </w:style>
  <w:style w:type="character" w:customStyle="1" w:styleId="h4CharChar">
    <w:name w:val="h4 Char Char"/>
    <w:rsid w:val="00FC46F1"/>
    <w:rPr>
      <w:rFonts w:ascii="Arial" w:hAnsi="Arial"/>
      <w:sz w:val="24"/>
      <w:lang w:val="en-GB" w:eastAsia="en-US" w:bidi="ar-SA"/>
    </w:rPr>
  </w:style>
  <w:style w:type="character" w:customStyle="1" w:styleId="CharChar">
    <w:name w:val="Char Char"/>
    <w:rsid w:val="00FC46F1"/>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C46F1"/>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C46F1"/>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C46F1"/>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C46F1"/>
    <w:rPr>
      <w:rFonts w:ascii="Cambria" w:eastAsia="Times New Roman" w:hAnsi="Cambria"/>
      <w:sz w:val="24"/>
      <w:szCs w:val="24"/>
      <w:lang w:eastAsia="x-none"/>
    </w:rPr>
  </w:style>
  <w:style w:type="paragraph" w:styleId="Revision">
    <w:name w:val="Revision"/>
    <w:hidden/>
    <w:uiPriority w:val="99"/>
    <w:semiHidden/>
    <w:rsid w:val="00FC46F1"/>
    <w:rPr>
      <w:rFonts w:ascii="Times New Roman" w:hAnsi="Times New Roman"/>
      <w:lang w:val="en-GB" w:eastAsia="en-US"/>
    </w:rPr>
  </w:style>
  <w:style w:type="paragraph" w:styleId="NormalWeb">
    <w:name w:val="Normal (Web)"/>
    <w:basedOn w:val="Normal"/>
    <w:uiPriority w:val="99"/>
    <w:unhideWhenUsed/>
    <w:rsid w:val="00FC46F1"/>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C46F1"/>
    <w:rPr>
      <w:rFonts w:ascii="Times New Roman" w:hAnsi="Times New Roman"/>
      <w:lang w:eastAsia="x-none"/>
    </w:rPr>
  </w:style>
  <w:style w:type="character" w:styleId="PlaceholderText">
    <w:name w:val="Placeholder Text"/>
    <w:uiPriority w:val="99"/>
    <w:semiHidden/>
    <w:rsid w:val="00FC46F1"/>
    <w:rPr>
      <w:color w:val="808080"/>
    </w:rPr>
  </w:style>
  <w:style w:type="character" w:styleId="Hyperlink">
    <w:name w:val="Hyperlink"/>
    <w:rsid w:val="00FC46F1"/>
    <w:rPr>
      <w:color w:val="0000FF"/>
      <w:u w:val="single"/>
    </w:rPr>
  </w:style>
  <w:style w:type="character" w:styleId="FollowedHyperlink">
    <w:name w:val="FollowedHyperlink"/>
    <w:rsid w:val="00FC46F1"/>
    <w:rPr>
      <w:color w:val="800080"/>
      <w:u w:val="single"/>
    </w:rPr>
  </w:style>
  <w:style w:type="table" w:styleId="DarkList-Accent6">
    <w:name w:val="Dark List Accent 6"/>
    <w:basedOn w:val="TableNormal"/>
    <w:uiPriority w:val="70"/>
    <w:rsid w:val="00FC46F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C46F1"/>
    <w:rPr>
      <w:rFonts w:ascii="Arial" w:hAnsi="Arial"/>
      <w:b/>
      <w:i/>
      <w:noProof/>
      <w:sz w:val="18"/>
      <w:lang w:eastAsia="en-US"/>
    </w:rPr>
  </w:style>
  <w:style w:type="paragraph" w:customStyle="1" w:styleId="Doc-text2">
    <w:name w:val="Doc-text2"/>
    <w:basedOn w:val="Normal"/>
    <w:link w:val="Doc-text2Char"/>
    <w:qFormat/>
    <w:rsid w:val="00FC46F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C46F1"/>
    <w:rPr>
      <w:rFonts w:ascii="Arial" w:eastAsia="MS Mincho" w:hAnsi="Arial"/>
      <w:szCs w:val="24"/>
      <w:lang w:eastAsia="en-GB"/>
    </w:rPr>
  </w:style>
  <w:style w:type="character" w:customStyle="1" w:styleId="TALCar">
    <w:name w:val="TAL Car"/>
    <w:rsid w:val="00FC46F1"/>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588839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18982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E4A7C"/>
    <w:rsid w:val="000E5B23"/>
    <w:rsid w:val="001530CB"/>
    <w:rsid w:val="00161CEF"/>
    <w:rsid w:val="001824B7"/>
    <w:rsid w:val="0018681A"/>
    <w:rsid w:val="001C175A"/>
    <w:rsid w:val="001D5C63"/>
    <w:rsid w:val="002904B9"/>
    <w:rsid w:val="002A7F29"/>
    <w:rsid w:val="002B05C2"/>
    <w:rsid w:val="002C1D0B"/>
    <w:rsid w:val="002E2970"/>
    <w:rsid w:val="00301929"/>
    <w:rsid w:val="0033341A"/>
    <w:rsid w:val="003D54D0"/>
    <w:rsid w:val="00476631"/>
    <w:rsid w:val="004A66E6"/>
    <w:rsid w:val="004F0324"/>
    <w:rsid w:val="005431B8"/>
    <w:rsid w:val="005A43B9"/>
    <w:rsid w:val="006001B2"/>
    <w:rsid w:val="0064289C"/>
    <w:rsid w:val="00667A32"/>
    <w:rsid w:val="0068518C"/>
    <w:rsid w:val="006C170E"/>
    <w:rsid w:val="00714A50"/>
    <w:rsid w:val="00760785"/>
    <w:rsid w:val="007823F4"/>
    <w:rsid w:val="008447D3"/>
    <w:rsid w:val="00896296"/>
    <w:rsid w:val="008E3038"/>
    <w:rsid w:val="0093396E"/>
    <w:rsid w:val="009701FC"/>
    <w:rsid w:val="00A36618"/>
    <w:rsid w:val="00A90AE3"/>
    <w:rsid w:val="00AA27DE"/>
    <w:rsid w:val="00AA311C"/>
    <w:rsid w:val="00AC1D4C"/>
    <w:rsid w:val="00B007C5"/>
    <w:rsid w:val="00B12246"/>
    <w:rsid w:val="00B312BF"/>
    <w:rsid w:val="00B74A67"/>
    <w:rsid w:val="00B848F4"/>
    <w:rsid w:val="00B87B87"/>
    <w:rsid w:val="00BA5378"/>
    <w:rsid w:val="00BA7D4E"/>
    <w:rsid w:val="00BB0E8E"/>
    <w:rsid w:val="00BB0EF1"/>
    <w:rsid w:val="00C2201F"/>
    <w:rsid w:val="00C25F17"/>
    <w:rsid w:val="00C32A45"/>
    <w:rsid w:val="00C52BBD"/>
    <w:rsid w:val="00C613A1"/>
    <w:rsid w:val="00CD050A"/>
    <w:rsid w:val="00D414FF"/>
    <w:rsid w:val="00D444BE"/>
    <w:rsid w:val="00DA7A67"/>
    <w:rsid w:val="00DB5EBB"/>
    <w:rsid w:val="00E022A7"/>
    <w:rsid w:val="00E34D14"/>
    <w:rsid w:val="00E47A16"/>
    <w:rsid w:val="00E565C1"/>
    <w:rsid w:val="00EA1780"/>
    <w:rsid w:val="00F1617A"/>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CA97E21-F8C9-442A-90AC-777B43C9772E}">
  <ds:schemaRefs>
    <ds:schemaRef ds:uri="http://schemas.openxmlformats.org/officeDocument/2006/bibliography"/>
  </ds:schemaRefs>
</ds:datastoreItem>
</file>

<file path=customXml/itemProps5.xml><?xml version="1.0" encoding="utf-8"?>
<ds:datastoreItem xmlns:ds="http://schemas.openxmlformats.org/officeDocument/2006/customXml" ds:itemID="{4A27C3C9-2228-4916-9A7D-F1A70D004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3</Pages>
  <Words>898</Words>
  <Characters>4527</Characters>
  <Application>Microsoft Office Word</Application>
  <DocSecurity>0</DocSecurity>
  <Lines>116</Lines>
  <Paragraphs>78</Paragraphs>
  <ScaleCrop>false</ScaleCrop>
  <HeadingPairs>
    <vt:vector size="2" baseType="variant">
      <vt:variant>
        <vt:lpstr>Title</vt:lpstr>
      </vt:variant>
      <vt:variant>
        <vt:i4>1</vt:i4>
      </vt:variant>
    </vt:vector>
  </HeadingPairs>
  <TitlesOfParts>
    <vt:vector size="1" baseType="lpstr">
      <vt:lpstr>Discussion on NR UE Category</vt:lpstr>
    </vt:vector>
  </TitlesOfParts>
  <Company>Intel</Company>
  <LinksUpToDate>false</LinksUpToDate>
  <CharactersWithSpaces>5347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NR UE Category</dc:title>
  <dc:subject>RP-181713</dc:subject>
  <dc:creator>Daewon Lee</dc:creator>
  <cp:keywords>CTPClassification=CTP_PUBLIC:VisualMarkings=, CTPClassification=CTP_NT</cp:keywords>
  <dc:description>Gold Coast, Australia, September 10-13, 2018</dc:description>
  <cp:lastModifiedBy>Intel</cp:lastModifiedBy>
  <cp:revision>2</cp:revision>
  <cp:lastPrinted>2011-11-09T22:49:00Z</cp:lastPrinted>
  <dcterms:created xsi:type="dcterms:W3CDTF">2018-09-03T20:04:00Z</dcterms:created>
  <dcterms:modified xsi:type="dcterms:W3CDTF">2018-09-03T20:04:00Z</dcterms:modified>
  <cp:category>#81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2018-09-03 19:59:10Z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