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D33C60" w:rsidRDefault="00070DB3" w:rsidP="00070DB3">
      <w:pPr>
        <w:pStyle w:val="Header"/>
        <w:tabs>
          <w:tab w:val="right" w:pos="9639"/>
        </w:tabs>
        <w:rPr>
          <w:bCs/>
          <w:noProof w:val="0"/>
          <w:sz w:val="28"/>
          <w:szCs w:val="24"/>
        </w:rPr>
      </w:pPr>
      <w:r w:rsidRPr="00D33C60">
        <w:rPr>
          <w:bCs/>
          <w:noProof w:val="0"/>
          <w:sz w:val="28"/>
          <w:szCs w:val="24"/>
        </w:rPr>
        <w:t>3GPP T</w:t>
      </w:r>
      <w:bookmarkStart w:id="0" w:name="_Ref452454252"/>
      <w:bookmarkEnd w:id="0"/>
      <w:r w:rsidR="00245669" w:rsidRPr="00D33C60">
        <w:rPr>
          <w:bCs/>
          <w:noProof w:val="0"/>
          <w:sz w:val="28"/>
          <w:szCs w:val="24"/>
        </w:rPr>
        <w:t xml:space="preserve">SG RAN </w:t>
      </w:r>
      <w:r w:rsidR="00245669" w:rsidRPr="00D33C60">
        <w:rPr>
          <w:noProof w:val="0"/>
          <w:sz w:val="28"/>
          <w:szCs w:val="24"/>
        </w:rPr>
        <w:t>#78</w:t>
      </w:r>
      <w:r w:rsidRPr="00D33C60">
        <w:rPr>
          <w:bCs/>
          <w:noProof w:val="0"/>
          <w:sz w:val="28"/>
          <w:szCs w:val="24"/>
        </w:rPr>
        <w:tab/>
        <w:t>R</w:t>
      </w:r>
      <w:r w:rsidR="00245669" w:rsidRPr="00D33C60">
        <w:rPr>
          <w:bCs/>
          <w:noProof w:val="0"/>
          <w:sz w:val="28"/>
          <w:szCs w:val="24"/>
        </w:rPr>
        <w:t>P</w:t>
      </w:r>
      <w:r w:rsidRPr="00D33C60">
        <w:rPr>
          <w:bCs/>
          <w:noProof w:val="0"/>
          <w:sz w:val="28"/>
          <w:szCs w:val="24"/>
        </w:rPr>
        <w:t>-17</w:t>
      </w:r>
      <w:r w:rsidR="00175E61">
        <w:rPr>
          <w:bCs/>
          <w:noProof w:val="0"/>
          <w:sz w:val="28"/>
          <w:szCs w:val="24"/>
        </w:rPr>
        <w:t>2788</w:t>
      </w:r>
    </w:p>
    <w:p w:rsidR="00070DB3" w:rsidRPr="00D33C60" w:rsidRDefault="00245669" w:rsidP="00070DB3">
      <w:pPr>
        <w:pStyle w:val="Header"/>
        <w:tabs>
          <w:tab w:val="right" w:pos="9639"/>
        </w:tabs>
        <w:rPr>
          <w:bCs/>
          <w:noProof w:val="0"/>
          <w:sz w:val="28"/>
          <w:szCs w:val="24"/>
        </w:rPr>
      </w:pPr>
      <w:r w:rsidRPr="00D33C60">
        <w:rPr>
          <w:noProof w:val="0"/>
          <w:sz w:val="28"/>
          <w:szCs w:val="24"/>
          <w:lang w:eastAsia="zh-CN"/>
        </w:rPr>
        <w:t>Lisbon</w:t>
      </w:r>
      <w:r w:rsidR="00070DB3" w:rsidRPr="00D33C60">
        <w:rPr>
          <w:noProof w:val="0"/>
          <w:sz w:val="28"/>
          <w:szCs w:val="24"/>
          <w:lang w:eastAsia="zh-CN"/>
        </w:rPr>
        <w:t xml:space="preserve">, </w:t>
      </w:r>
      <w:r w:rsidRPr="00D33C60">
        <w:rPr>
          <w:noProof w:val="0"/>
          <w:sz w:val="28"/>
          <w:szCs w:val="24"/>
          <w:lang w:eastAsia="zh-CN"/>
        </w:rPr>
        <w:t>Portugal</w:t>
      </w:r>
      <w:r w:rsidR="00070DB3" w:rsidRPr="00D33C60">
        <w:rPr>
          <w:noProof w:val="0"/>
          <w:sz w:val="28"/>
          <w:szCs w:val="24"/>
          <w:lang w:eastAsia="zh-CN"/>
        </w:rPr>
        <w:t xml:space="preserve">, </w:t>
      </w:r>
      <w:r w:rsidRPr="00D33C60">
        <w:rPr>
          <w:noProof w:val="0"/>
          <w:sz w:val="28"/>
          <w:szCs w:val="24"/>
          <w:lang w:eastAsia="zh-CN"/>
        </w:rPr>
        <w:t>18</w:t>
      </w:r>
      <w:r w:rsidR="00070DB3" w:rsidRPr="00D33C60">
        <w:rPr>
          <w:noProof w:val="0"/>
          <w:sz w:val="28"/>
          <w:szCs w:val="24"/>
          <w:vertAlign w:val="superscript"/>
          <w:lang w:eastAsia="zh-CN"/>
        </w:rPr>
        <w:t>th</w:t>
      </w:r>
      <w:r w:rsidR="00070DB3" w:rsidRPr="00D33C60">
        <w:rPr>
          <w:noProof w:val="0"/>
          <w:sz w:val="28"/>
          <w:szCs w:val="24"/>
          <w:lang w:eastAsia="zh-CN"/>
        </w:rPr>
        <w:t xml:space="preserve"> </w:t>
      </w:r>
      <w:r w:rsidRPr="00D33C60">
        <w:rPr>
          <w:noProof w:val="0"/>
          <w:sz w:val="28"/>
          <w:szCs w:val="24"/>
          <w:lang w:eastAsia="zh-CN"/>
        </w:rPr>
        <w:t>–</w:t>
      </w:r>
      <w:r w:rsidR="00070DB3" w:rsidRPr="00D33C60">
        <w:rPr>
          <w:noProof w:val="0"/>
          <w:sz w:val="28"/>
          <w:szCs w:val="24"/>
          <w:lang w:eastAsia="zh-CN"/>
        </w:rPr>
        <w:t xml:space="preserve"> </w:t>
      </w:r>
      <w:r w:rsidRPr="00D33C60">
        <w:rPr>
          <w:noProof w:val="0"/>
          <w:sz w:val="28"/>
          <w:szCs w:val="24"/>
          <w:lang w:eastAsia="zh-CN"/>
        </w:rPr>
        <w:t>2</w:t>
      </w:r>
      <w:r w:rsidR="00070DB3" w:rsidRPr="00D33C60">
        <w:rPr>
          <w:noProof w:val="0"/>
          <w:sz w:val="28"/>
          <w:szCs w:val="24"/>
          <w:lang w:eastAsia="zh-CN"/>
        </w:rPr>
        <w:t>1</w:t>
      </w:r>
      <w:r w:rsidR="00070DB3" w:rsidRPr="00D33C60">
        <w:rPr>
          <w:noProof w:val="0"/>
          <w:sz w:val="28"/>
          <w:szCs w:val="24"/>
          <w:vertAlign w:val="superscript"/>
          <w:lang w:eastAsia="zh-CN"/>
        </w:rPr>
        <w:t>st</w:t>
      </w:r>
      <w:r w:rsidR="00070DB3" w:rsidRPr="00D33C60">
        <w:rPr>
          <w:noProof w:val="0"/>
          <w:sz w:val="28"/>
          <w:szCs w:val="24"/>
          <w:lang w:eastAsia="zh-CN"/>
        </w:rPr>
        <w:t xml:space="preserve"> Dec 2017</w:t>
      </w:r>
    </w:p>
    <w:p w:rsidR="00070DB3" w:rsidRPr="007E5CE0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36"/>
        </w:rPr>
      </w:pPr>
    </w:p>
    <w:p w:rsidR="00070DB3" w:rsidRPr="00D33C60" w:rsidRDefault="00EA16AF" w:rsidP="00EA16AF">
      <w:pPr>
        <w:ind w:left="0"/>
        <w:rPr>
          <w:rFonts w:ascii="Arial" w:hAnsi="Arial" w:cs="Arial"/>
          <w:b/>
          <w:i/>
          <w:sz w:val="28"/>
        </w:rPr>
      </w:pPr>
      <w:r w:rsidRPr="00D33C60">
        <w:rPr>
          <w:rFonts w:ascii="Arial" w:hAnsi="Arial" w:cs="Arial"/>
          <w:b/>
          <w:sz w:val="28"/>
        </w:rPr>
        <w:t>Title:</w:t>
      </w:r>
      <w:r w:rsidRPr="00D33C60">
        <w:rPr>
          <w:rFonts w:ascii="Arial" w:hAnsi="Arial" w:cs="Arial"/>
          <w:b/>
          <w:sz w:val="28"/>
        </w:rPr>
        <w:tab/>
      </w:r>
      <w:r w:rsidRPr="00D33C60">
        <w:rPr>
          <w:rFonts w:ascii="Arial" w:hAnsi="Arial" w:cs="Arial"/>
          <w:b/>
          <w:sz w:val="28"/>
        </w:rPr>
        <w:tab/>
      </w:r>
      <w:r w:rsidR="00B87B72" w:rsidRPr="00D33C60">
        <w:rPr>
          <w:rFonts w:ascii="Arial" w:hAnsi="Arial" w:cs="Arial"/>
          <w:b/>
          <w:sz w:val="28"/>
        </w:rPr>
        <w:t>Mandatory 4Rx antenna performance for NR UE</w:t>
      </w:r>
      <w:r w:rsidR="00070DB3" w:rsidRPr="00D33C60">
        <w:rPr>
          <w:rFonts w:ascii="Arial" w:hAnsi="Arial" w:cs="Arial"/>
          <w:b/>
          <w:bCs/>
          <w:sz w:val="144"/>
        </w:rPr>
        <w:t xml:space="preserve"> </w:t>
      </w:r>
    </w:p>
    <w:p w:rsidR="00070DB3" w:rsidRPr="00D33C60" w:rsidRDefault="00070DB3" w:rsidP="00147BA6">
      <w:pPr>
        <w:ind w:left="1416" w:hanging="1416"/>
        <w:rPr>
          <w:rFonts w:ascii="Arial" w:hAnsi="Arial" w:cs="Arial"/>
          <w:b/>
          <w:sz w:val="28"/>
        </w:rPr>
      </w:pPr>
      <w:r w:rsidRPr="00D33C60">
        <w:rPr>
          <w:rFonts w:ascii="Arial" w:hAnsi="Arial" w:cs="Arial"/>
          <w:b/>
          <w:sz w:val="28"/>
        </w:rPr>
        <w:t>Source:</w:t>
      </w:r>
      <w:r w:rsidRPr="00D33C60">
        <w:rPr>
          <w:rFonts w:ascii="Arial" w:hAnsi="Arial" w:cs="Arial"/>
          <w:b/>
          <w:sz w:val="28"/>
        </w:rPr>
        <w:tab/>
      </w:r>
      <w:r w:rsidR="00175E61">
        <w:rPr>
          <w:rFonts w:ascii="Arial" w:hAnsi="Arial" w:cs="Arial"/>
          <w:b/>
          <w:sz w:val="28"/>
        </w:rPr>
        <w:t>Vodafone</w:t>
      </w:r>
    </w:p>
    <w:p w:rsidR="00070DB3" w:rsidRPr="00D33C60" w:rsidRDefault="00070DB3" w:rsidP="00EA16AF">
      <w:pPr>
        <w:ind w:left="0"/>
        <w:rPr>
          <w:rFonts w:ascii="Arial" w:hAnsi="Arial" w:cs="Arial"/>
          <w:b/>
          <w:i/>
          <w:sz w:val="28"/>
        </w:rPr>
      </w:pPr>
      <w:r w:rsidRPr="00D33C60">
        <w:rPr>
          <w:rFonts w:ascii="Arial" w:hAnsi="Arial" w:cs="Arial"/>
          <w:b/>
          <w:sz w:val="28"/>
        </w:rPr>
        <w:t xml:space="preserve">Agenda: </w:t>
      </w:r>
      <w:r w:rsidRPr="00D33C60">
        <w:rPr>
          <w:rFonts w:ascii="Arial" w:hAnsi="Arial" w:cs="Arial"/>
          <w:b/>
          <w:sz w:val="28"/>
        </w:rPr>
        <w:tab/>
      </w:r>
      <w:r w:rsidR="00D33C60">
        <w:rPr>
          <w:rFonts w:ascii="Arial" w:hAnsi="Arial" w:cs="Arial"/>
          <w:b/>
          <w:sz w:val="28"/>
        </w:rPr>
        <w:t>9.</w:t>
      </w:r>
      <w:r w:rsidR="002E65DF">
        <w:rPr>
          <w:rFonts w:ascii="Arial" w:hAnsi="Arial" w:cs="Arial"/>
          <w:b/>
          <w:sz w:val="28"/>
        </w:rPr>
        <w:t>2.1</w:t>
      </w:r>
    </w:p>
    <w:p w:rsidR="00070DB3" w:rsidRPr="00D33C60" w:rsidRDefault="00EA16AF" w:rsidP="00EA16AF">
      <w:pPr>
        <w:ind w:left="0"/>
        <w:rPr>
          <w:rFonts w:ascii="Arial" w:hAnsi="Arial" w:cs="Arial"/>
          <w:b/>
          <w:sz w:val="28"/>
        </w:rPr>
      </w:pPr>
      <w:r w:rsidRPr="00D33C60">
        <w:rPr>
          <w:rFonts w:ascii="Arial" w:hAnsi="Arial" w:cs="Arial"/>
          <w:b/>
          <w:sz w:val="28"/>
        </w:rPr>
        <w:t>For:</w:t>
      </w:r>
      <w:r w:rsidRPr="00D33C60">
        <w:rPr>
          <w:rFonts w:ascii="Arial" w:hAnsi="Arial" w:cs="Arial"/>
          <w:b/>
          <w:sz w:val="28"/>
        </w:rPr>
        <w:tab/>
      </w:r>
      <w:r w:rsidRPr="00D33C60">
        <w:rPr>
          <w:rFonts w:ascii="Arial" w:hAnsi="Arial" w:cs="Arial"/>
          <w:b/>
          <w:sz w:val="28"/>
        </w:rPr>
        <w:tab/>
      </w:r>
      <w:r w:rsidR="00256686">
        <w:rPr>
          <w:rFonts w:ascii="Arial" w:hAnsi="Arial" w:cs="Arial"/>
          <w:b/>
          <w:sz w:val="28"/>
        </w:rPr>
        <w:t>Approval</w:t>
      </w:r>
      <w:r w:rsidR="00070DB3" w:rsidRPr="00D33C60">
        <w:rPr>
          <w:rFonts w:ascii="Arial" w:hAnsi="Arial" w:cs="Arial"/>
          <w:b/>
          <w:sz w:val="28"/>
        </w:rPr>
        <w:t xml:space="preserve"> </w:t>
      </w:r>
    </w:p>
    <w:p w:rsidR="00EA16AF" w:rsidRPr="00EA16AF" w:rsidRDefault="00EA16AF" w:rsidP="00EA16AF">
      <w:pPr>
        <w:ind w:left="0"/>
        <w:rPr>
          <w:rFonts w:ascii="Arial" w:hAnsi="Arial" w:cs="Arial"/>
          <w:b/>
          <w:sz w:val="8"/>
        </w:rPr>
      </w:pPr>
    </w:p>
    <w:p w:rsidR="00070DB3" w:rsidRPr="00A23121" w:rsidRDefault="00070DB3" w:rsidP="0081089F">
      <w:pPr>
        <w:pStyle w:val="Heading1"/>
        <w:numPr>
          <w:ilvl w:val="0"/>
          <w:numId w:val="1"/>
        </w:numPr>
      </w:pPr>
      <w:r w:rsidRPr="00A23121">
        <w:t>Introduction</w:t>
      </w:r>
    </w:p>
    <w:p w:rsidR="007E5CE0" w:rsidRDefault="00727638" w:rsidP="0081089F">
      <w:r>
        <w:t xml:space="preserve">This document </w:t>
      </w:r>
      <w:r w:rsidR="00175E61">
        <w:t>makes a proposal regarding</w:t>
      </w:r>
      <w:r>
        <w:t xml:space="preserve"> mandating NR UE receiver performance assuming 4 receiver antenna ports for certain bands</w:t>
      </w:r>
      <w:r w:rsidR="00E82F90">
        <w:t xml:space="preserve"> within the “FR1” range (sub-6GHz)</w:t>
      </w:r>
      <w:r>
        <w:t>.</w:t>
      </w:r>
    </w:p>
    <w:p w:rsidR="00E82F90" w:rsidRDefault="00615AD7" w:rsidP="00615AD7">
      <w:pPr>
        <w:pStyle w:val="Heading1"/>
        <w:numPr>
          <w:ilvl w:val="0"/>
          <w:numId w:val="1"/>
        </w:numPr>
      </w:pPr>
      <w:r>
        <w:t>Proposal</w:t>
      </w:r>
    </w:p>
    <w:p w:rsidR="00E266D3" w:rsidRPr="00BF537F" w:rsidRDefault="00EA16AF" w:rsidP="00BF537F">
      <w:pPr>
        <w:pStyle w:val="ListParagraph"/>
        <w:numPr>
          <w:ilvl w:val="0"/>
          <w:numId w:val="7"/>
        </w:numPr>
        <w:ind w:hanging="357"/>
        <w:contextualSpacing w:val="0"/>
        <w:rPr>
          <w:i/>
        </w:rPr>
      </w:pPr>
      <w:r w:rsidRPr="00BF537F">
        <w:rPr>
          <w:i/>
          <w:lang w:val="sv-SE"/>
        </w:rPr>
        <w:t xml:space="preserve">For NR Bands n7, n38, n41, n77, n78, and n79 the UE shall be </w:t>
      </w:r>
      <w:r w:rsidRPr="00BF537F">
        <w:rPr>
          <w:i/>
        </w:rPr>
        <w:t>equipped with 4Rx ports as a baseline</w:t>
      </w:r>
    </w:p>
    <w:p w:rsidR="00E266D3" w:rsidRPr="00BF537F" w:rsidRDefault="00EA16AF" w:rsidP="00BF537F">
      <w:pPr>
        <w:pStyle w:val="ListParagraph"/>
        <w:numPr>
          <w:ilvl w:val="1"/>
          <w:numId w:val="7"/>
        </w:numPr>
        <w:ind w:hanging="357"/>
        <w:contextualSpacing w:val="0"/>
        <w:rPr>
          <w:i/>
        </w:rPr>
      </w:pPr>
      <w:r w:rsidRPr="00BF537F">
        <w:rPr>
          <w:i/>
        </w:rPr>
        <w:t>Applicability to other NR bands is FFS</w:t>
      </w:r>
    </w:p>
    <w:p w:rsidR="00E82F90" w:rsidRDefault="00463ABD" w:rsidP="00BF537F">
      <w:pPr>
        <w:pStyle w:val="ListParagraph"/>
        <w:numPr>
          <w:ilvl w:val="1"/>
          <w:numId w:val="7"/>
        </w:numPr>
        <w:ind w:hanging="357"/>
        <w:contextualSpacing w:val="0"/>
        <w:rPr>
          <w:i/>
        </w:rPr>
      </w:pPr>
      <w:r>
        <w:rPr>
          <w:i/>
        </w:rPr>
        <w:t>F</w:t>
      </w:r>
      <w:r w:rsidR="00EA16AF" w:rsidRPr="00BF537F">
        <w:rPr>
          <w:i/>
        </w:rPr>
        <w:t>or certain UE types/categories, some exceptions to this requirement may be applicable in future</w:t>
      </w:r>
    </w:p>
    <w:p w:rsidR="00463ABD" w:rsidRDefault="00463ABD" w:rsidP="00BF537F">
      <w:pPr>
        <w:pStyle w:val="ListParagraph"/>
        <w:numPr>
          <w:ilvl w:val="1"/>
          <w:numId w:val="7"/>
        </w:numPr>
        <w:ind w:hanging="357"/>
        <w:contextualSpacing w:val="0"/>
        <w:rPr>
          <w:i/>
        </w:rPr>
      </w:pPr>
      <w:r>
        <w:rPr>
          <w:i/>
        </w:rPr>
        <w:t xml:space="preserve">RRC signalling </w:t>
      </w:r>
      <w:r w:rsidR="00D31F13">
        <w:rPr>
          <w:i/>
        </w:rPr>
        <w:t xml:space="preserve">and ASN.1 coding </w:t>
      </w:r>
      <w:r>
        <w:rPr>
          <w:i/>
        </w:rPr>
        <w:t xml:space="preserve">shall be defined </w:t>
      </w:r>
      <w:r w:rsidR="00E074FE">
        <w:rPr>
          <w:i/>
        </w:rPr>
        <w:t xml:space="preserve">in Release 15 </w:t>
      </w:r>
      <w:r>
        <w:rPr>
          <w:i/>
        </w:rPr>
        <w:t xml:space="preserve">such that supported number of </w:t>
      </w:r>
      <w:r w:rsidR="00615AD7">
        <w:rPr>
          <w:i/>
        </w:rPr>
        <w:t xml:space="preserve">UE </w:t>
      </w:r>
      <w:r>
        <w:rPr>
          <w:i/>
        </w:rPr>
        <w:t xml:space="preserve">Rx antenna ports </w:t>
      </w:r>
      <w:r w:rsidR="00615AD7">
        <w:rPr>
          <w:i/>
        </w:rPr>
        <w:t>is</w:t>
      </w:r>
      <w:r>
        <w:rPr>
          <w:i/>
        </w:rPr>
        <w:t xml:space="preserve"> indicated from UE to the eNB/gNB.</w:t>
      </w:r>
    </w:p>
    <w:p w:rsidR="00323F6B" w:rsidRDefault="00615AD7" w:rsidP="00175E61">
      <w:pPr>
        <w:pStyle w:val="ListParagraph"/>
        <w:numPr>
          <w:ilvl w:val="2"/>
          <w:numId w:val="7"/>
        </w:numPr>
        <w:contextualSpacing w:val="0"/>
        <w:rPr>
          <w:i/>
        </w:rPr>
      </w:pPr>
      <w:r>
        <w:rPr>
          <w:i/>
        </w:rPr>
        <w:t>“4” shall be t</w:t>
      </w:r>
      <w:r w:rsidR="00463ABD">
        <w:rPr>
          <w:i/>
        </w:rPr>
        <w:t xml:space="preserve">he </w:t>
      </w:r>
      <w:r>
        <w:rPr>
          <w:i/>
        </w:rPr>
        <w:t xml:space="preserve">lowest value </w:t>
      </w:r>
      <w:r w:rsidR="00810A79">
        <w:rPr>
          <w:i/>
        </w:rPr>
        <w:t xml:space="preserve">that is allowed to be </w:t>
      </w:r>
      <w:r>
        <w:rPr>
          <w:i/>
        </w:rPr>
        <w:t>indicated.</w:t>
      </w:r>
    </w:p>
    <w:p w:rsidR="00323F6B" w:rsidRDefault="005F3806" w:rsidP="00175E61">
      <w:pPr>
        <w:pStyle w:val="ListParagraph"/>
        <w:numPr>
          <w:ilvl w:val="2"/>
          <w:numId w:val="7"/>
        </w:numPr>
        <w:contextualSpacing w:val="0"/>
        <w:rPr>
          <w:i/>
        </w:rPr>
      </w:pPr>
      <w:r>
        <w:rPr>
          <w:i/>
        </w:rPr>
        <w:t>The coding shall enable flexibility such that a lower number than 4 could be indicated in the future</w:t>
      </w:r>
      <w:r w:rsidR="00B44D30">
        <w:rPr>
          <w:rFonts w:hint="eastAsia"/>
          <w:i/>
          <w:lang w:eastAsia="zh-CN"/>
        </w:rPr>
        <w:t xml:space="preserve"> for the UE types/categories mentioned above as exceptions. </w:t>
      </w:r>
    </w:p>
    <w:p w:rsidR="00E82F90" w:rsidRPr="00BF537F" w:rsidRDefault="00E82F90" w:rsidP="00BF537F">
      <w:pPr>
        <w:pStyle w:val="ListParagraph"/>
        <w:numPr>
          <w:ilvl w:val="0"/>
          <w:numId w:val="7"/>
        </w:numPr>
        <w:ind w:hanging="357"/>
        <w:contextualSpacing w:val="0"/>
        <w:rPr>
          <w:i/>
        </w:rPr>
      </w:pPr>
      <w:r w:rsidRPr="00BF537F">
        <w:rPr>
          <w:i/>
          <w:lang w:val="sv-SE"/>
        </w:rPr>
        <w:t xml:space="preserve">UE </w:t>
      </w:r>
      <w:r w:rsidRPr="00BF537F">
        <w:rPr>
          <w:i/>
        </w:rPr>
        <w:t>equipped with 4Rx ports as a baseline shall fulfil all 4Rx demodulation performance requirements defined for downlink data and control</w:t>
      </w:r>
    </w:p>
    <w:p w:rsidR="00E266D3" w:rsidRPr="00175E61" w:rsidRDefault="00EA16AF" w:rsidP="00BF537F">
      <w:pPr>
        <w:pStyle w:val="ListParagraph"/>
        <w:numPr>
          <w:ilvl w:val="0"/>
          <w:numId w:val="8"/>
        </w:numPr>
        <w:ind w:hanging="357"/>
        <w:contextualSpacing w:val="0"/>
        <w:rPr>
          <w:i/>
        </w:rPr>
      </w:pPr>
      <w:r w:rsidRPr="00BF537F">
        <w:rPr>
          <w:i/>
          <w:lang w:val="en-US"/>
        </w:rPr>
        <w:t>Fall back to 2Rx shall be allowed to save power</w:t>
      </w:r>
    </w:p>
    <w:p w:rsidR="00E266D3" w:rsidRPr="00BF537F" w:rsidRDefault="00EA16AF" w:rsidP="00BF537F">
      <w:pPr>
        <w:pStyle w:val="ListParagraph"/>
        <w:numPr>
          <w:ilvl w:val="0"/>
          <w:numId w:val="8"/>
        </w:numPr>
        <w:ind w:hanging="357"/>
        <w:contextualSpacing w:val="0"/>
        <w:rPr>
          <w:i/>
        </w:rPr>
      </w:pPr>
      <w:r w:rsidRPr="00BF537F">
        <w:rPr>
          <w:i/>
          <w:lang w:val="en-US"/>
        </w:rPr>
        <w:t>RRM Requirements will be based on 2Rx</w:t>
      </w:r>
    </w:p>
    <w:p w:rsidR="00E266D3" w:rsidRPr="00BF537F" w:rsidRDefault="00EA16AF" w:rsidP="00BF537F">
      <w:pPr>
        <w:pStyle w:val="ListParagraph"/>
        <w:numPr>
          <w:ilvl w:val="1"/>
          <w:numId w:val="8"/>
        </w:numPr>
        <w:ind w:hanging="357"/>
        <w:contextualSpacing w:val="0"/>
        <w:rPr>
          <w:i/>
        </w:rPr>
      </w:pPr>
      <w:r w:rsidRPr="00BF537F">
        <w:rPr>
          <w:i/>
          <w:lang w:val="en-US"/>
        </w:rPr>
        <w:t>RLM requirements shall be defined based on both 2R</w:t>
      </w:r>
      <w:r w:rsidR="00175E61">
        <w:rPr>
          <w:i/>
          <w:lang w:val="en-US"/>
        </w:rPr>
        <w:t>x and 4Rx</w:t>
      </w:r>
      <w:bookmarkStart w:id="1" w:name="_GoBack"/>
      <w:bookmarkEnd w:id="1"/>
    </w:p>
    <w:p w:rsidR="00E266D3" w:rsidRPr="00175E61" w:rsidRDefault="00EA16AF" w:rsidP="00BF537F">
      <w:pPr>
        <w:pStyle w:val="ListParagraph"/>
        <w:numPr>
          <w:ilvl w:val="1"/>
          <w:numId w:val="8"/>
        </w:numPr>
        <w:ind w:hanging="357"/>
        <w:contextualSpacing w:val="0"/>
        <w:rPr>
          <w:i/>
        </w:rPr>
      </w:pPr>
      <w:r w:rsidRPr="00BF537F">
        <w:rPr>
          <w:i/>
          <w:lang w:val="en-US"/>
        </w:rPr>
        <w:t>The proper antenna connection similar to LTE (defined in A.3.8.1 of TS36.133) will be defined to make 2Rx based RRM tests be applicable to NR UE equipped with 4Rx port.</w:t>
      </w:r>
    </w:p>
    <w:p w:rsidR="00323F6B" w:rsidRPr="00175E61" w:rsidRDefault="00323F6B" w:rsidP="00175E61">
      <w:pPr>
        <w:pStyle w:val="ListParagraph"/>
        <w:numPr>
          <w:ilvl w:val="0"/>
          <w:numId w:val="8"/>
        </w:numPr>
        <w:contextualSpacing w:val="0"/>
        <w:rPr>
          <w:i/>
          <w:color w:val="auto"/>
          <w:sz w:val="18"/>
        </w:rPr>
      </w:pPr>
      <w:r w:rsidRPr="00175E61">
        <w:rPr>
          <w:i/>
          <w:color w:val="auto"/>
          <w:szCs w:val="22"/>
          <w:lang w:eastAsia="en-US"/>
        </w:rPr>
        <w:t>The baseline Rx antenna port assumption for LTE operation for the UE is as defined in 36 series spec</w:t>
      </w:r>
      <w:r w:rsidR="00810A79" w:rsidRPr="00175E61">
        <w:rPr>
          <w:i/>
          <w:color w:val="auto"/>
          <w:szCs w:val="22"/>
          <w:lang w:eastAsia="en-US"/>
        </w:rPr>
        <w:t>ification</w:t>
      </w:r>
      <w:r w:rsidRPr="00175E61">
        <w:rPr>
          <w:i/>
          <w:color w:val="auto"/>
          <w:szCs w:val="22"/>
          <w:lang w:eastAsia="en-US"/>
        </w:rPr>
        <w:t>s today</w:t>
      </w:r>
    </w:p>
    <w:p w:rsidR="00EA16AF" w:rsidRPr="00EA16AF" w:rsidRDefault="00EA16AF" w:rsidP="00615AD7">
      <w:pPr>
        <w:pStyle w:val="ListParagraph"/>
        <w:ind w:left="709"/>
        <w:contextualSpacing w:val="0"/>
      </w:pPr>
    </w:p>
    <w:sectPr w:rsidR="00EA16AF" w:rsidRPr="00EA16AF" w:rsidSect="00E07DF7"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48E" w:rsidRDefault="00F9048E">
      <w:pPr>
        <w:spacing w:after="0"/>
      </w:pPr>
    </w:p>
  </w:endnote>
  <w:endnote w:type="continuationSeparator" w:id="0">
    <w:p w:rsidR="00F9048E" w:rsidRDefault="00F904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48E" w:rsidRDefault="00F9048E">
      <w:pPr>
        <w:spacing w:after="0"/>
      </w:pPr>
    </w:p>
  </w:footnote>
  <w:footnote w:type="continuationSeparator" w:id="0">
    <w:p w:rsidR="00F9048E" w:rsidRDefault="00F904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C4C3DEE"/>
    <w:multiLevelType w:val="hybridMultilevel"/>
    <w:tmpl w:val="4CB2D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0A26E2E"/>
    <w:multiLevelType w:val="hybridMultilevel"/>
    <w:tmpl w:val="767A88EC"/>
    <w:lvl w:ilvl="0" w:tplc="E4542EE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1E3635E"/>
    <w:multiLevelType w:val="hybridMultilevel"/>
    <w:tmpl w:val="8D8CCED4"/>
    <w:lvl w:ilvl="0" w:tplc="9664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51420"/>
    <w:rsid w:val="0005726D"/>
    <w:rsid w:val="00065260"/>
    <w:rsid w:val="00070DB3"/>
    <w:rsid w:val="000E77D5"/>
    <w:rsid w:val="00147BA6"/>
    <w:rsid w:val="00175E61"/>
    <w:rsid w:val="00245669"/>
    <w:rsid w:val="00256686"/>
    <w:rsid w:val="002E65DF"/>
    <w:rsid w:val="002F2EC7"/>
    <w:rsid w:val="00323F6B"/>
    <w:rsid w:val="003A6905"/>
    <w:rsid w:val="00413D47"/>
    <w:rsid w:val="004514C5"/>
    <w:rsid w:val="00461A73"/>
    <w:rsid w:val="00463ABD"/>
    <w:rsid w:val="00465ED3"/>
    <w:rsid w:val="004814C2"/>
    <w:rsid w:val="005F3806"/>
    <w:rsid w:val="00615AD7"/>
    <w:rsid w:val="00722E9B"/>
    <w:rsid w:val="00727638"/>
    <w:rsid w:val="0073439A"/>
    <w:rsid w:val="007E5CE0"/>
    <w:rsid w:val="0081089F"/>
    <w:rsid w:val="00810A79"/>
    <w:rsid w:val="00825D45"/>
    <w:rsid w:val="00864B3A"/>
    <w:rsid w:val="0088321A"/>
    <w:rsid w:val="00885662"/>
    <w:rsid w:val="00946524"/>
    <w:rsid w:val="009711D6"/>
    <w:rsid w:val="00983943"/>
    <w:rsid w:val="009B4500"/>
    <w:rsid w:val="00A23121"/>
    <w:rsid w:val="00B11D15"/>
    <w:rsid w:val="00B34E6C"/>
    <w:rsid w:val="00B44D30"/>
    <w:rsid w:val="00B70951"/>
    <w:rsid w:val="00B87B72"/>
    <w:rsid w:val="00BF537F"/>
    <w:rsid w:val="00C528E8"/>
    <w:rsid w:val="00C877BE"/>
    <w:rsid w:val="00D31F13"/>
    <w:rsid w:val="00D33C60"/>
    <w:rsid w:val="00D97B93"/>
    <w:rsid w:val="00E074FE"/>
    <w:rsid w:val="00E07DF7"/>
    <w:rsid w:val="00E24A17"/>
    <w:rsid w:val="00E266D3"/>
    <w:rsid w:val="00E65925"/>
    <w:rsid w:val="00E82F90"/>
    <w:rsid w:val="00EA16AF"/>
    <w:rsid w:val="00EC1DD9"/>
    <w:rsid w:val="00EC2E19"/>
    <w:rsid w:val="00F3704B"/>
    <w:rsid w:val="00F9048E"/>
    <w:rsid w:val="00FD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76D95D"/>
  <w15:docId w15:val="{D540E406-183D-480E-92F4-9722E5C6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1089F"/>
    <w:pPr>
      <w:widowControl w:val="0"/>
      <w:spacing w:after="120"/>
      <w:ind w:left="36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3704B"/>
    <w:pPr>
      <w:widowControl/>
      <w:spacing w:before="100" w:beforeAutospacing="1" w:after="100" w:afterAutospacing="1"/>
      <w:ind w:left="0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A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lastModifiedBy>Frost, Tim, Vodafone Group</cp:lastModifiedBy>
  <cp:revision>2</cp:revision>
  <dcterms:created xsi:type="dcterms:W3CDTF">2017-12-21T12:57:00Z</dcterms:created>
  <dcterms:modified xsi:type="dcterms:W3CDTF">2017-12-21T12:57:00Z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-1379340980</vt:i4>
  </property>
  <property fmtid="{D5CDD505-2E9C-101B-9397-08002B2CF9AE}" pid="3" name="_NewReviewCycle">
    <vt:lpwstr/>
  </property>
  <property fmtid="{D5CDD505-2E9C-101B-9397-08002B2CF9AE}" pid="4" name="_EmailSubject">
    <vt:lpwstr>4Rx mandate for NR UE</vt:lpwstr>
  </property>
  <property fmtid="{D5CDD505-2E9C-101B-9397-08002B2CF9AE}" pid="5" name="_AuthorEmail">
    <vt:lpwstr>juanm@qti.qualcomm.com</vt:lpwstr>
  </property>
  <property fmtid="{D5CDD505-2E9C-101B-9397-08002B2CF9AE}" pid="6" name="_AuthorEmailDisplayName">
    <vt:lpwstr>Juan Montojo</vt:lpwstr>
  </property>
  <property fmtid="{D5CDD505-2E9C-101B-9397-08002B2CF9AE}" pid="7" name="_ReviewingToolsShownOnce">
    <vt:lpwstr/>
  </property>
  <property fmtid="{D5CDD505-2E9C-101B-9397-08002B2CF9AE}" pid="8" name="_2015_ms_pID_725343">
    <vt:lpwstr>(2)TZ5SA/wculq9/XvQM3u2WaCOjY+8i6bp34VOu7lOTkODa/FcCnB973MV/VTqotDMySV0j73S
GD7q/WVIZxES3NehQ9D+COurBwqXvTLWBDlnPK3kLU12dDjXQHLjjUAlPbcnv5jpd8mwjdtV
N7DzPMKOR7ZrDbQpta9sLrj2caZFTzCcpJ8SIuKkvZk14kdxHJpCSdFlz5RaN6TFF8lL1/mf
zOQ5eRfPVtkzYMDbRS</vt:lpwstr>
  </property>
  <property fmtid="{D5CDD505-2E9C-101B-9397-08002B2CF9AE}" pid="9" name="_2015_ms_pID_7253431">
    <vt:lpwstr>TNvw2WKUR24INYp4dwrGjd5kcTRQ4kUHwVZGstqT44RwJ+tqWPKDiW
tLCtlBvfxDUCqbPQd1JXFMGEW14620O2qOPG3fTy3Kw6Xsmj7pcR0AffGTWHC319zWreYygF
lF4R4f8Rs2jmjkbBhottk96EBRVkDPGjseLdj9zu8g6XeSyb1UiZwDLDqqeWVYzphjo=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1513789066</vt:lpwstr>
  </property>
</Properties>
</file>