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1B9" w:rsidRDefault="00836505" w:rsidP="008841BB">
      <w:pPr>
        <w:pStyle w:val="CRCoverPage"/>
        <w:tabs>
          <w:tab w:val="right" w:pos="8505"/>
          <w:tab w:val="right" w:pos="13323"/>
        </w:tabs>
        <w:spacing w:after="0"/>
        <w:ind w:right="-1"/>
        <w:rPr>
          <w:rFonts w:cs="Arial"/>
          <w:b/>
          <w:noProof/>
          <w:sz w:val="24"/>
          <w:szCs w:val="24"/>
        </w:rPr>
      </w:pPr>
      <w:r>
        <w:rPr>
          <w:rFonts w:cs="Arial"/>
          <w:b/>
          <w:noProof/>
          <w:sz w:val="24"/>
          <w:szCs w:val="24"/>
        </w:rPr>
        <w:t>3GPP TSG RAN</w:t>
      </w:r>
      <w:proofErr w:type="gramStart"/>
      <w:r>
        <w:rPr>
          <w:rFonts w:cs="Arial"/>
          <w:b/>
          <w:noProof/>
          <w:sz w:val="24"/>
          <w:szCs w:val="24"/>
        </w:rPr>
        <w:t>#77</w:t>
      </w:r>
      <w:r w:rsidR="008841BB">
        <w:rPr>
          <w:rFonts w:cs="Arial"/>
          <w:b/>
          <w:noProof/>
          <w:sz w:val="24"/>
          <w:szCs w:val="24"/>
        </w:rPr>
        <w:t xml:space="preserve"> </w:t>
      </w:r>
      <w:r w:rsidR="008841BB">
        <w:rPr>
          <w:rFonts w:cs="Arial"/>
          <w:b/>
          <w:noProof/>
          <w:sz w:val="24"/>
          <w:szCs w:val="24"/>
        </w:rPr>
        <w:tab/>
      </w:r>
      <w:r w:rsidR="008D1FCD" w:rsidRPr="008D1FCD">
        <w:rPr>
          <w:rFonts w:cs="Arial"/>
          <w:b/>
          <w:bCs/>
          <w:sz w:val="26"/>
          <w:szCs w:val="26"/>
        </w:rPr>
        <w:t>R</w:t>
      </w:r>
      <w:r w:rsidR="003715BB">
        <w:rPr>
          <w:rFonts w:cs="Arial"/>
          <w:b/>
          <w:bCs/>
          <w:sz w:val="26"/>
          <w:szCs w:val="26"/>
        </w:rPr>
        <w:t>P</w:t>
      </w:r>
      <w:r w:rsidR="008D1FCD" w:rsidRPr="008D1FCD">
        <w:rPr>
          <w:rFonts w:cs="Arial"/>
          <w:b/>
          <w:bCs/>
          <w:sz w:val="26"/>
          <w:szCs w:val="26"/>
        </w:rPr>
        <w:t>-</w:t>
      </w:r>
      <w:r w:rsidR="007976CC">
        <w:rPr>
          <w:rFonts w:cs="Arial"/>
          <w:b/>
          <w:bCs/>
          <w:sz w:val="26"/>
          <w:szCs w:val="26"/>
        </w:rPr>
        <w:t>171706</w:t>
      </w:r>
      <w:proofErr w:type="gramEnd"/>
    </w:p>
    <w:p w:rsidR="001D01B9" w:rsidRDefault="00836505" w:rsidP="001D01B9">
      <w:pPr>
        <w:pStyle w:val="CRCoverPage"/>
        <w:tabs>
          <w:tab w:val="right" w:pos="9639"/>
          <w:tab w:val="right" w:pos="13323"/>
        </w:tabs>
        <w:spacing w:after="0"/>
        <w:jc w:val="right"/>
        <w:rPr>
          <w:rFonts w:cs="Arial"/>
          <w:b/>
          <w:noProof/>
          <w:sz w:val="24"/>
          <w:szCs w:val="24"/>
        </w:rPr>
      </w:pPr>
      <w:r>
        <w:rPr>
          <w:rFonts w:cs="Arial"/>
          <w:b/>
          <w:noProof/>
          <w:sz w:val="24"/>
          <w:szCs w:val="24"/>
        </w:rPr>
        <w:t>Sapporo, Japan</w:t>
      </w:r>
      <w:r w:rsidR="001D01B9" w:rsidRPr="0033775D">
        <w:rPr>
          <w:rFonts w:cs="Arial"/>
          <w:b/>
          <w:noProof/>
          <w:sz w:val="24"/>
          <w:szCs w:val="24"/>
        </w:rPr>
        <w:t xml:space="preserve">, </w:t>
      </w:r>
      <w:r w:rsidR="00AD2C5B">
        <w:rPr>
          <w:rFonts w:cs="Arial"/>
          <w:b/>
          <w:noProof/>
          <w:sz w:val="24"/>
          <w:szCs w:val="24"/>
        </w:rPr>
        <w:t>1</w:t>
      </w:r>
      <w:r>
        <w:rPr>
          <w:rFonts w:cs="Arial"/>
          <w:b/>
          <w:noProof/>
          <w:sz w:val="24"/>
          <w:szCs w:val="24"/>
        </w:rPr>
        <w:t>1</w:t>
      </w:r>
      <w:r w:rsidR="001D01B9" w:rsidRPr="008B769D">
        <w:rPr>
          <w:rFonts w:cs="Arial"/>
          <w:b/>
          <w:noProof/>
          <w:sz w:val="24"/>
          <w:szCs w:val="24"/>
          <w:vertAlign w:val="superscript"/>
        </w:rPr>
        <w:t>th</w:t>
      </w:r>
      <w:r w:rsidR="001D01B9" w:rsidRPr="0033775D">
        <w:rPr>
          <w:rFonts w:cs="Arial"/>
          <w:b/>
          <w:noProof/>
          <w:sz w:val="24"/>
          <w:szCs w:val="24"/>
        </w:rPr>
        <w:t xml:space="preserve"> – </w:t>
      </w:r>
      <w:r>
        <w:rPr>
          <w:rFonts w:cs="Arial"/>
          <w:b/>
          <w:noProof/>
          <w:sz w:val="24"/>
          <w:szCs w:val="24"/>
        </w:rPr>
        <w:t>14</w:t>
      </w:r>
      <w:r w:rsidR="001D01B9" w:rsidRPr="008B769D">
        <w:rPr>
          <w:rFonts w:cs="Arial"/>
          <w:b/>
          <w:noProof/>
          <w:sz w:val="24"/>
          <w:szCs w:val="24"/>
          <w:vertAlign w:val="superscript"/>
        </w:rPr>
        <w:t>th</w:t>
      </w:r>
      <w:r w:rsidR="001D01B9" w:rsidRPr="0033775D">
        <w:rPr>
          <w:rFonts w:cs="Arial"/>
          <w:b/>
          <w:noProof/>
          <w:sz w:val="24"/>
          <w:szCs w:val="24"/>
        </w:rPr>
        <w:t xml:space="preserve"> </w:t>
      </w:r>
      <w:r>
        <w:rPr>
          <w:rFonts w:cs="Arial"/>
          <w:b/>
          <w:noProof/>
          <w:sz w:val="24"/>
          <w:szCs w:val="24"/>
        </w:rPr>
        <w:t>September</w:t>
      </w:r>
      <w:bookmarkStart w:id="0" w:name="_GoBack"/>
      <w:bookmarkEnd w:id="0"/>
      <w:r w:rsidR="00E70DFF">
        <w:rPr>
          <w:rFonts w:cs="Arial"/>
          <w:b/>
          <w:noProof/>
          <w:sz w:val="24"/>
          <w:szCs w:val="24"/>
        </w:rPr>
        <w:t>, 201</w:t>
      </w:r>
      <w:r w:rsidR="005719C3">
        <w:rPr>
          <w:rFonts w:cs="Arial"/>
          <w:b/>
          <w:noProof/>
          <w:sz w:val="24"/>
          <w:szCs w:val="24"/>
        </w:rPr>
        <w:t>7</w:t>
      </w:r>
      <w:r w:rsidR="001D01B9">
        <w:rPr>
          <w:rFonts w:cs="Arial"/>
          <w:b/>
          <w:noProof/>
          <w:sz w:val="24"/>
          <w:szCs w:val="24"/>
        </w:rPr>
        <w:tab/>
      </w:r>
    </w:p>
    <w:p w:rsidR="001D01B9" w:rsidRPr="00155924" w:rsidRDefault="001D01B9" w:rsidP="001D01B9">
      <w:pPr>
        <w:pStyle w:val="Header"/>
        <w:tabs>
          <w:tab w:val="right" w:pos="9639"/>
        </w:tabs>
        <w:jc w:val="both"/>
        <w:rPr>
          <w:i/>
          <w:sz w:val="32"/>
          <w:lang w:val="en-GB"/>
        </w:rPr>
      </w:pPr>
      <w:r w:rsidRPr="00155924">
        <w:rPr>
          <w:sz w:val="24"/>
          <w:lang w:val="en-GB"/>
        </w:rPr>
        <w:tab/>
      </w:r>
    </w:p>
    <w:p w:rsidR="001D01B9" w:rsidRPr="00474F96" w:rsidRDefault="001D01B9" w:rsidP="001D01B9">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Pr>
          <w:rFonts w:ascii="Arial" w:hAnsi="Arial"/>
          <w:sz w:val="22"/>
        </w:rPr>
        <w:tab/>
      </w:r>
      <w:r w:rsidR="003715BB" w:rsidRPr="003715BB">
        <w:rPr>
          <w:rFonts w:ascii="Arial" w:hAnsi="Arial" w:cs="Arial"/>
          <w:sz w:val="24"/>
          <w:szCs w:val="24"/>
        </w:rPr>
        <w:t>LTE-NR uplink carrier sharing at the UE</w:t>
      </w:r>
    </w:p>
    <w:p w:rsidR="001D01B9" w:rsidRDefault="001D01B9" w:rsidP="001D01B9">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r w:rsidR="00651673">
        <w:rPr>
          <w:rFonts w:ascii="Arial" w:hAnsi="Arial"/>
          <w:sz w:val="24"/>
        </w:rPr>
        <w:t xml:space="preserve"> Group Plc</w:t>
      </w:r>
    </w:p>
    <w:p w:rsidR="001D01B9" w:rsidRPr="00036934" w:rsidRDefault="001D01B9" w:rsidP="001D01B9">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7976CC">
        <w:rPr>
          <w:rFonts w:ascii="Arial" w:hAnsi="Arial"/>
          <w:sz w:val="24"/>
        </w:rPr>
        <w:t>9.2.1</w:t>
      </w:r>
    </w:p>
    <w:p w:rsidR="001D01B9" w:rsidRPr="00CC27F5" w:rsidRDefault="001D01B9" w:rsidP="001D01B9">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r>
      <w:r w:rsidR="00993586">
        <w:rPr>
          <w:rFonts w:ascii="Arial" w:hAnsi="Arial"/>
          <w:sz w:val="24"/>
        </w:rPr>
        <w:t>Decision</w:t>
      </w:r>
    </w:p>
    <w:p w:rsidR="001D01B9" w:rsidRPr="00CC27F5" w:rsidRDefault="001D01B9" w:rsidP="008E09E3">
      <w:pPr>
        <w:pStyle w:val="Heading1"/>
        <w:jc w:val="both"/>
      </w:pPr>
      <w:r>
        <w:t>1</w:t>
      </w:r>
      <w:r>
        <w:tab/>
        <w:t>Introduction</w:t>
      </w:r>
    </w:p>
    <w:p w:rsidR="0067407B" w:rsidRDefault="0067407B" w:rsidP="0067407B">
      <w:pPr>
        <w:pStyle w:val="Header"/>
        <w:jc w:val="both"/>
        <w:rPr>
          <w:rFonts w:ascii="Times New Roman" w:hAnsi="Times New Roman"/>
          <w:b w:val="0"/>
          <w:noProof w:val="0"/>
          <w:sz w:val="20"/>
          <w:lang w:val="en-GB"/>
        </w:rPr>
      </w:pPr>
      <w:r w:rsidRPr="00C236A0">
        <w:rPr>
          <w:rFonts w:ascii="Times New Roman" w:hAnsi="Times New Roman"/>
          <w:b w:val="0"/>
          <w:noProof w:val="0"/>
          <w:sz w:val="20"/>
          <w:lang w:val="en-GB"/>
        </w:rPr>
        <w:t>In RAN</w:t>
      </w:r>
      <w:r>
        <w:rPr>
          <w:rFonts w:ascii="Times New Roman" w:hAnsi="Times New Roman"/>
          <w:b w:val="0"/>
          <w:noProof w:val="0"/>
          <w:sz w:val="20"/>
          <w:lang w:val="en-GB"/>
        </w:rPr>
        <w:t>1</w:t>
      </w:r>
      <w:r w:rsidRPr="00C236A0">
        <w:rPr>
          <w:rFonts w:ascii="Times New Roman" w:hAnsi="Times New Roman"/>
          <w:b w:val="0"/>
          <w:noProof w:val="0"/>
          <w:sz w:val="20"/>
          <w:lang w:val="en-GB"/>
        </w:rPr>
        <w:t xml:space="preserve"> #</w:t>
      </w:r>
      <w:r>
        <w:rPr>
          <w:rFonts w:ascii="Times New Roman" w:hAnsi="Times New Roman"/>
          <w:b w:val="0"/>
          <w:noProof w:val="0"/>
          <w:sz w:val="20"/>
          <w:lang w:val="en-GB"/>
        </w:rPr>
        <w:t>8</w:t>
      </w:r>
      <w:r w:rsidR="00B51789">
        <w:rPr>
          <w:rFonts w:ascii="Times New Roman" w:hAnsi="Times New Roman"/>
          <w:b w:val="0"/>
          <w:noProof w:val="0"/>
          <w:sz w:val="20"/>
          <w:lang w:val="en-GB"/>
        </w:rPr>
        <w:t>9</w:t>
      </w:r>
      <w:r w:rsidR="00692BF3">
        <w:rPr>
          <w:rFonts w:ascii="Times New Roman" w:hAnsi="Times New Roman"/>
          <w:b w:val="0"/>
          <w:noProof w:val="0"/>
          <w:sz w:val="20"/>
          <w:lang w:val="en-GB"/>
        </w:rPr>
        <w:t xml:space="preserve"> [1]</w:t>
      </w:r>
      <w:r w:rsidRPr="00C236A0">
        <w:rPr>
          <w:rFonts w:ascii="Times New Roman" w:hAnsi="Times New Roman"/>
          <w:b w:val="0"/>
          <w:noProof w:val="0"/>
          <w:sz w:val="20"/>
          <w:lang w:val="en-GB"/>
        </w:rPr>
        <w:t xml:space="preserve">, </w:t>
      </w:r>
      <w:r>
        <w:rPr>
          <w:rFonts w:ascii="Times New Roman" w:hAnsi="Times New Roman"/>
          <w:b w:val="0"/>
          <w:noProof w:val="0"/>
          <w:sz w:val="20"/>
          <w:lang w:val="en-GB"/>
        </w:rPr>
        <w:t>we agreed the following regarding</w:t>
      </w:r>
      <w:r w:rsidR="009D5D80">
        <w:rPr>
          <w:rFonts w:ascii="Times New Roman" w:hAnsi="Times New Roman"/>
          <w:b w:val="0"/>
          <w:noProof w:val="0"/>
          <w:sz w:val="20"/>
          <w:lang w:val="en-GB"/>
        </w:rPr>
        <w:t xml:space="preserve"> the coexistence of LTE and NR</w:t>
      </w:r>
      <w:r>
        <w:rPr>
          <w:rFonts w:ascii="Times New Roman" w:hAnsi="Times New Roman"/>
          <w:b w:val="0"/>
          <w:noProof w:val="0"/>
          <w:sz w:val="20"/>
          <w:lang w:val="en-GB"/>
        </w:rPr>
        <w:t>:</w:t>
      </w:r>
    </w:p>
    <w:p w:rsidR="009D5D80" w:rsidRDefault="009D5D80" w:rsidP="0067407B">
      <w:pPr>
        <w:pStyle w:val="Header"/>
        <w:jc w:val="both"/>
        <w:rPr>
          <w:rFonts w:ascii="Times New Roman" w:hAnsi="Times New Roman"/>
          <w:b w:val="0"/>
          <w:noProof w:val="0"/>
          <w:sz w:val="20"/>
          <w:lang w:val="en-GB"/>
        </w:rPr>
      </w:pPr>
    </w:p>
    <w:p w:rsidR="00B51789" w:rsidRPr="00E330EE" w:rsidRDefault="00B51789" w:rsidP="00B51789">
      <w:r w:rsidRPr="00E330EE">
        <w:rPr>
          <w:highlight w:val="green"/>
        </w:rPr>
        <w:t>Agreements</w:t>
      </w:r>
      <w:r w:rsidRPr="00E330EE">
        <w:t>:</w:t>
      </w:r>
    </w:p>
    <w:p w:rsidR="00B51789" w:rsidRPr="00E330EE" w:rsidRDefault="00B51789" w:rsidP="00B51789">
      <w:pPr>
        <w:numPr>
          <w:ilvl w:val="0"/>
          <w:numId w:val="33"/>
        </w:numPr>
        <w:overflowPunct/>
        <w:autoSpaceDE/>
        <w:autoSpaceDN/>
        <w:adjustRightInd/>
        <w:spacing w:after="0"/>
        <w:textAlignment w:val="auto"/>
        <w:rPr>
          <w:rFonts w:eastAsia="MS Mincho"/>
          <w:lang w:val="en-US" w:eastAsia="ja-JP"/>
        </w:rPr>
      </w:pPr>
      <w:r w:rsidRPr="00E330EE">
        <w:rPr>
          <w:rFonts w:eastAsia="MS Mincho"/>
          <w:lang w:val="en-US" w:eastAsia="ja-JP"/>
        </w:rPr>
        <w:t xml:space="preserve">For NR NSA for a UE, NR supports the case that when the UE is </w:t>
      </w:r>
      <w:r w:rsidRPr="00E330EE">
        <w:rPr>
          <w:rFonts w:eastAsia="MS Mincho"/>
          <w:lang w:eastAsia="ja-JP"/>
        </w:rPr>
        <w:t>configured with multiple UL carriers on different frequencies (where there is at least one LTE carrier and at least one NR carrier of a different carrier frequency), the UE operates on only one of the carriers at a given time among a pair of LTE and NR carriers</w:t>
      </w:r>
    </w:p>
    <w:p w:rsidR="00B51789" w:rsidRPr="00E330EE" w:rsidRDefault="00B51789" w:rsidP="00B51789">
      <w:pPr>
        <w:numPr>
          <w:ilvl w:val="1"/>
          <w:numId w:val="33"/>
        </w:numPr>
        <w:overflowPunct/>
        <w:autoSpaceDE/>
        <w:autoSpaceDN/>
        <w:adjustRightInd/>
        <w:spacing w:after="0"/>
        <w:textAlignment w:val="auto"/>
        <w:rPr>
          <w:rFonts w:eastAsia="MS Mincho"/>
          <w:lang w:val="en-US" w:eastAsia="ja-JP"/>
        </w:rPr>
      </w:pPr>
      <w:r w:rsidRPr="00E330EE">
        <w:rPr>
          <w:rFonts w:eastAsia="MS Mincho"/>
          <w:lang w:eastAsia="ja-JP"/>
        </w:rPr>
        <w:t>FFS whether or not there is specification impact</w:t>
      </w:r>
    </w:p>
    <w:p w:rsidR="00B51789" w:rsidRPr="00E330EE" w:rsidRDefault="00B51789" w:rsidP="00B51789">
      <w:pPr>
        <w:numPr>
          <w:ilvl w:val="2"/>
          <w:numId w:val="33"/>
        </w:numPr>
        <w:overflowPunct/>
        <w:autoSpaceDE/>
        <w:autoSpaceDN/>
        <w:adjustRightInd/>
        <w:spacing w:after="0"/>
        <w:textAlignment w:val="auto"/>
        <w:rPr>
          <w:rFonts w:eastAsia="MS Mincho"/>
          <w:lang w:val="en-US" w:eastAsia="ja-JP"/>
        </w:rPr>
      </w:pPr>
      <w:r w:rsidRPr="00E330EE">
        <w:rPr>
          <w:rFonts w:eastAsia="MS Mincho"/>
          <w:lang w:eastAsia="ja-JP"/>
        </w:rPr>
        <w:t>If there is RAN1 specification impact, aim to minimize the specification impact for NR</w:t>
      </w:r>
    </w:p>
    <w:p w:rsidR="00B51789" w:rsidRPr="00E330EE" w:rsidRDefault="00B51789" w:rsidP="00B51789">
      <w:pPr>
        <w:numPr>
          <w:ilvl w:val="2"/>
          <w:numId w:val="33"/>
        </w:numPr>
        <w:overflowPunct/>
        <w:autoSpaceDE/>
        <w:autoSpaceDN/>
        <w:adjustRightInd/>
        <w:spacing w:after="0"/>
        <w:textAlignment w:val="auto"/>
        <w:rPr>
          <w:rFonts w:eastAsia="MS Mincho"/>
          <w:lang w:val="en-US" w:eastAsia="ja-JP"/>
        </w:rPr>
      </w:pPr>
      <w:r w:rsidRPr="00E330EE">
        <w:rPr>
          <w:rFonts w:eastAsia="MS Mincho"/>
          <w:lang w:eastAsia="ja-JP"/>
        </w:rPr>
        <w:t xml:space="preserve">Note: this feature by itself is not intended to have any LTE RAN1 specification impact </w:t>
      </w:r>
    </w:p>
    <w:p w:rsidR="00B51789" w:rsidRPr="00E330EE" w:rsidRDefault="00B51789" w:rsidP="00B51789">
      <w:pPr>
        <w:numPr>
          <w:ilvl w:val="1"/>
          <w:numId w:val="33"/>
        </w:numPr>
        <w:overflowPunct/>
        <w:autoSpaceDE/>
        <w:autoSpaceDN/>
        <w:adjustRightInd/>
        <w:spacing w:after="0"/>
        <w:textAlignment w:val="auto"/>
        <w:rPr>
          <w:rFonts w:eastAsia="MS Mincho"/>
          <w:lang w:val="en-US" w:eastAsia="ja-JP"/>
        </w:rPr>
      </w:pPr>
      <w:r w:rsidRPr="00E330EE">
        <w:rPr>
          <w:rFonts w:eastAsia="MS Mincho"/>
          <w:lang w:eastAsia="ja-JP"/>
        </w:rPr>
        <w:t>Note: the other case of allowing simultaneous operation on two or more UL carriers is already agreed to be supported</w:t>
      </w:r>
    </w:p>
    <w:p w:rsidR="009D5D80" w:rsidRPr="00AE64D6" w:rsidRDefault="009D5D80" w:rsidP="000B72CA">
      <w:pPr>
        <w:overflowPunct/>
        <w:autoSpaceDE/>
        <w:autoSpaceDN/>
        <w:adjustRightInd/>
        <w:spacing w:after="0"/>
        <w:textAlignment w:val="auto"/>
        <w:rPr>
          <w:rFonts w:eastAsia="MS Mincho"/>
          <w:sz w:val="16"/>
          <w:szCs w:val="16"/>
          <w:lang w:val="en-US" w:eastAsia="ja-JP"/>
        </w:rPr>
      </w:pPr>
    </w:p>
    <w:p w:rsidR="009D5D80" w:rsidRPr="002A7140" w:rsidRDefault="009D5D80" w:rsidP="0067407B">
      <w:pPr>
        <w:pStyle w:val="Header"/>
        <w:jc w:val="both"/>
        <w:rPr>
          <w:rFonts w:ascii="Times New Roman" w:hAnsi="Times New Roman"/>
          <w:b w:val="0"/>
          <w:noProof w:val="0"/>
          <w:sz w:val="20"/>
          <w:lang w:val="en-US"/>
        </w:rPr>
      </w:pPr>
    </w:p>
    <w:p w:rsidR="00B51789" w:rsidRDefault="00B51789" w:rsidP="00B51789">
      <w:pPr>
        <w:pStyle w:val="B1"/>
        <w:ind w:left="0" w:firstLine="0"/>
        <w:rPr>
          <w:lang w:eastAsia="ja-JP"/>
        </w:rPr>
      </w:pPr>
      <w:r>
        <w:t xml:space="preserve">Also in NR WID we agreed on the following objective for </w:t>
      </w:r>
      <w:r w:rsidRPr="00752A6B">
        <w:t>NR-LTE co-existence mechanisms</w:t>
      </w:r>
      <w:r>
        <w:t>:</w:t>
      </w:r>
      <w:r w:rsidRPr="00752A6B">
        <w:rPr>
          <w:lang w:eastAsia="ja-JP"/>
        </w:rPr>
        <w:t xml:space="preserve"> </w:t>
      </w:r>
    </w:p>
    <w:p w:rsidR="00B51789" w:rsidRPr="00746FB5" w:rsidRDefault="00B51789" w:rsidP="00B51789">
      <w:pPr>
        <w:pStyle w:val="B2"/>
        <w:rPr>
          <w:lang w:eastAsia="ja-JP"/>
        </w:rPr>
      </w:pPr>
      <w:r>
        <w:rPr>
          <w:rFonts w:hint="eastAsia"/>
          <w:lang w:eastAsia="ja-JP"/>
        </w:rPr>
        <w:t>-</w:t>
      </w:r>
      <w:r>
        <w:rPr>
          <w:rFonts w:hint="eastAsia"/>
          <w:lang w:eastAsia="ja-JP"/>
        </w:rPr>
        <w:tab/>
      </w:r>
      <w:r w:rsidRPr="00746FB5">
        <w:rPr>
          <w:lang w:eastAsia="ja-JP"/>
        </w:rPr>
        <w:t>Support co-existence of LTE UL and NR UL within the bandwidth of an LTE component carrier</w:t>
      </w:r>
      <w:r>
        <w:rPr>
          <w:rFonts w:hint="eastAsia"/>
          <w:lang w:eastAsia="ja-JP"/>
        </w:rPr>
        <w:t xml:space="preserve"> and </w:t>
      </w:r>
      <w:r w:rsidRPr="00746FB5">
        <w:rPr>
          <w:lang w:eastAsia="ja-JP"/>
        </w:rPr>
        <w:t xml:space="preserve">co-existence of LTE </w:t>
      </w:r>
      <w:r>
        <w:rPr>
          <w:rFonts w:hint="eastAsia"/>
          <w:lang w:eastAsia="ja-JP"/>
        </w:rPr>
        <w:t>D</w:t>
      </w:r>
      <w:r w:rsidRPr="00746FB5">
        <w:rPr>
          <w:lang w:eastAsia="ja-JP"/>
        </w:rPr>
        <w:t xml:space="preserve">L and NR </w:t>
      </w:r>
      <w:r>
        <w:rPr>
          <w:rFonts w:hint="eastAsia"/>
          <w:lang w:eastAsia="ja-JP"/>
        </w:rPr>
        <w:t>D</w:t>
      </w:r>
      <w:r w:rsidRPr="00746FB5">
        <w:rPr>
          <w:lang w:eastAsia="ja-JP"/>
        </w:rPr>
        <w:t>L within the bandwidth of an LTE component carrier, and identify and specify at least one NR band/LTE-NR band combination for this operation.</w:t>
      </w:r>
    </w:p>
    <w:p w:rsidR="00B51789" w:rsidRPr="00746FB5" w:rsidRDefault="00B51789" w:rsidP="00B51789">
      <w:pPr>
        <w:pStyle w:val="B3"/>
        <w:rPr>
          <w:lang w:val="en-US" w:eastAsia="ja-JP"/>
        </w:rPr>
      </w:pPr>
      <w:r>
        <w:rPr>
          <w:rFonts w:hint="eastAsia"/>
          <w:lang w:val="en-US" w:eastAsia="ja-JP"/>
        </w:rPr>
        <w:t>-</w:t>
      </w:r>
      <w:r>
        <w:rPr>
          <w:rFonts w:hint="eastAsia"/>
          <w:lang w:val="en-US" w:eastAsia="ja-JP"/>
        </w:rPr>
        <w:tab/>
      </w:r>
      <w:r w:rsidRPr="00746FB5">
        <w:rPr>
          <w:lang w:val="en-US" w:eastAsia="ja-JP"/>
        </w:rPr>
        <w:t>Minimize impact to NR physical layer design to enable this co-existence.</w:t>
      </w:r>
    </w:p>
    <w:p w:rsidR="00B51789" w:rsidRPr="00746FB5" w:rsidRDefault="00B51789" w:rsidP="00B51789">
      <w:pPr>
        <w:pStyle w:val="B3"/>
        <w:rPr>
          <w:lang w:val="en-US" w:eastAsia="ja-JP"/>
        </w:rPr>
      </w:pPr>
      <w:r>
        <w:rPr>
          <w:rFonts w:hint="eastAsia"/>
          <w:lang w:val="en-US" w:eastAsia="ja-JP"/>
        </w:rPr>
        <w:t>-</w:t>
      </w:r>
      <w:r>
        <w:rPr>
          <w:rFonts w:hint="eastAsia"/>
          <w:lang w:val="en-US" w:eastAsia="ja-JP"/>
        </w:rPr>
        <w:tab/>
      </w:r>
      <w:r w:rsidRPr="00746FB5">
        <w:rPr>
          <w:lang w:val="en-US" w:eastAsia="ja-JP"/>
        </w:rPr>
        <w:t>No impact to the ability of legacy LTE devices to operate on the LTE carrier co-existing with NR</w:t>
      </w:r>
    </w:p>
    <w:p w:rsidR="00B51789" w:rsidRPr="00746FB5" w:rsidRDefault="00B51789" w:rsidP="00B51789">
      <w:pPr>
        <w:pStyle w:val="B3"/>
        <w:rPr>
          <w:lang w:val="en-US" w:eastAsia="ja-JP"/>
        </w:rPr>
      </w:pPr>
      <w:r>
        <w:rPr>
          <w:rFonts w:hint="eastAsia"/>
          <w:lang w:val="en-US" w:eastAsia="ja-JP"/>
        </w:rPr>
        <w:t>-</w:t>
      </w:r>
      <w:r>
        <w:rPr>
          <w:rFonts w:hint="eastAsia"/>
          <w:lang w:val="en-US" w:eastAsia="ja-JP"/>
        </w:rPr>
        <w:tab/>
      </w:r>
      <w:r w:rsidRPr="00746FB5">
        <w:rPr>
          <w:lang w:val="en-US" w:eastAsia="ja-JP"/>
        </w:rPr>
        <w:t>No implication that UE has to support simultaneous connection of NR and LTE in the bandwidth of an LTE component carrier</w:t>
      </w:r>
    </w:p>
    <w:p w:rsidR="00E76D42" w:rsidRPr="00AE64D6" w:rsidRDefault="00B51789" w:rsidP="00AE64D6">
      <w:pPr>
        <w:spacing w:after="0"/>
      </w:pPr>
      <w:r>
        <w:t>The aim of this contribution i</w:t>
      </w:r>
      <w:r w:rsidR="007976CC">
        <w:t xml:space="preserve">s to highlight the </w:t>
      </w:r>
      <w:r>
        <w:t xml:space="preserve">discuss </w:t>
      </w:r>
      <w:r w:rsidR="007976CC">
        <w:t xml:space="preserve">need and timing for more effective </w:t>
      </w:r>
      <w:r>
        <w:t xml:space="preserve">solutions for </w:t>
      </w:r>
      <w:r w:rsidR="007976CC">
        <w:t>single carrier uplink operation for LTE-NR Dual Connectivity</w:t>
      </w:r>
      <w:r w:rsidRPr="00FE4B90">
        <w:rPr>
          <w:sz w:val="24"/>
          <w:szCs w:val="24"/>
          <w:lang w:val="en-US"/>
        </w:rPr>
        <w:t>.</w:t>
      </w:r>
    </w:p>
    <w:p w:rsidR="00E76D42" w:rsidRDefault="00E76D42" w:rsidP="008E09E3">
      <w:pPr>
        <w:pStyle w:val="Heading1"/>
        <w:jc w:val="both"/>
      </w:pPr>
      <w:r>
        <w:t>2</w:t>
      </w:r>
      <w:r>
        <w:tab/>
      </w:r>
      <w:r w:rsidR="000268AE">
        <w:t>Discussion</w:t>
      </w:r>
    </w:p>
    <w:p w:rsidR="00FC43CB" w:rsidRPr="00384A10" w:rsidRDefault="00E421AB" w:rsidP="008E09E3">
      <w:pPr>
        <w:pStyle w:val="Heading2"/>
        <w:spacing w:before="120" w:after="120"/>
        <w:jc w:val="both"/>
        <w:rPr>
          <w:rFonts w:ascii="Arial" w:hAnsi="Arial" w:cs="Arial"/>
          <w:b w:val="0"/>
          <w:color w:val="auto"/>
          <w:sz w:val="28"/>
        </w:rPr>
      </w:pPr>
      <w:r w:rsidRPr="00384A10">
        <w:rPr>
          <w:rFonts w:ascii="Arial" w:hAnsi="Arial" w:cs="Arial"/>
          <w:b w:val="0"/>
          <w:color w:val="auto"/>
          <w:sz w:val="28"/>
        </w:rPr>
        <w:t>2.1</w:t>
      </w:r>
      <w:r w:rsidRPr="00384A10">
        <w:rPr>
          <w:rFonts w:ascii="Arial" w:hAnsi="Arial" w:cs="Arial"/>
          <w:b w:val="0"/>
          <w:color w:val="auto"/>
          <w:sz w:val="28"/>
        </w:rPr>
        <w:tab/>
      </w:r>
      <w:r w:rsidR="00FC43CB" w:rsidRPr="00384A10">
        <w:rPr>
          <w:rFonts w:ascii="Arial" w:hAnsi="Arial" w:cs="Arial"/>
          <w:b w:val="0"/>
          <w:color w:val="auto"/>
          <w:sz w:val="28"/>
        </w:rPr>
        <w:t xml:space="preserve">Single UL </w:t>
      </w:r>
      <w:r w:rsidR="004A1155" w:rsidRPr="00384A10">
        <w:rPr>
          <w:rFonts w:ascii="Arial" w:hAnsi="Arial" w:cs="Arial"/>
          <w:b w:val="0"/>
          <w:color w:val="auto"/>
          <w:sz w:val="28"/>
        </w:rPr>
        <w:t>status and performance of current proposals</w:t>
      </w:r>
    </w:p>
    <w:p w:rsidR="00FC43CB" w:rsidRDefault="00FC43CB" w:rsidP="00384A10">
      <w:r>
        <w:t>The approach agreed for single UL considers the UL transmission of LTE and NR remain on independent carriers, and a TDM switching is applied in a largely static manner. In order to enable such a switching without having control channel transmission instances on LTE and NR occurring at the same time, there were 2 options considered:</w:t>
      </w:r>
    </w:p>
    <w:p w:rsidR="00FC43CB" w:rsidRDefault="00FC43CB" w:rsidP="00384A10">
      <w:pPr>
        <w:pStyle w:val="ListParagraph"/>
        <w:numPr>
          <w:ilvl w:val="0"/>
          <w:numId w:val="34"/>
        </w:numPr>
      </w:pPr>
      <w:r>
        <w:lastRenderedPageBreak/>
        <w:t>Rely on the network to schedule LTE and NR data transfer in downlink and uplink in such a way that naturally transmissions of control and data on uplink would not be required simultaneously for NR and LTE from the same UE.</w:t>
      </w:r>
    </w:p>
    <w:p w:rsidR="00FC43CB" w:rsidRDefault="00FC43CB" w:rsidP="00384A10">
      <w:pPr>
        <w:pStyle w:val="ListParagraph"/>
        <w:numPr>
          <w:ilvl w:val="0"/>
          <w:numId w:val="34"/>
        </w:numPr>
      </w:pPr>
      <w:r>
        <w:t>Modify the LTE FDD HARQ mechanism such that it reuses the LTE TDD HARQ mechanism.</w:t>
      </w:r>
    </w:p>
    <w:p w:rsidR="00FC43CB" w:rsidRDefault="00FC43CB" w:rsidP="00384A10">
      <w:r>
        <w:t>Option 1 above has limitations in that LTE and NR data cannot be aggregated, which could lead to lower data rates than LTE for NR in the case where initial spectrum allocated for NR is not significant. It also seems to waste the benefit of enabling downlink reception of different RF carriers in the device.</w:t>
      </w:r>
    </w:p>
    <w:p w:rsidR="006F2C0D" w:rsidRDefault="00FC43CB" w:rsidP="00384A10">
      <w:r>
        <w:t xml:space="preserve">Option 2 would require changes to deployed LTE </w:t>
      </w:r>
      <w:r w:rsidR="006F2C0D">
        <w:t xml:space="preserve">FDD </w:t>
      </w:r>
      <w:r>
        <w:t>base</w:t>
      </w:r>
      <w:r w:rsidR="006F2C0D">
        <w:t>band equipment, and seems to be restrictive for low latency data transfer, due to slow ACK/NACK.</w:t>
      </w:r>
    </w:p>
    <w:p w:rsidR="004A1155" w:rsidRDefault="006F2C0D" w:rsidP="00384A10">
      <w:r>
        <w:t xml:space="preserve">Furthermore in the scenario where on the NR band </w:t>
      </w:r>
      <w:r w:rsidR="00384A10">
        <w:t>there are</w:t>
      </w:r>
      <w:r>
        <w:t xml:space="preserve"> uplink coverage problems </w:t>
      </w:r>
      <w:r w:rsidR="004A1155">
        <w:t xml:space="preserve">for </w:t>
      </w:r>
      <w:r w:rsidR="00384A10">
        <w:t xml:space="preserve">NR </w:t>
      </w:r>
      <w:r w:rsidR="004A1155">
        <w:t>PUCCH</w:t>
      </w:r>
      <w:r w:rsidR="00384A10">
        <w:t>, such that NR PUCCH is transmitted</w:t>
      </w:r>
      <w:r w:rsidR="004A1155">
        <w:t xml:space="preserve"> </w:t>
      </w:r>
      <w:r>
        <w:t>on a 2</w:t>
      </w:r>
      <w:r w:rsidRPr="00384A10">
        <w:rPr>
          <w:vertAlign w:val="superscript"/>
        </w:rPr>
        <w:t>nd</w:t>
      </w:r>
      <w:r>
        <w:t xml:space="preserve"> LTE band</w:t>
      </w:r>
      <w:r w:rsidR="004A1155">
        <w:t xml:space="preserve">, but </w:t>
      </w:r>
      <w:r w:rsidR="00384A10">
        <w:t>NR</w:t>
      </w:r>
      <w:r w:rsidR="004A1155">
        <w:t xml:space="preserve"> SRS </w:t>
      </w:r>
      <w:r w:rsidR="00384A10">
        <w:t xml:space="preserve">is transmitted </w:t>
      </w:r>
      <w:r w:rsidR="004A1155">
        <w:t xml:space="preserve">on the NR (TDD) band, then you may end up with switching required between 3 bands in uplink, which we believe may further complicate and degrade </w:t>
      </w:r>
      <w:r w:rsidR="00384A10">
        <w:t>UE</w:t>
      </w:r>
      <w:r w:rsidR="004A1155">
        <w:t xml:space="preserve"> performance. See figure 1 below.</w:t>
      </w:r>
    </w:p>
    <w:p w:rsidR="00CF16AA" w:rsidRDefault="00CF16AA" w:rsidP="00384A10"/>
    <w:p w:rsidR="00CF16AA" w:rsidRDefault="00CF16AA" w:rsidP="00384A10">
      <w:r>
        <w:rPr>
          <w:noProof/>
          <w:lang w:eastAsia="en-GB"/>
        </w:rPr>
        <w:drawing>
          <wp:inline distT="0" distB="0" distL="0" distR="0" wp14:anchorId="6CBF1649" wp14:editId="79C6E487">
            <wp:extent cx="5391150" cy="4391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4391025"/>
                    </a:xfrm>
                    <a:prstGeom prst="rect">
                      <a:avLst/>
                    </a:prstGeom>
                    <a:noFill/>
                    <a:ln>
                      <a:noFill/>
                    </a:ln>
                  </pic:spPr>
                </pic:pic>
              </a:graphicData>
            </a:graphic>
          </wp:inline>
        </w:drawing>
      </w:r>
    </w:p>
    <w:p w:rsidR="00CF16AA" w:rsidRPr="00384A10" w:rsidRDefault="00CF16AA" w:rsidP="00384A10">
      <w:pPr>
        <w:jc w:val="center"/>
        <w:rPr>
          <w:b/>
        </w:rPr>
      </w:pPr>
      <w:r w:rsidRPr="00384A10">
        <w:rPr>
          <w:b/>
        </w:rPr>
        <w:t>Figure 1: LTE+NR DC with uplink sharing</w:t>
      </w:r>
    </w:p>
    <w:p w:rsidR="00CF16AA" w:rsidRDefault="00CF16AA" w:rsidP="00384A10"/>
    <w:p w:rsidR="004A1155" w:rsidRPr="00384A10" w:rsidRDefault="004A1155" w:rsidP="00384A10">
      <w:pPr>
        <w:rPr>
          <w:b/>
        </w:rPr>
      </w:pPr>
      <w:r w:rsidRPr="00384A10">
        <w:rPr>
          <w:b/>
          <w:u w:val="single"/>
        </w:rPr>
        <w:t>Observation 1</w:t>
      </w:r>
      <w:r w:rsidRPr="00384A10">
        <w:rPr>
          <w:b/>
        </w:rPr>
        <w:t xml:space="preserve">: Both </w:t>
      </w:r>
      <w:r w:rsidR="00C46CE4">
        <w:rPr>
          <w:b/>
        </w:rPr>
        <w:t xml:space="preserve">existing proposed </w:t>
      </w:r>
      <w:r w:rsidRPr="00384A10">
        <w:rPr>
          <w:b/>
        </w:rPr>
        <w:t>options for multiband TDM operation have drawbacks, and option 2 requires changes to LTE FDD baseband equipment. When combined with UL sharing on LTE bands to improve NR coverage, device operation is further complicated.</w:t>
      </w:r>
    </w:p>
    <w:p w:rsidR="004A1155" w:rsidRDefault="004A1155" w:rsidP="00384A10">
      <w:r>
        <w:t xml:space="preserve"> </w:t>
      </w:r>
    </w:p>
    <w:p w:rsidR="001C7E04" w:rsidRDefault="001C7E04" w:rsidP="00384A10">
      <w:pPr>
        <w:pStyle w:val="Header"/>
        <w:spacing w:before="120"/>
        <w:jc w:val="both"/>
        <w:rPr>
          <w:rFonts w:ascii="Times New Roman" w:hAnsi="Times New Roman"/>
          <w:noProof w:val="0"/>
          <w:sz w:val="20"/>
          <w:lang w:val="en-GB"/>
        </w:rPr>
      </w:pPr>
    </w:p>
    <w:p w:rsidR="000268AE" w:rsidRDefault="000268AE" w:rsidP="008E09E3">
      <w:pPr>
        <w:pStyle w:val="Header"/>
        <w:jc w:val="both"/>
        <w:rPr>
          <w:rFonts w:ascii="Times New Roman" w:hAnsi="Times New Roman"/>
          <w:b w:val="0"/>
          <w:noProof w:val="0"/>
          <w:sz w:val="20"/>
          <w:lang w:val="en-GB"/>
        </w:rPr>
      </w:pPr>
    </w:p>
    <w:p w:rsidR="003A0CFE" w:rsidRPr="00384A10" w:rsidRDefault="00E421AB" w:rsidP="00D652C8">
      <w:pPr>
        <w:pStyle w:val="Heading2"/>
        <w:spacing w:after="120"/>
        <w:ind w:left="705" w:hanging="705"/>
        <w:jc w:val="both"/>
        <w:rPr>
          <w:rFonts w:ascii="Arial" w:hAnsi="Arial" w:cs="Arial"/>
          <w:b w:val="0"/>
          <w:color w:val="auto"/>
          <w:sz w:val="28"/>
        </w:rPr>
      </w:pPr>
      <w:r w:rsidRPr="00384A10">
        <w:rPr>
          <w:rFonts w:ascii="Arial" w:hAnsi="Arial" w:cs="Arial"/>
          <w:b w:val="0"/>
          <w:color w:val="auto"/>
          <w:sz w:val="28"/>
        </w:rPr>
        <w:lastRenderedPageBreak/>
        <w:t>2.</w:t>
      </w:r>
      <w:r w:rsidR="004C18F8" w:rsidRPr="00384A10">
        <w:rPr>
          <w:rFonts w:ascii="Arial" w:hAnsi="Arial" w:cs="Arial"/>
          <w:b w:val="0"/>
          <w:color w:val="auto"/>
          <w:sz w:val="28"/>
        </w:rPr>
        <w:t>2</w:t>
      </w:r>
      <w:r w:rsidRPr="00384A10">
        <w:rPr>
          <w:rFonts w:ascii="Arial" w:hAnsi="Arial" w:cs="Arial"/>
          <w:b w:val="0"/>
          <w:color w:val="auto"/>
          <w:sz w:val="28"/>
        </w:rPr>
        <w:tab/>
      </w:r>
      <w:r w:rsidR="003A0CFE" w:rsidRPr="00384A10">
        <w:rPr>
          <w:rFonts w:ascii="Arial" w:hAnsi="Arial" w:cs="Arial"/>
          <w:b w:val="0"/>
          <w:color w:val="auto"/>
          <w:sz w:val="28"/>
        </w:rPr>
        <w:t>More optimised solutions available</w:t>
      </w:r>
    </w:p>
    <w:p w:rsidR="004C18F8" w:rsidRDefault="004C18F8" w:rsidP="004C18F8">
      <w:r>
        <w:t>In anticipation that operations in devices for NR and LTE will become more integrated, it would make sense to standardise a more optimal solution for single uplink. We believe that the following 2 approaches should be considered for this.</w:t>
      </w:r>
    </w:p>
    <w:p w:rsidR="00B41677" w:rsidRPr="00384A10" w:rsidRDefault="003A0CFE" w:rsidP="00D652C8">
      <w:pPr>
        <w:pStyle w:val="Heading2"/>
        <w:spacing w:after="120"/>
        <w:ind w:left="705" w:hanging="705"/>
        <w:jc w:val="both"/>
        <w:rPr>
          <w:rFonts w:ascii="Arial" w:hAnsi="Arial" w:cs="Arial"/>
          <w:b w:val="0"/>
          <w:color w:val="auto"/>
          <w:sz w:val="24"/>
        </w:rPr>
      </w:pPr>
      <w:r w:rsidRPr="00384A10">
        <w:rPr>
          <w:rFonts w:ascii="Arial" w:hAnsi="Arial" w:cs="Arial"/>
          <w:b w:val="0"/>
          <w:color w:val="auto"/>
          <w:sz w:val="24"/>
        </w:rPr>
        <w:t>2.</w:t>
      </w:r>
      <w:r w:rsidR="004E1156" w:rsidRPr="00384A10">
        <w:rPr>
          <w:rFonts w:ascii="Arial" w:hAnsi="Arial" w:cs="Arial"/>
          <w:b w:val="0"/>
          <w:color w:val="auto"/>
          <w:sz w:val="24"/>
        </w:rPr>
        <w:t>2</w:t>
      </w:r>
      <w:r w:rsidRPr="00384A10">
        <w:rPr>
          <w:rFonts w:ascii="Arial" w:hAnsi="Arial" w:cs="Arial"/>
          <w:b w:val="0"/>
          <w:color w:val="auto"/>
          <w:sz w:val="24"/>
        </w:rPr>
        <w:t>.1.</w:t>
      </w:r>
      <w:r w:rsidR="005828F3" w:rsidRPr="00384A10">
        <w:rPr>
          <w:rFonts w:ascii="Arial" w:hAnsi="Arial" w:cs="Arial"/>
          <w:b w:val="0"/>
          <w:color w:val="auto"/>
          <w:sz w:val="24"/>
        </w:rPr>
        <w:t xml:space="preserve"> </w:t>
      </w:r>
      <w:r w:rsidRPr="00384A10">
        <w:rPr>
          <w:rFonts w:ascii="Arial" w:hAnsi="Arial" w:cs="Arial"/>
          <w:b w:val="0"/>
          <w:color w:val="auto"/>
          <w:sz w:val="24"/>
        </w:rPr>
        <w:t xml:space="preserve">More granular TDM </w:t>
      </w:r>
    </w:p>
    <w:p w:rsidR="004C18F8" w:rsidRDefault="004C18F8" w:rsidP="003715BB">
      <w:pPr>
        <w:pStyle w:val="Header"/>
        <w:spacing w:before="120"/>
        <w:jc w:val="both"/>
        <w:rPr>
          <w:rFonts w:ascii="Times New Roman" w:hAnsi="Times New Roman"/>
          <w:b w:val="0"/>
          <w:noProof w:val="0"/>
          <w:sz w:val="20"/>
          <w:lang w:val="en-US"/>
        </w:rPr>
      </w:pPr>
      <w:r>
        <w:rPr>
          <w:rFonts w:ascii="Times New Roman" w:hAnsi="Times New Roman"/>
          <w:b w:val="0"/>
          <w:noProof w:val="0"/>
          <w:sz w:val="20"/>
          <w:lang w:val="en-US"/>
        </w:rPr>
        <w:t>The idea here</w:t>
      </w:r>
      <w:r w:rsidR="003A0CFE" w:rsidRPr="003715BB">
        <w:rPr>
          <w:rFonts w:ascii="Times New Roman" w:hAnsi="Times New Roman"/>
          <w:b w:val="0"/>
          <w:noProof w:val="0"/>
          <w:sz w:val="20"/>
          <w:lang w:val="en-US"/>
        </w:rPr>
        <w:t xml:space="preserve"> is to </w:t>
      </w:r>
      <w:r w:rsidR="009D164C" w:rsidRPr="003715BB">
        <w:rPr>
          <w:rFonts w:ascii="Times New Roman" w:hAnsi="Times New Roman"/>
          <w:b w:val="0"/>
          <w:noProof w:val="0"/>
          <w:sz w:val="20"/>
          <w:lang w:val="en-US"/>
        </w:rPr>
        <w:t xml:space="preserve">time division multiplex </w:t>
      </w:r>
      <w:r w:rsidR="003A0CFE" w:rsidRPr="003715BB">
        <w:rPr>
          <w:rFonts w:ascii="Times New Roman" w:hAnsi="Times New Roman"/>
          <w:b w:val="0"/>
          <w:noProof w:val="0"/>
          <w:sz w:val="20"/>
          <w:lang w:val="en-US"/>
        </w:rPr>
        <w:t xml:space="preserve">the LTE and NR uplink in </w:t>
      </w:r>
      <w:r w:rsidR="009D164C" w:rsidRPr="003715BB">
        <w:rPr>
          <w:rFonts w:ascii="Times New Roman" w:hAnsi="Times New Roman"/>
          <w:b w:val="0"/>
          <w:noProof w:val="0"/>
          <w:sz w:val="20"/>
          <w:lang w:val="en-US"/>
        </w:rPr>
        <w:t>a more granular manner</w:t>
      </w:r>
      <w:r>
        <w:rPr>
          <w:rFonts w:ascii="Times New Roman" w:hAnsi="Times New Roman"/>
          <w:b w:val="0"/>
          <w:noProof w:val="0"/>
          <w:sz w:val="20"/>
          <w:lang w:val="en-US"/>
        </w:rPr>
        <w:t xml:space="preserve"> as</w:t>
      </w:r>
      <w:r w:rsidR="009D164C" w:rsidRPr="003715BB">
        <w:rPr>
          <w:rFonts w:ascii="Times New Roman" w:hAnsi="Times New Roman"/>
          <w:b w:val="0"/>
          <w:noProof w:val="0"/>
          <w:sz w:val="20"/>
          <w:lang w:val="en-US"/>
        </w:rPr>
        <w:t xml:space="preserve"> to not restrict the HARQ timing</w:t>
      </w:r>
      <w:r w:rsidR="001C1474" w:rsidRPr="003715BB">
        <w:rPr>
          <w:rFonts w:ascii="Times New Roman" w:hAnsi="Times New Roman"/>
          <w:b w:val="0"/>
          <w:noProof w:val="0"/>
          <w:sz w:val="20"/>
          <w:lang w:val="en-US"/>
        </w:rPr>
        <w:t xml:space="preserve"> and at the same time </w:t>
      </w:r>
      <w:r w:rsidR="00243F92">
        <w:rPr>
          <w:rFonts w:ascii="Times New Roman" w:hAnsi="Times New Roman"/>
          <w:b w:val="0"/>
          <w:noProof w:val="0"/>
          <w:sz w:val="20"/>
          <w:lang w:val="en-US"/>
        </w:rPr>
        <w:t>avoid</w:t>
      </w:r>
      <w:r w:rsidR="001C1474" w:rsidRPr="003715BB">
        <w:rPr>
          <w:rFonts w:ascii="Times New Roman" w:hAnsi="Times New Roman"/>
          <w:b w:val="0"/>
          <w:noProof w:val="0"/>
          <w:sz w:val="20"/>
          <w:lang w:val="en-US"/>
        </w:rPr>
        <w:t xml:space="preserve"> large impact </w:t>
      </w:r>
      <w:r>
        <w:rPr>
          <w:rFonts w:ascii="Times New Roman" w:hAnsi="Times New Roman"/>
          <w:b w:val="0"/>
          <w:noProof w:val="0"/>
          <w:sz w:val="20"/>
          <w:lang w:val="en-US"/>
        </w:rPr>
        <w:t>to LTE baseband, enabling a better overall performance</w:t>
      </w:r>
      <w:r w:rsidR="001C1474" w:rsidRPr="003715BB">
        <w:rPr>
          <w:rFonts w:ascii="Times New Roman" w:hAnsi="Times New Roman"/>
          <w:b w:val="0"/>
          <w:noProof w:val="0"/>
          <w:sz w:val="20"/>
          <w:lang w:val="en-US"/>
        </w:rPr>
        <w:t>.</w:t>
      </w:r>
      <w:r>
        <w:rPr>
          <w:rFonts w:ascii="Times New Roman" w:hAnsi="Times New Roman"/>
          <w:b w:val="0"/>
          <w:noProof w:val="0"/>
          <w:sz w:val="20"/>
          <w:lang w:val="en-US"/>
        </w:rPr>
        <w:t xml:space="preserve"> </w:t>
      </w:r>
    </w:p>
    <w:p w:rsidR="00E46B1D" w:rsidRPr="003715BB" w:rsidRDefault="004C18F8" w:rsidP="003715BB">
      <w:pPr>
        <w:pStyle w:val="Header"/>
        <w:spacing w:before="120"/>
        <w:jc w:val="both"/>
        <w:rPr>
          <w:rFonts w:ascii="Times New Roman" w:hAnsi="Times New Roman"/>
          <w:b w:val="0"/>
          <w:noProof w:val="0"/>
          <w:sz w:val="20"/>
          <w:lang w:val="en-US"/>
        </w:rPr>
      </w:pPr>
      <w:r>
        <w:rPr>
          <w:rFonts w:ascii="Times New Roman" w:hAnsi="Times New Roman"/>
          <w:b w:val="0"/>
          <w:noProof w:val="0"/>
          <w:sz w:val="20"/>
          <w:lang w:val="en-US"/>
        </w:rPr>
        <w:t>Mapping of both LTE and NR to the same carrier from the UE perspective would further simplify UE operation when 2 uplink carriers are not required from a user plane data transfer perspective.</w:t>
      </w:r>
    </w:p>
    <w:p w:rsidR="001C1474" w:rsidRDefault="001C1474" w:rsidP="008C0FE5">
      <w:pPr>
        <w:jc w:val="both"/>
      </w:pPr>
    </w:p>
    <w:p w:rsidR="001C1474" w:rsidRPr="00384A10" w:rsidRDefault="001C1474" w:rsidP="001C1474">
      <w:pPr>
        <w:pStyle w:val="Heading2"/>
        <w:spacing w:after="120"/>
        <w:ind w:left="705" w:hanging="705"/>
        <w:jc w:val="both"/>
        <w:rPr>
          <w:rFonts w:ascii="Arial" w:hAnsi="Arial" w:cs="Arial"/>
          <w:b w:val="0"/>
          <w:color w:val="auto"/>
          <w:sz w:val="24"/>
        </w:rPr>
      </w:pPr>
      <w:r w:rsidRPr="00384A10">
        <w:rPr>
          <w:rFonts w:ascii="Arial" w:hAnsi="Arial" w:cs="Arial"/>
          <w:b w:val="0"/>
          <w:color w:val="auto"/>
          <w:sz w:val="24"/>
        </w:rPr>
        <w:t>2.</w:t>
      </w:r>
      <w:r w:rsidR="00C46CE4" w:rsidRPr="00384A10">
        <w:rPr>
          <w:rFonts w:ascii="Arial" w:hAnsi="Arial" w:cs="Arial"/>
          <w:b w:val="0"/>
          <w:color w:val="auto"/>
          <w:sz w:val="24"/>
        </w:rPr>
        <w:t>2</w:t>
      </w:r>
      <w:r w:rsidRPr="00384A10">
        <w:rPr>
          <w:rFonts w:ascii="Arial" w:hAnsi="Arial" w:cs="Arial"/>
          <w:b w:val="0"/>
          <w:color w:val="auto"/>
          <w:sz w:val="24"/>
        </w:rPr>
        <w:t xml:space="preserve">.2. Piggybacking NR L1/2 control channel feedback onto LTE channels (or vice versa) </w:t>
      </w:r>
    </w:p>
    <w:p w:rsidR="001C1474" w:rsidRPr="001C1474" w:rsidRDefault="004C18F8" w:rsidP="00243F92">
      <w:pPr>
        <w:jc w:val="both"/>
      </w:pPr>
      <w:r>
        <w:t>The idea here is to perform</w:t>
      </w:r>
      <w:r w:rsidR="001C1474">
        <w:t xml:space="preserve"> multiplexing </w:t>
      </w:r>
      <w:r>
        <w:t>of control information of NR onto the LTE physical layer, or the mapping of LTE control onto the NR physical layer</w:t>
      </w:r>
      <w:r w:rsidR="00243F92">
        <w:t>.</w:t>
      </w:r>
      <w:r>
        <w:t xml:space="preserve"> This would further simplify the device RF operation, but require a more integrated baseband operation between LTE and NR from network and UE side.</w:t>
      </w:r>
    </w:p>
    <w:p w:rsidR="004C18F8" w:rsidRDefault="004C18F8" w:rsidP="008C0FE5">
      <w:pPr>
        <w:pStyle w:val="Header"/>
        <w:jc w:val="both"/>
        <w:rPr>
          <w:rFonts w:ascii="Times New Roman" w:hAnsi="Times New Roman"/>
          <w:noProof w:val="0"/>
          <w:sz w:val="20"/>
          <w:lang w:val="en-GB"/>
        </w:rPr>
      </w:pPr>
    </w:p>
    <w:p w:rsidR="004C18F8" w:rsidRPr="00384A10" w:rsidRDefault="00C46CE4" w:rsidP="00384A10">
      <w:pPr>
        <w:pStyle w:val="Heading3"/>
        <w:rPr>
          <w:sz w:val="24"/>
        </w:rPr>
      </w:pPr>
      <w:r w:rsidRPr="00384A10">
        <w:rPr>
          <w:sz w:val="24"/>
        </w:rPr>
        <w:t>2.2.3</w:t>
      </w:r>
      <w:r w:rsidR="00D07F1C" w:rsidRPr="00384A10">
        <w:rPr>
          <w:sz w:val="24"/>
        </w:rPr>
        <w:tab/>
      </w:r>
      <w:r w:rsidR="004C18F8" w:rsidRPr="00384A10">
        <w:rPr>
          <w:sz w:val="24"/>
        </w:rPr>
        <w:t>Timing of the introduction of such solutions</w:t>
      </w:r>
    </w:p>
    <w:p w:rsidR="004C18F8" w:rsidRDefault="00D07F1C" w:rsidP="008C0FE5">
      <w:pPr>
        <w:pStyle w:val="Header"/>
        <w:jc w:val="both"/>
        <w:rPr>
          <w:rFonts w:ascii="Times New Roman" w:hAnsi="Times New Roman"/>
          <w:b w:val="0"/>
          <w:noProof w:val="0"/>
          <w:sz w:val="20"/>
          <w:lang w:val="en-GB"/>
        </w:rPr>
      </w:pPr>
      <w:r w:rsidRPr="00384A10">
        <w:rPr>
          <w:rFonts w:ascii="Times New Roman" w:hAnsi="Times New Roman"/>
          <w:b w:val="0"/>
          <w:noProof w:val="0"/>
          <w:sz w:val="20"/>
          <w:lang w:val="en-GB"/>
        </w:rPr>
        <w:t xml:space="preserve">We believe that in order to increase the opportunities for NR deployment, </w:t>
      </w:r>
      <w:r>
        <w:rPr>
          <w:rFonts w:ascii="Times New Roman" w:hAnsi="Times New Roman"/>
          <w:b w:val="0"/>
          <w:noProof w:val="0"/>
          <w:sz w:val="20"/>
          <w:lang w:val="en-GB"/>
        </w:rPr>
        <w:t xml:space="preserve">without impacting negatively on existing LTE customer experience, </w:t>
      </w:r>
      <w:r w:rsidRPr="00384A10">
        <w:rPr>
          <w:rFonts w:ascii="Times New Roman" w:hAnsi="Times New Roman"/>
          <w:b w:val="0"/>
          <w:noProof w:val="0"/>
          <w:sz w:val="20"/>
          <w:lang w:val="en-GB"/>
        </w:rPr>
        <w:t xml:space="preserve">specifying more optimal solutions for LTE+NR DC with single uplink within Release timeframe is required. As we have stated many times, this is not essential for December 2017, but we believe it </w:t>
      </w:r>
      <w:r>
        <w:rPr>
          <w:rFonts w:ascii="Times New Roman" w:hAnsi="Times New Roman"/>
          <w:b w:val="0"/>
          <w:noProof w:val="0"/>
          <w:sz w:val="20"/>
          <w:lang w:val="en-GB"/>
        </w:rPr>
        <w:t>should be available</w:t>
      </w:r>
      <w:r w:rsidRPr="00384A10">
        <w:rPr>
          <w:rFonts w:ascii="Times New Roman" w:hAnsi="Times New Roman"/>
          <w:b w:val="0"/>
          <w:noProof w:val="0"/>
          <w:sz w:val="20"/>
          <w:lang w:val="en-GB"/>
        </w:rPr>
        <w:t xml:space="preserve"> for June 2018 completion.</w:t>
      </w:r>
    </w:p>
    <w:p w:rsidR="00D07F1C" w:rsidRDefault="00D07F1C" w:rsidP="008C0FE5">
      <w:pPr>
        <w:pStyle w:val="Header"/>
        <w:jc w:val="both"/>
        <w:rPr>
          <w:rFonts w:ascii="Times New Roman" w:hAnsi="Times New Roman"/>
          <w:b w:val="0"/>
          <w:noProof w:val="0"/>
          <w:sz w:val="20"/>
          <w:lang w:val="en-GB"/>
        </w:rPr>
      </w:pPr>
    </w:p>
    <w:p w:rsidR="00C46CE4" w:rsidRDefault="00C46CE4" w:rsidP="00C46CE4">
      <w:pPr>
        <w:pStyle w:val="Header"/>
        <w:jc w:val="both"/>
        <w:rPr>
          <w:rFonts w:ascii="Times New Roman" w:hAnsi="Times New Roman"/>
          <w:noProof w:val="0"/>
          <w:sz w:val="20"/>
          <w:lang w:val="en-GB"/>
        </w:rPr>
      </w:pPr>
      <w:r w:rsidRPr="00C46CE4">
        <w:rPr>
          <w:rFonts w:ascii="Times New Roman" w:hAnsi="Times New Roman"/>
          <w:noProof w:val="0"/>
          <w:sz w:val="20"/>
          <w:u w:val="single"/>
          <w:lang w:val="en-GB"/>
        </w:rPr>
        <w:t>Observation 2</w:t>
      </w:r>
      <w:r w:rsidRPr="00C46CE4">
        <w:rPr>
          <w:rFonts w:ascii="Times New Roman" w:hAnsi="Times New Roman"/>
          <w:noProof w:val="0"/>
          <w:sz w:val="20"/>
          <w:lang w:val="en-GB"/>
        </w:rPr>
        <w:t xml:space="preserve">: There are </w:t>
      </w:r>
      <w:r>
        <w:rPr>
          <w:rFonts w:ascii="Times New Roman" w:hAnsi="Times New Roman"/>
          <w:noProof w:val="0"/>
          <w:sz w:val="20"/>
          <w:lang w:val="en-GB"/>
        </w:rPr>
        <w:t>more effective</w:t>
      </w:r>
      <w:r w:rsidRPr="00C46CE4">
        <w:rPr>
          <w:rFonts w:ascii="Times New Roman" w:hAnsi="Times New Roman"/>
          <w:noProof w:val="0"/>
          <w:sz w:val="20"/>
          <w:lang w:val="en-GB"/>
        </w:rPr>
        <w:t xml:space="preserve"> solutions available for optimising overall </w:t>
      </w:r>
      <w:r>
        <w:rPr>
          <w:rFonts w:ascii="Times New Roman" w:hAnsi="Times New Roman"/>
          <w:noProof w:val="0"/>
          <w:sz w:val="20"/>
          <w:lang w:val="en-GB"/>
        </w:rPr>
        <w:t>single uplink</w:t>
      </w:r>
      <w:r w:rsidRPr="00C46CE4">
        <w:rPr>
          <w:rFonts w:ascii="Times New Roman" w:hAnsi="Times New Roman"/>
          <w:noProof w:val="0"/>
          <w:sz w:val="20"/>
          <w:lang w:val="en-GB"/>
        </w:rPr>
        <w:t xml:space="preserve"> operation </w:t>
      </w:r>
      <w:r>
        <w:rPr>
          <w:rFonts w:ascii="Times New Roman" w:hAnsi="Times New Roman"/>
          <w:noProof w:val="0"/>
          <w:sz w:val="20"/>
          <w:lang w:val="en-GB"/>
        </w:rPr>
        <w:t xml:space="preserve">for </w:t>
      </w:r>
      <w:r w:rsidRPr="00C46CE4">
        <w:rPr>
          <w:rFonts w:ascii="Times New Roman" w:hAnsi="Times New Roman"/>
          <w:noProof w:val="0"/>
          <w:sz w:val="20"/>
          <w:lang w:val="en-GB"/>
        </w:rPr>
        <w:t>IMD-</w:t>
      </w:r>
      <w:r>
        <w:rPr>
          <w:rFonts w:ascii="Times New Roman" w:hAnsi="Times New Roman"/>
          <w:noProof w:val="0"/>
          <w:sz w:val="20"/>
          <w:lang w:val="en-GB"/>
        </w:rPr>
        <w:t xml:space="preserve">impacted </w:t>
      </w:r>
      <w:r w:rsidR="00384A10">
        <w:rPr>
          <w:rFonts w:ascii="Times New Roman" w:hAnsi="Times New Roman"/>
          <w:noProof w:val="0"/>
          <w:sz w:val="20"/>
          <w:lang w:val="en-GB"/>
        </w:rPr>
        <w:t xml:space="preserve">LTE+NR DC </w:t>
      </w:r>
      <w:r>
        <w:rPr>
          <w:rFonts w:ascii="Times New Roman" w:hAnsi="Times New Roman"/>
          <w:noProof w:val="0"/>
          <w:sz w:val="20"/>
          <w:lang w:val="en-GB"/>
        </w:rPr>
        <w:t>scenarios, and also for simplifying the more integrated UE design if a single uplink band is enabled for transmitting both LTE and NR:</w:t>
      </w:r>
    </w:p>
    <w:p w:rsidR="00C46CE4" w:rsidRDefault="00C46CE4" w:rsidP="00C46CE4">
      <w:pPr>
        <w:pStyle w:val="Header"/>
        <w:numPr>
          <w:ilvl w:val="0"/>
          <w:numId w:val="35"/>
        </w:numPr>
        <w:jc w:val="both"/>
        <w:rPr>
          <w:rFonts w:ascii="Times New Roman" w:hAnsi="Times New Roman"/>
          <w:noProof w:val="0"/>
          <w:sz w:val="20"/>
          <w:lang w:val="en-GB"/>
        </w:rPr>
      </w:pPr>
      <w:r>
        <w:rPr>
          <w:rFonts w:ascii="Times New Roman" w:hAnsi="Times New Roman"/>
          <w:noProof w:val="0"/>
          <w:sz w:val="20"/>
          <w:lang w:val="en-GB"/>
        </w:rPr>
        <w:t>More granular TDM</w:t>
      </w:r>
    </w:p>
    <w:p w:rsidR="00C46CE4" w:rsidRPr="00C46CE4" w:rsidRDefault="00C46CE4" w:rsidP="00C46CE4">
      <w:pPr>
        <w:pStyle w:val="Header"/>
        <w:numPr>
          <w:ilvl w:val="0"/>
          <w:numId w:val="35"/>
        </w:numPr>
        <w:jc w:val="both"/>
        <w:rPr>
          <w:rFonts w:ascii="Times New Roman" w:hAnsi="Times New Roman"/>
          <w:noProof w:val="0"/>
          <w:sz w:val="20"/>
          <w:lang w:val="en-GB"/>
        </w:rPr>
      </w:pPr>
      <w:r>
        <w:rPr>
          <w:rFonts w:ascii="Times New Roman" w:hAnsi="Times New Roman"/>
          <w:noProof w:val="0"/>
          <w:sz w:val="20"/>
          <w:lang w:val="en-GB"/>
        </w:rPr>
        <w:t>Piggybacking NR layer 1 control info onto LTE, or vice versa</w:t>
      </w:r>
    </w:p>
    <w:p w:rsidR="00C46CE4" w:rsidRDefault="00C46CE4" w:rsidP="008C0FE5">
      <w:pPr>
        <w:pStyle w:val="Header"/>
        <w:jc w:val="both"/>
        <w:rPr>
          <w:rFonts w:ascii="Times New Roman" w:hAnsi="Times New Roman"/>
          <w:noProof w:val="0"/>
          <w:sz w:val="20"/>
          <w:u w:val="single"/>
          <w:lang w:val="en-GB"/>
        </w:rPr>
      </w:pPr>
    </w:p>
    <w:p w:rsidR="00D07F1C" w:rsidRPr="00C46CE4" w:rsidRDefault="00D07F1C" w:rsidP="008C0FE5">
      <w:pPr>
        <w:pStyle w:val="Header"/>
        <w:jc w:val="both"/>
        <w:rPr>
          <w:rFonts w:ascii="Times New Roman" w:hAnsi="Times New Roman"/>
          <w:noProof w:val="0"/>
          <w:sz w:val="20"/>
          <w:lang w:val="en-GB"/>
        </w:rPr>
      </w:pPr>
      <w:r w:rsidRPr="00384A10">
        <w:rPr>
          <w:rFonts w:ascii="Times New Roman" w:hAnsi="Times New Roman"/>
          <w:noProof w:val="0"/>
          <w:sz w:val="20"/>
          <w:u w:val="single"/>
          <w:lang w:val="en-GB"/>
        </w:rPr>
        <w:t>Observation 3:</w:t>
      </w:r>
      <w:r w:rsidRPr="00384A10">
        <w:rPr>
          <w:rFonts w:ascii="Times New Roman" w:hAnsi="Times New Roman"/>
          <w:noProof w:val="0"/>
          <w:sz w:val="20"/>
          <w:lang w:val="en-GB"/>
        </w:rPr>
        <w:t xml:space="preserve"> Standardisation of more optimal single uplink solution within Release 15</w:t>
      </w:r>
      <w:r w:rsidR="00C46CE4">
        <w:rPr>
          <w:rFonts w:ascii="Times New Roman" w:hAnsi="Times New Roman"/>
          <w:noProof w:val="0"/>
          <w:sz w:val="20"/>
          <w:lang w:val="en-GB"/>
        </w:rPr>
        <w:t>,</w:t>
      </w:r>
      <w:r w:rsidRPr="00384A10">
        <w:rPr>
          <w:rFonts w:ascii="Times New Roman" w:hAnsi="Times New Roman"/>
          <w:noProof w:val="0"/>
          <w:sz w:val="20"/>
          <w:lang w:val="en-GB"/>
        </w:rPr>
        <w:t xml:space="preserve"> </w:t>
      </w:r>
      <w:r w:rsidR="00C46CE4">
        <w:rPr>
          <w:rFonts w:ascii="Times New Roman" w:hAnsi="Times New Roman"/>
          <w:noProof w:val="0"/>
          <w:sz w:val="20"/>
          <w:lang w:val="en-GB"/>
        </w:rPr>
        <w:t xml:space="preserve">i.e. by June 2018 </w:t>
      </w:r>
      <w:r w:rsidRPr="00384A10">
        <w:rPr>
          <w:rFonts w:ascii="Times New Roman" w:hAnsi="Times New Roman"/>
          <w:noProof w:val="0"/>
          <w:sz w:val="20"/>
          <w:lang w:val="en-GB"/>
        </w:rPr>
        <w:t>would speed up NR take-up globally in sub-6GHz bands without impacting existing LTE customer experience.</w:t>
      </w:r>
    </w:p>
    <w:p w:rsidR="004E27D1" w:rsidRDefault="004E27D1" w:rsidP="008C0FE5">
      <w:pPr>
        <w:pStyle w:val="Header"/>
        <w:jc w:val="both"/>
        <w:rPr>
          <w:rFonts w:ascii="Times New Roman" w:hAnsi="Times New Roman"/>
          <w:b w:val="0"/>
          <w:noProof w:val="0"/>
          <w:sz w:val="20"/>
          <w:lang w:val="en-GB"/>
        </w:rPr>
      </w:pPr>
    </w:p>
    <w:p w:rsidR="00F47F34" w:rsidRPr="00AE64D6" w:rsidRDefault="00F47F34" w:rsidP="008C0FE5">
      <w:pPr>
        <w:pStyle w:val="Header"/>
        <w:jc w:val="both"/>
        <w:rPr>
          <w:rFonts w:ascii="Times New Roman" w:hAnsi="Times New Roman"/>
          <w:b w:val="0"/>
          <w:noProof w:val="0"/>
          <w:sz w:val="16"/>
          <w:szCs w:val="16"/>
          <w:lang w:val="en-GB"/>
        </w:rPr>
      </w:pPr>
    </w:p>
    <w:p w:rsidR="00986BE4" w:rsidRDefault="004D3D86" w:rsidP="008E09E3">
      <w:pPr>
        <w:pStyle w:val="Heading1"/>
        <w:numPr>
          <w:ilvl w:val="0"/>
          <w:numId w:val="21"/>
        </w:numPr>
        <w:ind w:hanging="720"/>
        <w:jc w:val="both"/>
      </w:pPr>
      <w:r>
        <w:t>Conclusion and proposal</w:t>
      </w:r>
    </w:p>
    <w:p w:rsidR="00C46CE4" w:rsidRDefault="00C46CE4" w:rsidP="008C0FE5">
      <w:pPr>
        <w:jc w:val="both"/>
      </w:pPr>
      <w:r>
        <w:t>For single uplink operation in Release 15 we note the following observations:</w:t>
      </w:r>
    </w:p>
    <w:p w:rsidR="00C46CE4" w:rsidRPr="00220E1E" w:rsidRDefault="00C46CE4" w:rsidP="00C46CE4">
      <w:pPr>
        <w:rPr>
          <w:b/>
        </w:rPr>
      </w:pPr>
      <w:r w:rsidRPr="00220E1E">
        <w:rPr>
          <w:b/>
          <w:u w:val="single"/>
        </w:rPr>
        <w:t>Observation 1</w:t>
      </w:r>
      <w:r w:rsidRPr="00220E1E">
        <w:rPr>
          <w:b/>
        </w:rPr>
        <w:t xml:space="preserve">: Both </w:t>
      </w:r>
      <w:r>
        <w:rPr>
          <w:b/>
        </w:rPr>
        <w:t xml:space="preserve">existing proposed </w:t>
      </w:r>
      <w:r w:rsidRPr="00220E1E">
        <w:rPr>
          <w:b/>
        </w:rPr>
        <w:t>options for multiband TDM operation have drawbacks, and option 2 requires changes to LTE FDD baseband equipment. When combined with UL sharing on LTE bands to improve NR coverage, device operation is further complicated.</w:t>
      </w:r>
    </w:p>
    <w:p w:rsidR="00C46CE4" w:rsidRDefault="00C46CE4" w:rsidP="00C46CE4">
      <w:pPr>
        <w:pStyle w:val="Header"/>
        <w:jc w:val="both"/>
        <w:rPr>
          <w:rFonts w:ascii="Times New Roman" w:hAnsi="Times New Roman"/>
          <w:noProof w:val="0"/>
          <w:sz w:val="20"/>
          <w:lang w:val="en-GB"/>
        </w:rPr>
      </w:pPr>
      <w:r w:rsidRPr="00C46CE4">
        <w:rPr>
          <w:rFonts w:ascii="Times New Roman" w:hAnsi="Times New Roman"/>
          <w:noProof w:val="0"/>
          <w:sz w:val="20"/>
          <w:u w:val="single"/>
          <w:lang w:val="en-GB"/>
        </w:rPr>
        <w:t>Observation 2</w:t>
      </w:r>
      <w:r w:rsidRPr="00C46CE4">
        <w:rPr>
          <w:rFonts w:ascii="Times New Roman" w:hAnsi="Times New Roman"/>
          <w:noProof w:val="0"/>
          <w:sz w:val="20"/>
          <w:lang w:val="en-GB"/>
        </w:rPr>
        <w:t xml:space="preserve">: There are </w:t>
      </w:r>
      <w:r>
        <w:rPr>
          <w:rFonts w:ascii="Times New Roman" w:hAnsi="Times New Roman"/>
          <w:noProof w:val="0"/>
          <w:sz w:val="20"/>
          <w:lang w:val="en-GB"/>
        </w:rPr>
        <w:t>more effective</w:t>
      </w:r>
      <w:r w:rsidRPr="00C46CE4">
        <w:rPr>
          <w:rFonts w:ascii="Times New Roman" w:hAnsi="Times New Roman"/>
          <w:noProof w:val="0"/>
          <w:sz w:val="20"/>
          <w:lang w:val="en-GB"/>
        </w:rPr>
        <w:t xml:space="preserve"> solutions already available for optimising overall </w:t>
      </w:r>
      <w:r>
        <w:rPr>
          <w:rFonts w:ascii="Times New Roman" w:hAnsi="Times New Roman"/>
          <w:noProof w:val="0"/>
          <w:sz w:val="20"/>
          <w:lang w:val="en-GB"/>
        </w:rPr>
        <w:t>single uplink</w:t>
      </w:r>
      <w:r w:rsidRPr="00C46CE4">
        <w:rPr>
          <w:rFonts w:ascii="Times New Roman" w:hAnsi="Times New Roman"/>
          <w:noProof w:val="0"/>
          <w:sz w:val="20"/>
          <w:lang w:val="en-GB"/>
        </w:rPr>
        <w:t xml:space="preserve"> operation </w:t>
      </w:r>
      <w:r>
        <w:rPr>
          <w:rFonts w:ascii="Times New Roman" w:hAnsi="Times New Roman"/>
          <w:noProof w:val="0"/>
          <w:sz w:val="20"/>
          <w:lang w:val="en-GB"/>
        </w:rPr>
        <w:t xml:space="preserve">for </w:t>
      </w:r>
      <w:r w:rsidRPr="00C46CE4">
        <w:rPr>
          <w:rFonts w:ascii="Times New Roman" w:hAnsi="Times New Roman"/>
          <w:noProof w:val="0"/>
          <w:sz w:val="20"/>
          <w:lang w:val="en-GB"/>
        </w:rPr>
        <w:t>IMD-</w:t>
      </w:r>
      <w:r>
        <w:rPr>
          <w:rFonts w:ascii="Times New Roman" w:hAnsi="Times New Roman"/>
          <w:noProof w:val="0"/>
          <w:sz w:val="20"/>
          <w:lang w:val="en-GB"/>
        </w:rPr>
        <w:t>impacted scenarios, and also for simplifying the more integrated UE design if a single uplink band is enabled for transmitting both LTE and NR:</w:t>
      </w:r>
    </w:p>
    <w:p w:rsidR="00C46CE4" w:rsidRDefault="00C46CE4" w:rsidP="00384A10">
      <w:pPr>
        <w:pStyle w:val="Header"/>
        <w:numPr>
          <w:ilvl w:val="0"/>
          <w:numId w:val="35"/>
        </w:numPr>
        <w:jc w:val="both"/>
        <w:rPr>
          <w:rFonts w:ascii="Times New Roman" w:hAnsi="Times New Roman"/>
          <w:noProof w:val="0"/>
          <w:sz w:val="20"/>
          <w:lang w:val="en-GB"/>
        </w:rPr>
      </w:pPr>
      <w:r>
        <w:rPr>
          <w:rFonts w:ascii="Times New Roman" w:hAnsi="Times New Roman"/>
          <w:noProof w:val="0"/>
          <w:sz w:val="20"/>
          <w:lang w:val="en-GB"/>
        </w:rPr>
        <w:t>More granular TDM</w:t>
      </w:r>
    </w:p>
    <w:p w:rsidR="00C46CE4" w:rsidRPr="00C46CE4" w:rsidRDefault="00C46CE4" w:rsidP="00384A10">
      <w:pPr>
        <w:pStyle w:val="Header"/>
        <w:numPr>
          <w:ilvl w:val="0"/>
          <w:numId w:val="35"/>
        </w:numPr>
        <w:jc w:val="both"/>
        <w:rPr>
          <w:rFonts w:ascii="Times New Roman" w:hAnsi="Times New Roman"/>
          <w:noProof w:val="0"/>
          <w:sz w:val="20"/>
          <w:lang w:val="en-GB"/>
        </w:rPr>
      </w:pPr>
      <w:r>
        <w:rPr>
          <w:rFonts w:ascii="Times New Roman" w:hAnsi="Times New Roman"/>
          <w:noProof w:val="0"/>
          <w:sz w:val="20"/>
          <w:lang w:val="en-GB"/>
        </w:rPr>
        <w:t>Piggybacking NR layer 1 control info onto LTE, or vice versa</w:t>
      </w:r>
    </w:p>
    <w:p w:rsidR="00C46CE4" w:rsidRDefault="00C46CE4" w:rsidP="00C46CE4">
      <w:pPr>
        <w:pStyle w:val="Header"/>
        <w:jc w:val="both"/>
        <w:rPr>
          <w:rFonts w:ascii="Times New Roman" w:hAnsi="Times New Roman"/>
          <w:noProof w:val="0"/>
          <w:sz w:val="20"/>
          <w:u w:val="single"/>
          <w:lang w:val="en-GB"/>
        </w:rPr>
      </w:pPr>
    </w:p>
    <w:p w:rsidR="00C46CE4" w:rsidRPr="00C46CE4" w:rsidRDefault="00C46CE4" w:rsidP="00C46CE4">
      <w:pPr>
        <w:pStyle w:val="Header"/>
        <w:jc w:val="both"/>
        <w:rPr>
          <w:rFonts w:ascii="Times New Roman" w:hAnsi="Times New Roman"/>
          <w:noProof w:val="0"/>
          <w:sz w:val="20"/>
          <w:lang w:val="en-GB"/>
        </w:rPr>
      </w:pPr>
      <w:r w:rsidRPr="00220E1E">
        <w:rPr>
          <w:rFonts w:ascii="Times New Roman" w:hAnsi="Times New Roman"/>
          <w:noProof w:val="0"/>
          <w:sz w:val="20"/>
          <w:u w:val="single"/>
          <w:lang w:val="en-GB"/>
        </w:rPr>
        <w:t>Observation 3:</w:t>
      </w:r>
      <w:r w:rsidRPr="00220E1E">
        <w:rPr>
          <w:rFonts w:ascii="Times New Roman" w:hAnsi="Times New Roman"/>
          <w:noProof w:val="0"/>
          <w:sz w:val="20"/>
          <w:lang w:val="en-GB"/>
        </w:rPr>
        <w:t xml:space="preserve"> Standardisation of more optimal single uplink solution within Release 15</w:t>
      </w:r>
      <w:r>
        <w:rPr>
          <w:rFonts w:ascii="Times New Roman" w:hAnsi="Times New Roman"/>
          <w:noProof w:val="0"/>
          <w:sz w:val="20"/>
          <w:lang w:val="en-GB"/>
        </w:rPr>
        <w:t>,</w:t>
      </w:r>
      <w:r w:rsidRPr="00220E1E">
        <w:rPr>
          <w:rFonts w:ascii="Times New Roman" w:hAnsi="Times New Roman"/>
          <w:noProof w:val="0"/>
          <w:sz w:val="20"/>
          <w:lang w:val="en-GB"/>
        </w:rPr>
        <w:t xml:space="preserve"> </w:t>
      </w:r>
      <w:r>
        <w:rPr>
          <w:rFonts w:ascii="Times New Roman" w:hAnsi="Times New Roman"/>
          <w:noProof w:val="0"/>
          <w:sz w:val="20"/>
          <w:lang w:val="en-GB"/>
        </w:rPr>
        <w:t xml:space="preserve">i.e. by June 2018, </w:t>
      </w:r>
      <w:r w:rsidRPr="00220E1E">
        <w:rPr>
          <w:rFonts w:ascii="Times New Roman" w:hAnsi="Times New Roman"/>
          <w:noProof w:val="0"/>
          <w:sz w:val="20"/>
          <w:lang w:val="en-GB"/>
        </w:rPr>
        <w:t>would speed up NR take-up globally in sub-6GHz bands without impacting existing LTE customer experience.</w:t>
      </w:r>
    </w:p>
    <w:p w:rsidR="00C46CE4" w:rsidRDefault="00384A10" w:rsidP="000A2632">
      <w:pPr>
        <w:jc w:val="both"/>
      </w:pPr>
      <w:r>
        <w:lastRenderedPageBreak/>
        <w:t>W</w:t>
      </w:r>
      <w:r w:rsidR="00C46CE4">
        <w:t>e propose the following to be agreed by RAN plenary, and for the NR Rel-15 WID to be updated accordingly:</w:t>
      </w:r>
    </w:p>
    <w:p w:rsidR="000A2632" w:rsidRDefault="003715BB" w:rsidP="000A2632">
      <w:pPr>
        <w:jc w:val="both"/>
        <w:rPr>
          <w:b/>
          <w:lang w:val="en-US"/>
        </w:rPr>
      </w:pPr>
      <w:r>
        <w:rPr>
          <w:b/>
          <w:u w:val="single"/>
          <w:lang w:val="en-US"/>
        </w:rPr>
        <w:t>Proposal</w:t>
      </w:r>
      <w:r w:rsidR="008C0FE5" w:rsidRPr="008C0FE5">
        <w:rPr>
          <w:b/>
          <w:u w:val="single"/>
          <w:lang w:val="en-US"/>
        </w:rPr>
        <w:t>:</w:t>
      </w:r>
      <w:r w:rsidR="008C0FE5" w:rsidRPr="008C0FE5">
        <w:rPr>
          <w:b/>
          <w:lang w:val="en-US"/>
        </w:rPr>
        <w:t xml:space="preserve"> </w:t>
      </w:r>
      <w:r w:rsidR="00C46CE4">
        <w:rPr>
          <w:b/>
          <w:lang w:val="en-US"/>
        </w:rPr>
        <w:t>Specif</w:t>
      </w:r>
      <w:r w:rsidR="00384A10">
        <w:rPr>
          <w:b/>
          <w:lang w:val="en-US"/>
        </w:rPr>
        <w:t>y EITHER a) a granular TDM enabling per-</w:t>
      </w:r>
      <w:proofErr w:type="spellStart"/>
      <w:r w:rsidR="00384A10">
        <w:rPr>
          <w:b/>
          <w:lang w:val="en-US"/>
        </w:rPr>
        <w:t>subframe</w:t>
      </w:r>
      <w:proofErr w:type="spellEnd"/>
      <w:r w:rsidR="00384A10">
        <w:rPr>
          <w:b/>
          <w:lang w:val="en-US"/>
        </w:rPr>
        <w:t xml:space="preserve"> feedback of both LTE and NR (considering support on single band and also on different bands) OR b) a layer 1 control piggybacking solution for single uplink of LTE+NR DC by June 2018, starting from December 2017 onwards.</w:t>
      </w:r>
    </w:p>
    <w:p w:rsidR="00692BF3" w:rsidRDefault="00692BF3" w:rsidP="00692BF3">
      <w:pPr>
        <w:pStyle w:val="Heading1"/>
        <w:numPr>
          <w:ilvl w:val="0"/>
          <w:numId w:val="21"/>
        </w:numPr>
        <w:ind w:hanging="720"/>
        <w:jc w:val="both"/>
      </w:pPr>
      <w:r>
        <w:t>R</w:t>
      </w:r>
      <w:r w:rsidRPr="00692BF3">
        <w:t>eferences</w:t>
      </w:r>
    </w:p>
    <w:p w:rsidR="00692BF3" w:rsidRDefault="00692BF3" w:rsidP="00692BF3">
      <w:pPr>
        <w:pStyle w:val="Header"/>
        <w:tabs>
          <w:tab w:val="right" w:pos="9781"/>
        </w:tabs>
        <w:spacing w:after="120"/>
        <w:ind w:right="-57"/>
        <w:rPr>
          <w:rFonts w:ascii="Times" w:eastAsia="Malgun Gothic" w:hAnsi="Times"/>
          <w:b w:val="0"/>
          <w:noProof w:val="0"/>
          <w:sz w:val="20"/>
          <w:lang w:val="en-GB"/>
        </w:rPr>
      </w:pPr>
      <w:r w:rsidRPr="007A3F06">
        <w:rPr>
          <w:rFonts w:ascii="Times" w:eastAsia="Malgun Gothic" w:hAnsi="Times"/>
          <w:b w:val="0"/>
          <w:noProof w:val="0"/>
          <w:sz w:val="20"/>
          <w:lang w:val="en-GB"/>
        </w:rPr>
        <w:t>[1] RAN1 Chairman’s Notes</w:t>
      </w:r>
      <w:r>
        <w:rPr>
          <w:rFonts w:ascii="Times" w:eastAsia="Malgun Gothic" w:hAnsi="Times"/>
          <w:b w:val="0"/>
          <w:noProof w:val="0"/>
          <w:sz w:val="20"/>
          <w:lang w:val="en-GB"/>
        </w:rPr>
        <w:t xml:space="preserve">, </w:t>
      </w:r>
      <w:r w:rsidRPr="007A3F06">
        <w:rPr>
          <w:rFonts w:ascii="Times" w:eastAsia="Malgun Gothic" w:hAnsi="Times"/>
          <w:b w:val="0"/>
          <w:noProof w:val="0"/>
          <w:sz w:val="20"/>
          <w:lang w:val="en-GB"/>
        </w:rPr>
        <w:t>3GPP TSG RAN WG1 Meeting #8</w:t>
      </w:r>
      <w:r>
        <w:rPr>
          <w:rFonts w:ascii="Times" w:eastAsia="Malgun Gothic" w:hAnsi="Times"/>
          <w:b w:val="0"/>
          <w:noProof w:val="0"/>
          <w:sz w:val="20"/>
          <w:lang w:val="en-GB"/>
        </w:rPr>
        <w:t xml:space="preserve">9, </w:t>
      </w:r>
      <w:r w:rsidR="00B51789">
        <w:rPr>
          <w:rFonts w:ascii="Times" w:eastAsia="Malgun Gothic" w:hAnsi="Times"/>
          <w:b w:val="0"/>
          <w:noProof w:val="0"/>
          <w:sz w:val="20"/>
          <w:lang w:val="en-GB"/>
        </w:rPr>
        <w:t>Hangzhou, China</w:t>
      </w:r>
      <w:r>
        <w:rPr>
          <w:rFonts w:ascii="Times" w:eastAsia="Malgun Gothic" w:hAnsi="Times"/>
          <w:b w:val="0"/>
          <w:noProof w:val="0"/>
          <w:sz w:val="20"/>
          <w:lang w:val="en-GB"/>
        </w:rPr>
        <w:t>.</w:t>
      </w:r>
    </w:p>
    <w:p w:rsidR="00692BF3" w:rsidRDefault="00692BF3" w:rsidP="00692BF3">
      <w:pPr>
        <w:spacing w:after="120"/>
        <w:jc w:val="both"/>
        <w:rPr>
          <w:lang w:eastAsia="zh-CN"/>
        </w:rPr>
      </w:pPr>
      <w:r>
        <w:rPr>
          <w:rFonts w:ascii="Times" w:eastAsia="Malgun Gothic" w:hAnsi="Times"/>
        </w:rPr>
        <w:t xml:space="preserve">[2] </w:t>
      </w:r>
      <w:r>
        <w:rPr>
          <w:rFonts w:eastAsia="Malgun Gothic"/>
          <w:bCs/>
          <w:color w:val="000000"/>
        </w:rPr>
        <w:t xml:space="preserve">3GPP </w:t>
      </w:r>
      <w:r>
        <w:t>TR 36.211, “</w:t>
      </w:r>
      <w:r>
        <w:rPr>
          <w:lang w:eastAsia="zh-CN"/>
        </w:rPr>
        <w:t>Evolved Universal Terrestrial Radio Access (E-UTRA); Physical channels and modulation”.</w:t>
      </w:r>
    </w:p>
    <w:p w:rsidR="00692BF3" w:rsidRPr="00692BF3" w:rsidRDefault="00692BF3" w:rsidP="00692BF3">
      <w:pPr>
        <w:pStyle w:val="Header"/>
        <w:tabs>
          <w:tab w:val="right" w:pos="9781"/>
        </w:tabs>
        <w:spacing w:after="120"/>
        <w:ind w:right="-57"/>
        <w:rPr>
          <w:rFonts w:eastAsia="MS Mincho" w:cs="Arial"/>
          <w:b w:val="0"/>
          <w:bCs/>
          <w:sz w:val="28"/>
          <w:lang w:val="en-GB" w:eastAsia="ja-JP"/>
        </w:rPr>
      </w:pPr>
    </w:p>
    <w:p w:rsidR="00692BF3" w:rsidRPr="00692BF3" w:rsidRDefault="00692BF3" w:rsidP="00692BF3">
      <w:pPr>
        <w:rPr>
          <w:lang w:val="en-US"/>
        </w:rPr>
      </w:pPr>
    </w:p>
    <w:sectPr w:rsidR="00692BF3" w:rsidRPr="00692BF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913" w:rsidRDefault="00AA2913" w:rsidP="004F5952">
      <w:pPr>
        <w:spacing w:after="0"/>
      </w:pPr>
      <w:r>
        <w:separator/>
      </w:r>
    </w:p>
  </w:endnote>
  <w:endnote w:type="continuationSeparator" w:id="0">
    <w:p w:rsidR="00AA2913" w:rsidRDefault="00AA2913" w:rsidP="004F5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913" w:rsidRDefault="00AA2913" w:rsidP="004F5952">
      <w:pPr>
        <w:spacing w:after="0"/>
      </w:pPr>
      <w:r>
        <w:separator/>
      </w:r>
    </w:p>
  </w:footnote>
  <w:footnote w:type="continuationSeparator" w:id="0">
    <w:p w:rsidR="00AA2913" w:rsidRDefault="00AA2913" w:rsidP="004F59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97D95"/>
    <w:multiLevelType w:val="hybridMultilevel"/>
    <w:tmpl w:val="E2AEC1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CBF341E"/>
    <w:multiLevelType w:val="hybridMultilevel"/>
    <w:tmpl w:val="D75EE5D2"/>
    <w:lvl w:ilvl="0" w:tplc="4FFE30CA">
      <w:start w:val="2"/>
      <w:numFmt w:val="bullet"/>
      <w:lvlText w:val="-"/>
      <w:lvlJc w:val="left"/>
      <w:pPr>
        <w:ind w:left="1068" w:hanging="360"/>
      </w:pPr>
      <w:rPr>
        <w:rFonts w:ascii="Times New Roman" w:eastAsia="Times New Roman" w:hAnsi="Times New Roman" w:cs="Times New Roman"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3">
    <w:nsid w:val="0E25666B"/>
    <w:multiLevelType w:val="hybridMultilevel"/>
    <w:tmpl w:val="B0703C04"/>
    <w:lvl w:ilvl="0" w:tplc="137CB8E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5">
    <w:nsid w:val="1E211DA2"/>
    <w:multiLevelType w:val="hybridMultilevel"/>
    <w:tmpl w:val="4B58FE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20A0A0F"/>
    <w:multiLevelType w:val="hybridMultilevel"/>
    <w:tmpl w:val="2CDC6762"/>
    <w:lvl w:ilvl="0" w:tplc="8672548C">
      <w:start w:val="1"/>
      <w:numFmt w:val="bullet"/>
      <w:lvlText w:val="•"/>
      <w:lvlJc w:val="left"/>
      <w:pPr>
        <w:tabs>
          <w:tab w:val="num" w:pos="720"/>
        </w:tabs>
        <w:ind w:left="720" w:hanging="360"/>
      </w:pPr>
      <w:rPr>
        <w:rFonts w:ascii="Arial" w:hAnsi="Arial" w:hint="default"/>
      </w:rPr>
    </w:lvl>
    <w:lvl w:ilvl="1" w:tplc="F3BAC854">
      <w:start w:val="5327"/>
      <w:numFmt w:val="bullet"/>
      <w:lvlText w:val="–"/>
      <w:lvlJc w:val="left"/>
      <w:pPr>
        <w:tabs>
          <w:tab w:val="num" w:pos="1440"/>
        </w:tabs>
        <w:ind w:left="1440" w:hanging="360"/>
      </w:pPr>
      <w:rPr>
        <w:rFonts w:ascii="Arial" w:hAnsi="Arial" w:hint="default"/>
      </w:rPr>
    </w:lvl>
    <w:lvl w:ilvl="2" w:tplc="F4B20E48" w:tentative="1">
      <w:start w:val="1"/>
      <w:numFmt w:val="bullet"/>
      <w:lvlText w:val="•"/>
      <w:lvlJc w:val="left"/>
      <w:pPr>
        <w:tabs>
          <w:tab w:val="num" w:pos="2160"/>
        </w:tabs>
        <w:ind w:left="2160" w:hanging="360"/>
      </w:pPr>
      <w:rPr>
        <w:rFonts w:ascii="Arial" w:hAnsi="Arial" w:hint="default"/>
      </w:rPr>
    </w:lvl>
    <w:lvl w:ilvl="3" w:tplc="30E4E5F0" w:tentative="1">
      <w:start w:val="1"/>
      <w:numFmt w:val="bullet"/>
      <w:lvlText w:val="•"/>
      <w:lvlJc w:val="left"/>
      <w:pPr>
        <w:tabs>
          <w:tab w:val="num" w:pos="2880"/>
        </w:tabs>
        <w:ind w:left="2880" w:hanging="360"/>
      </w:pPr>
      <w:rPr>
        <w:rFonts w:ascii="Arial" w:hAnsi="Arial" w:hint="default"/>
      </w:rPr>
    </w:lvl>
    <w:lvl w:ilvl="4" w:tplc="E266112E" w:tentative="1">
      <w:start w:val="1"/>
      <w:numFmt w:val="bullet"/>
      <w:lvlText w:val="•"/>
      <w:lvlJc w:val="left"/>
      <w:pPr>
        <w:tabs>
          <w:tab w:val="num" w:pos="3600"/>
        </w:tabs>
        <w:ind w:left="3600" w:hanging="360"/>
      </w:pPr>
      <w:rPr>
        <w:rFonts w:ascii="Arial" w:hAnsi="Arial" w:hint="default"/>
      </w:rPr>
    </w:lvl>
    <w:lvl w:ilvl="5" w:tplc="747C3396" w:tentative="1">
      <w:start w:val="1"/>
      <w:numFmt w:val="bullet"/>
      <w:lvlText w:val="•"/>
      <w:lvlJc w:val="left"/>
      <w:pPr>
        <w:tabs>
          <w:tab w:val="num" w:pos="4320"/>
        </w:tabs>
        <w:ind w:left="4320" w:hanging="360"/>
      </w:pPr>
      <w:rPr>
        <w:rFonts w:ascii="Arial" w:hAnsi="Arial" w:hint="default"/>
      </w:rPr>
    </w:lvl>
    <w:lvl w:ilvl="6" w:tplc="8A9AB134" w:tentative="1">
      <w:start w:val="1"/>
      <w:numFmt w:val="bullet"/>
      <w:lvlText w:val="•"/>
      <w:lvlJc w:val="left"/>
      <w:pPr>
        <w:tabs>
          <w:tab w:val="num" w:pos="5040"/>
        </w:tabs>
        <w:ind w:left="5040" w:hanging="360"/>
      </w:pPr>
      <w:rPr>
        <w:rFonts w:ascii="Arial" w:hAnsi="Arial" w:hint="default"/>
      </w:rPr>
    </w:lvl>
    <w:lvl w:ilvl="7" w:tplc="B614BDAC" w:tentative="1">
      <w:start w:val="1"/>
      <w:numFmt w:val="bullet"/>
      <w:lvlText w:val="•"/>
      <w:lvlJc w:val="left"/>
      <w:pPr>
        <w:tabs>
          <w:tab w:val="num" w:pos="5760"/>
        </w:tabs>
        <w:ind w:left="5760" w:hanging="360"/>
      </w:pPr>
      <w:rPr>
        <w:rFonts w:ascii="Arial" w:hAnsi="Arial" w:hint="default"/>
      </w:rPr>
    </w:lvl>
    <w:lvl w:ilvl="8" w:tplc="1B68D20C" w:tentative="1">
      <w:start w:val="1"/>
      <w:numFmt w:val="bullet"/>
      <w:lvlText w:val="•"/>
      <w:lvlJc w:val="left"/>
      <w:pPr>
        <w:tabs>
          <w:tab w:val="num" w:pos="6480"/>
        </w:tabs>
        <w:ind w:left="6480" w:hanging="360"/>
      </w:pPr>
      <w:rPr>
        <w:rFonts w:ascii="Arial" w:hAnsi="Arial" w:hint="default"/>
      </w:rPr>
    </w:lvl>
  </w:abstractNum>
  <w:abstractNum w:abstractNumId="9">
    <w:nsid w:val="22236242"/>
    <w:multiLevelType w:val="hybridMultilevel"/>
    <w:tmpl w:val="DFD80494"/>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3885540"/>
    <w:multiLevelType w:val="hybridMultilevel"/>
    <w:tmpl w:val="A53CA04E"/>
    <w:lvl w:ilvl="0" w:tplc="10C4854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AB6B69"/>
    <w:multiLevelType w:val="hybridMultilevel"/>
    <w:tmpl w:val="DD78D896"/>
    <w:lvl w:ilvl="0" w:tplc="71124022">
      <w:start w:val="1"/>
      <w:numFmt w:val="bullet"/>
      <w:lvlText w:val="•"/>
      <w:lvlJc w:val="left"/>
      <w:pPr>
        <w:tabs>
          <w:tab w:val="num" w:pos="720"/>
        </w:tabs>
        <w:ind w:left="720" w:hanging="360"/>
      </w:pPr>
      <w:rPr>
        <w:rFonts w:ascii="Arial" w:hAnsi="Arial" w:hint="default"/>
      </w:rPr>
    </w:lvl>
    <w:lvl w:ilvl="1" w:tplc="AB824A9A">
      <w:start w:val="1"/>
      <w:numFmt w:val="bullet"/>
      <w:lvlText w:val="•"/>
      <w:lvlJc w:val="left"/>
      <w:pPr>
        <w:tabs>
          <w:tab w:val="num" w:pos="1440"/>
        </w:tabs>
        <w:ind w:left="1440" w:hanging="360"/>
      </w:pPr>
      <w:rPr>
        <w:rFonts w:ascii="Arial" w:hAnsi="Arial" w:hint="default"/>
      </w:rPr>
    </w:lvl>
    <w:lvl w:ilvl="2" w:tplc="533808B6">
      <w:start w:val="6664"/>
      <w:numFmt w:val="bullet"/>
      <w:lvlText w:val="•"/>
      <w:lvlJc w:val="left"/>
      <w:pPr>
        <w:tabs>
          <w:tab w:val="num" w:pos="2160"/>
        </w:tabs>
        <w:ind w:left="2160" w:hanging="360"/>
      </w:pPr>
      <w:rPr>
        <w:rFonts w:ascii="Arial" w:hAnsi="Arial" w:hint="default"/>
      </w:rPr>
    </w:lvl>
    <w:lvl w:ilvl="3" w:tplc="76F2B12C" w:tentative="1">
      <w:start w:val="1"/>
      <w:numFmt w:val="bullet"/>
      <w:lvlText w:val="•"/>
      <w:lvlJc w:val="left"/>
      <w:pPr>
        <w:tabs>
          <w:tab w:val="num" w:pos="2880"/>
        </w:tabs>
        <w:ind w:left="2880" w:hanging="360"/>
      </w:pPr>
      <w:rPr>
        <w:rFonts w:ascii="Arial" w:hAnsi="Arial" w:hint="default"/>
      </w:rPr>
    </w:lvl>
    <w:lvl w:ilvl="4" w:tplc="8FCC15A4" w:tentative="1">
      <w:start w:val="1"/>
      <w:numFmt w:val="bullet"/>
      <w:lvlText w:val="•"/>
      <w:lvlJc w:val="left"/>
      <w:pPr>
        <w:tabs>
          <w:tab w:val="num" w:pos="3600"/>
        </w:tabs>
        <w:ind w:left="3600" w:hanging="360"/>
      </w:pPr>
      <w:rPr>
        <w:rFonts w:ascii="Arial" w:hAnsi="Arial" w:hint="default"/>
      </w:rPr>
    </w:lvl>
    <w:lvl w:ilvl="5" w:tplc="A8C875AA" w:tentative="1">
      <w:start w:val="1"/>
      <w:numFmt w:val="bullet"/>
      <w:lvlText w:val="•"/>
      <w:lvlJc w:val="left"/>
      <w:pPr>
        <w:tabs>
          <w:tab w:val="num" w:pos="4320"/>
        </w:tabs>
        <w:ind w:left="4320" w:hanging="360"/>
      </w:pPr>
      <w:rPr>
        <w:rFonts w:ascii="Arial" w:hAnsi="Arial" w:hint="default"/>
      </w:rPr>
    </w:lvl>
    <w:lvl w:ilvl="6" w:tplc="74D2284A" w:tentative="1">
      <w:start w:val="1"/>
      <w:numFmt w:val="bullet"/>
      <w:lvlText w:val="•"/>
      <w:lvlJc w:val="left"/>
      <w:pPr>
        <w:tabs>
          <w:tab w:val="num" w:pos="5040"/>
        </w:tabs>
        <w:ind w:left="5040" w:hanging="360"/>
      </w:pPr>
      <w:rPr>
        <w:rFonts w:ascii="Arial" w:hAnsi="Arial" w:hint="default"/>
      </w:rPr>
    </w:lvl>
    <w:lvl w:ilvl="7" w:tplc="04B87438" w:tentative="1">
      <w:start w:val="1"/>
      <w:numFmt w:val="bullet"/>
      <w:lvlText w:val="•"/>
      <w:lvlJc w:val="left"/>
      <w:pPr>
        <w:tabs>
          <w:tab w:val="num" w:pos="5760"/>
        </w:tabs>
        <w:ind w:left="5760" w:hanging="360"/>
      </w:pPr>
      <w:rPr>
        <w:rFonts w:ascii="Arial" w:hAnsi="Arial" w:hint="default"/>
      </w:rPr>
    </w:lvl>
    <w:lvl w:ilvl="8" w:tplc="F14ED74E" w:tentative="1">
      <w:start w:val="1"/>
      <w:numFmt w:val="bullet"/>
      <w:lvlText w:val="•"/>
      <w:lvlJc w:val="left"/>
      <w:pPr>
        <w:tabs>
          <w:tab w:val="num" w:pos="6480"/>
        </w:tabs>
        <w:ind w:left="6480" w:hanging="360"/>
      </w:pPr>
      <w:rPr>
        <w:rFonts w:ascii="Arial" w:hAnsi="Arial" w:hint="default"/>
      </w:rPr>
    </w:lvl>
  </w:abstractNum>
  <w:abstractNum w:abstractNumId="12">
    <w:nsid w:val="26CC1C51"/>
    <w:multiLevelType w:val="hybridMultilevel"/>
    <w:tmpl w:val="090C7302"/>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4">
    <w:nsid w:val="2D7B09DE"/>
    <w:multiLevelType w:val="hybridMultilevel"/>
    <w:tmpl w:val="3F5AC5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2825FCB"/>
    <w:multiLevelType w:val="hybridMultilevel"/>
    <w:tmpl w:val="BE321782"/>
    <w:lvl w:ilvl="0" w:tplc="21E24D1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7E803A0"/>
    <w:multiLevelType w:val="hybridMultilevel"/>
    <w:tmpl w:val="7A3A9232"/>
    <w:lvl w:ilvl="0" w:tplc="4FFE30CA">
      <w:start w:val="2"/>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A2260B"/>
    <w:multiLevelType w:val="hybridMultilevel"/>
    <w:tmpl w:val="44B079B4"/>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CF36843"/>
    <w:multiLevelType w:val="hybridMultilevel"/>
    <w:tmpl w:val="525C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DFD4948"/>
    <w:multiLevelType w:val="hybridMultilevel"/>
    <w:tmpl w:val="380C8B32"/>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20">
    <w:nsid w:val="50B31EC7"/>
    <w:multiLevelType w:val="hybridMultilevel"/>
    <w:tmpl w:val="9266F8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4E225DE"/>
    <w:multiLevelType w:val="hybridMultilevel"/>
    <w:tmpl w:val="3D207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DB64D8E"/>
    <w:multiLevelType w:val="hybridMultilevel"/>
    <w:tmpl w:val="E16A5BE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5FCF562F"/>
    <w:multiLevelType w:val="hybridMultilevel"/>
    <w:tmpl w:val="661E25FC"/>
    <w:lvl w:ilvl="0" w:tplc="D0D4D5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0CF4139"/>
    <w:multiLevelType w:val="hybridMultilevel"/>
    <w:tmpl w:val="04F689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27">
    <w:nsid w:val="65DC7BF0"/>
    <w:multiLevelType w:val="hybridMultilevel"/>
    <w:tmpl w:val="8A5ED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94B2AD2"/>
    <w:multiLevelType w:val="hybridMultilevel"/>
    <w:tmpl w:val="D28A8E80"/>
    <w:lvl w:ilvl="0" w:tplc="4FFE30C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0B7A45"/>
    <w:multiLevelType w:val="hybridMultilevel"/>
    <w:tmpl w:val="082E2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FC949B2"/>
    <w:multiLevelType w:val="hybridMultilevel"/>
    <w:tmpl w:val="AD062D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EE164AC"/>
    <w:multiLevelType w:val="hybridMultilevel"/>
    <w:tmpl w:val="1960CB4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7F2F7E47"/>
    <w:multiLevelType w:val="hybridMultilevel"/>
    <w:tmpl w:val="F0B0290C"/>
    <w:lvl w:ilvl="0" w:tplc="89447C2A">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FD44DE7"/>
    <w:multiLevelType w:val="hybridMultilevel"/>
    <w:tmpl w:val="DFD80494"/>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7"/>
  </w:num>
  <w:num w:numId="2">
    <w:abstractNumId w:val="18"/>
  </w:num>
  <w:num w:numId="3">
    <w:abstractNumId w:val="33"/>
  </w:num>
  <w:num w:numId="4">
    <w:abstractNumId w:val="31"/>
  </w:num>
  <w:num w:numId="5">
    <w:abstractNumId w:val="20"/>
  </w:num>
  <w:num w:numId="6">
    <w:abstractNumId w:val="24"/>
  </w:num>
  <w:num w:numId="7">
    <w:abstractNumId w:val="5"/>
  </w:num>
  <w:num w:numId="8">
    <w:abstractNumId w:val="6"/>
  </w:num>
  <w:num w:numId="9">
    <w:abstractNumId w:val="19"/>
  </w:num>
  <w:num w:numId="10">
    <w:abstractNumId w:val="7"/>
  </w:num>
  <w:num w:numId="11">
    <w:abstractNumId w:val="21"/>
  </w:num>
  <w:num w:numId="12">
    <w:abstractNumId w:val="12"/>
  </w:num>
  <w:num w:numId="13">
    <w:abstractNumId w:val="28"/>
  </w:num>
  <w:num w:numId="14">
    <w:abstractNumId w:val="30"/>
  </w:num>
  <w:num w:numId="15">
    <w:abstractNumId w:val="1"/>
  </w:num>
  <w:num w:numId="16">
    <w:abstractNumId w:val="16"/>
  </w:num>
  <w:num w:numId="17">
    <w:abstractNumId w:val="14"/>
  </w:num>
  <w:num w:numId="18">
    <w:abstractNumId w:val="27"/>
  </w:num>
  <w:num w:numId="19">
    <w:abstractNumId w:val="2"/>
  </w:num>
  <w:num w:numId="20">
    <w:abstractNumId w:val="25"/>
  </w:num>
  <w:num w:numId="21">
    <w:abstractNumId w:val="3"/>
  </w:num>
  <w:num w:numId="22">
    <w:abstractNumId w:val="32"/>
  </w:num>
  <w:num w:numId="23">
    <w:abstractNumId w:val="15"/>
  </w:num>
  <w:num w:numId="24">
    <w:abstractNumId w:val="23"/>
  </w:num>
  <w:num w:numId="25">
    <w:abstractNumId w:val="34"/>
  </w:num>
  <w:num w:numId="26">
    <w:abstractNumId w:val="4"/>
  </w:num>
  <w:num w:numId="27">
    <w:abstractNumId w:val="9"/>
  </w:num>
  <w:num w:numId="28">
    <w:abstractNumId w:val="22"/>
  </w:num>
  <w:num w:numId="29">
    <w:abstractNumId w:val="13"/>
  </w:num>
  <w:num w:numId="30">
    <w:abstractNumId w:val="8"/>
  </w:num>
  <w:num w:numId="31">
    <w:abstractNumId w:val="11"/>
  </w:num>
  <w:num w:numId="32">
    <w:abstractNumId w:val="29"/>
  </w:num>
  <w:num w:numId="33">
    <w:abstractNumId w:val="26"/>
  </w:num>
  <w:num w:numId="34">
    <w:abstractNumId w:val="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B9"/>
    <w:rsid w:val="00006FD0"/>
    <w:rsid w:val="000268AE"/>
    <w:rsid w:val="000355FB"/>
    <w:rsid w:val="00051147"/>
    <w:rsid w:val="00057895"/>
    <w:rsid w:val="00066C73"/>
    <w:rsid w:val="000733D1"/>
    <w:rsid w:val="00081259"/>
    <w:rsid w:val="00085744"/>
    <w:rsid w:val="000A2632"/>
    <w:rsid w:val="000B72CA"/>
    <w:rsid w:val="000C61FA"/>
    <w:rsid w:val="000C7C46"/>
    <w:rsid w:val="000E24EF"/>
    <w:rsid w:val="000F1FCC"/>
    <w:rsid w:val="000F3115"/>
    <w:rsid w:val="0010037F"/>
    <w:rsid w:val="00111646"/>
    <w:rsid w:val="0011629F"/>
    <w:rsid w:val="00155874"/>
    <w:rsid w:val="001624D9"/>
    <w:rsid w:val="00174E64"/>
    <w:rsid w:val="0017649B"/>
    <w:rsid w:val="001820E1"/>
    <w:rsid w:val="00191E5F"/>
    <w:rsid w:val="001941A9"/>
    <w:rsid w:val="001A0E58"/>
    <w:rsid w:val="001A54F8"/>
    <w:rsid w:val="001A733D"/>
    <w:rsid w:val="001B1B6D"/>
    <w:rsid w:val="001C00D8"/>
    <w:rsid w:val="001C1474"/>
    <w:rsid w:val="001C34AC"/>
    <w:rsid w:val="001C4383"/>
    <w:rsid w:val="001C7E04"/>
    <w:rsid w:val="001D01B9"/>
    <w:rsid w:val="001D3D2B"/>
    <w:rsid w:val="001E5CBE"/>
    <w:rsid w:val="001F67BE"/>
    <w:rsid w:val="002102B9"/>
    <w:rsid w:val="0022081F"/>
    <w:rsid w:val="00243F92"/>
    <w:rsid w:val="002440C0"/>
    <w:rsid w:val="00245A21"/>
    <w:rsid w:val="002476AC"/>
    <w:rsid w:val="0027248F"/>
    <w:rsid w:val="00294454"/>
    <w:rsid w:val="002A58A2"/>
    <w:rsid w:val="002A7140"/>
    <w:rsid w:val="002B324B"/>
    <w:rsid w:val="002C1A42"/>
    <w:rsid w:val="002F5971"/>
    <w:rsid w:val="0030055C"/>
    <w:rsid w:val="003015DE"/>
    <w:rsid w:val="00306557"/>
    <w:rsid w:val="00345F8D"/>
    <w:rsid w:val="0035672D"/>
    <w:rsid w:val="003715BB"/>
    <w:rsid w:val="00384A10"/>
    <w:rsid w:val="003913FA"/>
    <w:rsid w:val="003A0CFE"/>
    <w:rsid w:val="003A6059"/>
    <w:rsid w:val="003A738E"/>
    <w:rsid w:val="003B3684"/>
    <w:rsid w:val="003B5B82"/>
    <w:rsid w:val="003C0E5F"/>
    <w:rsid w:val="003E7B52"/>
    <w:rsid w:val="003F06C6"/>
    <w:rsid w:val="003F3B33"/>
    <w:rsid w:val="003F4A3A"/>
    <w:rsid w:val="003F4F1B"/>
    <w:rsid w:val="00404FDA"/>
    <w:rsid w:val="0044250C"/>
    <w:rsid w:val="004570F4"/>
    <w:rsid w:val="004657DB"/>
    <w:rsid w:val="004709B9"/>
    <w:rsid w:val="00480313"/>
    <w:rsid w:val="00495AC8"/>
    <w:rsid w:val="004A0B65"/>
    <w:rsid w:val="004A1155"/>
    <w:rsid w:val="004A76D1"/>
    <w:rsid w:val="004B07E8"/>
    <w:rsid w:val="004C18F8"/>
    <w:rsid w:val="004C38C2"/>
    <w:rsid w:val="004D3D86"/>
    <w:rsid w:val="004D434D"/>
    <w:rsid w:val="004E1156"/>
    <w:rsid w:val="004E1449"/>
    <w:rsid w:val="004E27D1"/>
    <w:rsid w:val="004F43CB"/>
    <w:rsid w:val="004F5952"/>
    <w:rsid w:val="00526FDF"/>
    <w:rsid w:val="00556578"/>
    <w:rsid w:val="005719C3"/>
    <w:rsid w:val="005828F3"/>
    <w:rsid w:val="005915A1"/>
    <w:rsid w:val="005A3A12"/>
    <w:rsid w:val="005C3A39"/>
    <w:rsid w:val="005C5538"/>
    <w:rsid w:val="005E0076"/>
    <w:rsid w:val="005E5D7C"/>
    <w:rsid w:val="006022D8"/>
    <w:rsid w:val="0060598B"/>
    <w:rsid w:val="00606A2C"/>
    <w:rsid w:val="00626780"/>
    <w:rsid w:val="00643273"/>
    <w:rsid w:val="00651673"/>
    <w:rsid w:val="00655BDC"/>
    <w:rsid w:val="0067407B"/>
    <w:rsid w:val="0067528D"/>
    <w:rsid w:val="00677A11"/>
    <w:rsid w:val="00686907"/>
    <w:rsid w:val="00692BF3"/>
    <w:rsid w:val="00693727"/>
    <w:rsid w:val="006A1D0D"/>
    <w:rsid w:val="006D0F26"/>
    <w:rsid w:val="006D1ABB"/>
    <w:rsid w:val="006D7BB2"/>
    <w:rsid w:val="006E2AD1"/>
    <w:rsid w:val="006F2C0D"/>
    <w:rsid w:val="006F7C6B"/>
    <w:rsid w:val="007007D8"/>
    <w:rsid w:val="00705D6F"/>
    <w:rsid w:val="007210BC"/>
    <w:rsid w:val="007638DC"/>
    <w:rsid w:val="007717D0"/>
    <w:rsid w:val="00777789"/>
    <w:rsid w:val="007976CC"/>
    <w:rsid w:val="007A3F06"/>
    <w:rsid w:val="007A62B0"/>
    <w:rsid w:val="007A7E1C"/>
    <w:rsid w:val="007B54B7"/>
    <w:rsid w:val="007B7F9F"/>
    <w:rsid w:val="007C2F1C"/>
    <w:rsid w:val="007D4BA7"/>
    <w:rsid w:val="007D4F0E"/>
    <w:rsid w:val="007D51E5"/>
    <w:rsid w:val="007F5479"/>
    <w:rsid w:val="00807FDD"/>
    <w:rsid w:val="008112E1"/>
    <w:rsid w:val="0081382B"/>
    <w:rsid w:val="00817ADC"/>
    <w:rsid w:val="00821D8D"/>
    <w:rsid w:val="00834A5D"/>
    <w:rsid w:val="00836505"/>
    <w:rsid w:val="00853A9E"/>
    <w:rsid w:val="00854BB4"/>
    <w:rsid w:val="00875ED1"/>
    <w:rsid w:val="00883E17"/>
    <w:rsid w:val="008841BB"/>
    <w:rsid w:val="008B4CB6"/>
    <w:rsid w:val="008C0FE5"/>
    <w:rsid w:val="008D1FCD"/>
    <w:rsid w:val="008E09E3"/>
    <w:rsid w:val="008F7CD5"/>
    <w:rsid w:val="00912ED1"/>
    <w:rsid w:val="009601F9"/>
    <w:rsid w:val="00960EBD"/>
    <w:rsid w:val="00986BE4"/>
    <w:rsid w:val="00993586"/>
    <w:rsid w:val="009A03EC"/>
    <w:rsid w:val="009B61B7"/>
    <w:rsid w:val="009C347F"/>
    <w:rsid w:val="009D164C"/>
    <w:rsid w:val="009D1DAF"/>
    <w:rsid w:val="009D282D"/>
    <w:rsid w:val="009D5D80"/>
    <w:rsid w:val="009E3421"/>
    <w:rsid w:val="00A02759"/>
    <w:rsid w:val="00A15A37"/>
    <w:rsid w:val="00A22B21"/>
    <w:rsid w:val="00A27722"/>
    <w:rsid w:val="00A45615"/>
    <w:rsid w:val="00A53021"/>
    <w:rsid w:val="00A77581"/>
    <w:rsid w:val="00A80B13"/>
    <w:rsid w:val="00A819B0"/>
    <w:rsid w:val="00A840B6"/>
    <w:rsid w:val="00A92A69"/>
    <w:rsid w:val="00AA2913"/>
    <w:rsid w:val="00AC3D08"/>
    <w:rsid w:val="00AC7E9E"/>
    <w:rsid w:val="00AD2C5B"/>
    <w:rsid w:val="00AD4594"/>
    <w:rsid w:val="00AE2D0A"/>
    <w:rsid w:val="00AE64D6"/>
    <w:rsid w:val="00B068DC"/>
    <w:rsid w:val="00B076BB"/>
    <w:rsid w:val="00B34A7B"/>
    <w:rsid w:val="00B3540B"/>
    <w:rsid w:val="00B41677"/>
    <w:rsid w:val="00B470A2"/>
    <w:rsid w:val="00B47D6E"/>
    <w:rsid w:val="00B51789"/>
    <w:rsid w:val="00B77726"/>
    <w:rsid w:val="00B91418"/>
    <w:rsid w:val="00B91724"/>
    <w:rsid w:val="00BA2648"/>
    <w:rsid w:val="00BA4B9A"/>
    <w:rsid w:val="00BB25CC"/>
    <w:rsid w:val="00BB794E"/>
    <w:rsid w:val="00BC3884"/>
    <w:rsid w:val="00BC3D58"/>
    <w:rsid w:val="00BC4F4C"/>
    <w:rsid w:val="00BC6FCC"/>
    <w:rsid w:val="00BF5604"/>
    <w:rsid w:val="00BF564D"/>
    <w:rsid w:val="00C2184D"/>
    <w:rsid w:val="00C236A0"/>
    <w:rsid w:val="00C46CE4"/>
    <w:rsid w:val="00C70265"/>
    <w:rsid w:val="00C72A96"/>
    <w:rsid w:val="00C85518"/>
    <w:rsid w:val="00C90D12"/>
    <w:rsid w:val="00C97593"/>
    <w:rsid w:val="00CA5880"/>
    <w:rsid w:val="00CD1F03"/>
    <w:rsid w:val="00CD539D"/>
    <w:rsid w:val="00CE45D0"/>
    <w:rsid w:val="00CF16AA"/>
    <w:rsid w:val="00D0490C"/>
    <w:rsid w:val="00D07F1C"/>
    <w:rsid w:val="00D12135"/>
    <w:rsid w:val="00D202B4"/>
    <w:rsid w:val="00D652C8"/>
    <w:rsid w:val="00D77936"/>
    <w:rsid w:val="00D86E15"/>
    <w:rsid w:val="00D9089B"/>
    <w:rsid w:val="00D908FA"/>
    <w:rsid w:val="00DD0FAA"/>
    <w:rsid w:val="00DD498B"/>
    <w:rsid w:val="00DF1A3B"/>
    <w:rsid w:val="00E077CE"/>
    <w:rsid w:val="00E2343D"/>
    <w:rsid w:val="00E328AD"/>
    <w:rsid w:val="00E421AB"/>
    <w:rsid w:val="00E46B1D"/>
    <w:rsid w:val="00E537D9"/>
    <w:rsid w:val="00E56839"/>
    <w:rsid w:val="00E5694D"/>
    <w:rsid w:val="00E66E8A"/>
    <w:rsid w:val="00E70DFF"/>
    <w:rsid w:val="00E75DD7"/>
    <w:rsid w:val="00E76D42"/>
    <w:rsid w:val="00EB0C8B"/>
    <w:rsid w:val="00EC2EDB"/>
    <w:rsid w:val="00EC4D07"/>
    <w:rsid w:val="00ED29F0"/>
    <w:rsid w:val="00EE1945"/>
    <w:rsid w:val="00EE3FCB"/>
    <w:rsid w:val="00EE5560"/>
    <w:rsid w:val="00EE5F73"/>
    <w:rsid w:val="00EE785D"/>
    <w:rsid w:val="00F16B23"/>
    <w:rsid w:val="00F46A8B"/>
    <w:rsid w:val="00F47F34"/>
    <w:rsid w:val="00F617E4"/>
    <w:rsid w:val="00F71F4A"/>
    <w:rsid w:val="00F93DFA"/>
    <w:rsid w:val="00FA2F98"/>
    <w:rsid w:val="00FB007B"/>
    <w:rsid w:val="00FC3BB3"/>
    <w:rsid w:val="00FC43CB"/>
    <w:rsid w:val="00FC7FF3"/>
    <w:rsid w:val="00FE3B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1677"/>
    <w:pPr>
      <w:keepNext/>
      <w:keepLines/>
      <w:spacing w:before="200" w:after="120"/>
      <w:outlineLvl w:val="2"/>
    </w:pPr>
    <w:rPr>
      <w:rFonts w:ascii="Arial" w:eastAsiaTheme="majorEastAsia" w:hAnsi="Arial" w:cstheme="majorBidi"/>
      <w:bCs/>
      <w:sz w:val="22"/>
    </w:rPr>
  </w:style>
  <w:style w:type="paragraph" w:styleId="Heading4">
    <w:name w:val="heading 4"/>
    <w:basedOn w:val="Normal"/>
    <w:next w:val="Normal"/>
    <w:link w:val="Heading4Char"/>
    <w:uiPriority w:val="9"/>
    <w:unhideWhenUsed/>
    <w:qFormat/>
    <w:rsid w:val="00B41677"/>
    <w:pPr>
      <w:keepNext/>
      <w:keepLines/>
      <w:spacing w:before="200" w:after="120"/>
      <w:outlineLvl w:val="3"/>
    </w:pPr>
    <w:rPr>
      <w:rFonts w:ascii="Arial" w:eastAsiaTheme="majorEastAsia" w:hAnsi="Arial" w:cstheme="majorBidi"/>
      <w:bCs/>
      <w:iCs/>
      <w:sz w:val="22"/>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oc-text2">
    <w:name w:val="Doc-text2"/>
    <w:basedOn w:val="Normal"/>
    <w:link w:val="Doc-text2Char"/>
    <w:qFormat/>
    <w:rsid w:val="007717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7717D0"/>
    <w:rPr>
      <w:rFonts w:ascii="Arial" w:eastAsia="MS Mincho" w:hAnsi="Arial" w:cs="Times New Roman"/>
      <w:sz w:val="20"/>
      <w:szCs w:val="24"/>
      <w:lang w:val="en-GB" w:eastAsia="en-GB"/>
    </w:rPr>
  </w:style>
  <w:style w:type="character" w:customStyle="1" w:styleId="Heading3Char">
    <w:name w:val="Heading 3 Char"/>
    <w:basedOn w:val="DefaultParagraphFont"/>
    <w:link w:val="Heading3"/>
    <w:uiPriority w:val="9"/>
    <w:rsid w:val="00B41677"/>
    <w:rPr>
      <w:rFonts w:ascii="Arial" w:eastAsiaTheme="majorEastAsia" w:hAnsi="Arial" w:cstheme="majorBidi"/>
      <w:bCs/>
      <w:szCs w:val="20"/>
      <w:lang w:val="en-GB" w:eastAsia="fr-FR"/>
    </w:rPr>
  </w:style>
  <w:style w:type="character" w:customStyle="1" w:styleId="Heading4Char">
    <w:name w:val="Heading 4 Char"/>
    <w:basedOn w:val="DefaultParagraphFont"/>
    <w:link w:val="Heading4"/>
    <w:uiPriority w:val="9"/>
    <w:rsid w:val="00B41677"/>
    <w:rPr>
      <w:rFonts w:ascii="Arial" w:eastAsiaTheme="majorEastAsia" w:hAnsi="Arial" w:cstheme="majorBidi"/>
      <w:bCs/>
      <w:iCs/>
      <w:szCs w:val="20"/>
      <w:lang w:val="en-GB" w:eastAsia="fr-FR"/>
    </w:rPr>
  </w:style>
  <w:style w:type="character" w:customStyle="1" w:styleId="TACChar">
    <w:name w:val="TAC Char"/>
    <w:link w:val="TAC"/>
    <w:locked/>
    <w:rsid w:val="007A62B0"/>
    <w:rPr>
      <w:rFonts w:ascii="Arial" w:hAnsi="Arial" w:cs="Arial"/>
      <w:sz w:val="18"/>
      <w:szCs w:val="18"/>
      <w:lang w:val="en-GB" w:eastAsia="x-none"/>
    </w:rPr>
  </w:style>
  <w:style w:type="paragraph" w:customStyle="1" w:styleId="TAC">
    <w:name w:val="TAC"/>
    <w:basedOn w:val="Normal"/>
    <w:link w:val="TACChar"/>
    <w:rsid w:val="007A62B0"/>
    <w:pPr>
      <w:keepNext/>
      <w:keepLines/>
      <w:spacing w:after="0"/>
      <w:jc w:val="center"/>
      <w:textAlignment w:val="auto"/>
    </w:pPr>
    <w:rPr>
      <w:rFonts w:ascii="Arial" w:eastAsiaTheme="minorHAnsi" w:hAnsi="Arial" w:cs="Arial"/>
      <w:sz w:val="18"/>
      <w:szCs w:val="18"/>
      <w:lang w:eastAsia="x-none"/>
    </w:rPr>
  </w:style>
  <w:style w:type="paragraph" w:customStyle="1" w:styleId="TAH">
    <w:name w:val="TAH"/>
    <w:basedOn w:val="TAC"/>
    <w:link w:val="TAHCar"/>
    <w:rsid w:val="007A62B0"/>
    <w:rPr>
      <w:b/>
      <w:bCs/>
    </w:rPr>
  </w:style>
  <w:style w:type="character" w:customStyle="1" w:styleId="TAHCar">
    <w:name w:val="TAH Car"/>
    <w:link w:val="TAH"/>
    <w:locked/>
    <w:rsid w:val="007A62B0"/>
    <w:rPr>
      <w:rFonts w:ascii="Arial" w:hAnsi="Arial" w:cs="Arial"/>
      <w:b/>
      <w:bCs/>
      <w:sz w:val="18"/>
      <w:szCs w:val="18"/>
      <w:lang w:val="en-GB" w:eastAsia="x-none"/>
    </w:rPr>
  </w:style>
  <w:style w:type="paragraph" w:customStyle="1" w:styleId="B1">
    <w:name w:val="B1"/>
    <w:basedOn w:val="List"/>
    <w:rsid w:val="00B51789"/>
    <w:pPr>
      <w:ind w:left="568" w:hanging="284"/>
      <w:contextualSpacing w:val="0"/>
    </w:pPr>
    <w:rPr>
      <w:rFonts w:eastAsia="MS Mincho"/>
      <w:lang w:eastAsia="en-US"/>
    </w:rPr>
  </w:style>
  <w:style w:type="paragraph" w:customStyle="1" w:styleId="B2">
    <w:name w:val="B2"/>
    <w:basedOn w:val="List2"/>
    <w:uiPriority w:val="99"/>
    <w:rsid w:val="00B51789"/>
    <w:pPr>
      <w:ind w:left="851" w:hanging="284"/>
      <w:contextualSpacing w:val="0"/>
    </w:pPr>
    <w:rPr>
      <w:rFonts w:eastAsia="MS Mincho"/>
      <w:lang w:eastAsia="en-US"/>
    </w:rPr>
  </w:style>
  <w:style w:type="paragraph" w:customStyle="1" w:styleId="B3">
    <w:name w:val="B3"/>
    <w:basedOn w:val="List3"/>
    <w:rsid w:val="00B51789"/>
    <w:pPr>
      <w:ind w:left="1135" w:hanging="284"/>
      <w:contextualSpacing w:val="0"/>
    </w:pPr>
    <w:rPr>
      <w:rFonts w:eastAsia="MS Mincho"/>
      <w:lang w:eastAsia="en-US"/>
    </w:rPr>
  </w:style>
  <w:style w:type="paragraph" w:styleId="List">
    <w:name w:val="List"/>
    <w:basedOn w:val="Normal"/>
    <w:uiPriority w:val="99"/>
    <w:semiHidden/>
    <w:unhideWhenUsed/>
    <w:rsid w:val="00B51789"/>
    <w:pPr>
      <w:ind w:left="283" w:hanging="283"/>
      <w:contextualSpacing/>
    </w:pPr>
  </w:style>
  <w:style w:type="paragraph" w:styleId="List2">
    <w:name w:val="List 2"/>
    <w:basedOn w:val="Normal"/>
    <w:uiPriority w:val="99"/>
    <w:semiHidden/>
    <w:unhideWhenUsed/>
    <w:rsid w:val="00B51789"/>
    <w:pPr>
      <w:ind w:left="566" w:hanging="283"/>
      <w:contextualSpacing/>
    </w:pPr>
  </w:style>
  <w:style w:type="paragraph" w:styleId="List3">
    <w:name w:val="List 3"/>
    <w:basedOn w:val="Normal"/>
    <w:uiPriority w:val="99"/>
    <w:semiHidden/>
    <w:unhideWhenUsed/>
    <w:rsid w:val="00B51789"/>
    <w:pPr>
      <w:ind w:left="849" w:hanging="283"/>
      <w:contextualSpacing/>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3715BB"/>
    <w:pPr>
      <w:spacing w:before="120" w:after="120"/>
    </w:pPr>
    <w:rPr>
      <w:rFonts w:eastAsia="SimSun"/>
      <w:b/>
      <w:bCs/>
      <w:lang w:val="en-US"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3715BB"/>
    <w:rPr>
      <w:rFonts w:ascii="Times New Roman" w:eastAsia="SimSun"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1677"/>
    <w:pPr>
      <w:keepNext/>
      <w:keepLines/>
      <w:spacing w:before="200" w:after="120"/>
      <w:outlineLvl w:val="2"/>
    </w:pPr>
    <w:rPr>
      <w:rFonts w:ascii="Arial" w:eastAsiaTheme="majorEastAsia" w:hAnsi="Arial" w:cstheme="majorBidi"/>
      <w:bCs/>
      <w:sz w:val="22"/>
    </w:rPr>
  </w:style>
  <w:style w:type="paragraph" w:styleId="Heading4">
    <w:name w:val="heading 4"/>
    <w:basedOn w:val="Normal"/>
    <w:next w:val="Normal"/>
    <w:link w:val="Heading4Char"/>
    <w:uiPriority w:val="9"/>
    <w:unhideWhenUsed/>
    <w:qFormat/>
    <w:rsid w:val="00B41677"/>
    <w:pPr>
      <w:keepNext/>
      <w:keepLines/>
      <w:spacing w:before="200" w:after="120"/>
      <w:outlineLvl w:val="3"/>
    </w:pPr>
    <w:rPr>
      <w:rFonts w:ascii="Arial" w:eastAsiaTheme="majorEastAsia" w:hAnsi="Arial" w:cstheme="majorBidi"/>
      <w:bCs/>
      <w:iCs/>
      <w:sz w:val="22"/>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oc-text2">
    <w:name w:val="Doc-text2"/>
    <w:basedOn w:val="Normal"/>
    <w:link w:val="Doc-text2Char"/>
    <w:qFormat/>
    <w:rsid w:val="007717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7717D0"/>
    <w:rPr>
      <w:rFonts w:ascii="Arial" w:eastAsia="MS Mincho" w:hAnsi="Arial" w:cs="Times New Roman"/>
      <w:sz w:val="20"/>
      <w:szCs w:val="24"/>
      <w:lang w:val="en-GB" w:eastAsia="en-GB"/>
    </w:rPr>
  </w:style>
  <w:style w:type="character" w:customStyle="1" w:styleId="Heading3Char">
    <w:name w:val="Heading 3 Char"/>
    <w:basedOn w:val="DefaultParagraphFont"/>
    <w:link w:val="Heading3"/>
    <w:uiPriority w:val="9"/>
    <w:rsid w:val="00B41677"/>
    <w:rPr>
      <w:rFonts w:ascii="Arial" w:eastAsiaTheme="majorEastAsia" w:hAnsi="Arial" w:cstheme="majorBidi"/>
      <w:bCs/>
      <w:szCs w:val="20"/>
      <w:lang w:val="en-GB" w:eastAsia="fr-FR"/>
    </w:rPr>
  </w:style>
  <w:style w:type="character" w:customStyle="1" w:styleId="Heading4Char">
    <w:name w:val="Heading 4 Char"/>
    <w:basedOn w:val="DefaultParagraphFont"/>
    <w:link w:val="Heading4"/>
    <w:uiPriority w:val="9"/>
    <w:rsid w:val="00B41677"/>
    <w:rPr>
      <w:rFonts w:ascii="Arial" w:eastAsiaTheme="majorEastAsia" w:hAnsi="Arial" w:cstheme="majorBidi"/>
      <w:bCs/>
      <w:iCs/>
      <w:szCs w:val="20"/>
      <w:lang w:val="en-GB" w:eastAsia="fr-FR"/>
    </w:rPr>
  </w:style>
  <w:style w:type="character" w:customStyle="1" w:styleId="TACChar">
    <w:name w:val="TAC Char"/>
    <w:link w:val="TAC"/>
    <w:locked/>
    <w:rsid w:val="007A62B0"/>
    <w:rPr>
      <w:rFonts w:ascii="Arial" w:hAnsi="Arial" w:cs="Arial"/>
      <w:sz w:val="18"/>
      <w:szCs w:val="18"/>
      <w:lang w:val="en-GB" w:eastAsia="x-none"/>
    </w:rPr>
  </w:style>
  <w:style w:type="paragraph" w:customStyle="1" w:styleId="TAC">
    <w:name w:val="TAC"/>
    <w:basedOn w:val="Normal"/>
    <w:link w:val="TACChar"/>
    <w:rsid w:val="007A62B0"/>
    <w:pPr>
      <w:keepNext/>
      <w:keepLines/>
      <w:spacing w:after="0"/>
      <w:jc w:val="center"/>
      <w:textAlignment w:val="auto"/>
    </w:pPr>
    <w:rPr>
      <w:rFonts w:ascii="Arial" w:eastAsiaTheme="minorHAnsi" w:hAnsi="Arial" w:cs="Arial"/>
      <w:sz w:val="18"/>
      <w:szCs w:val="18"/>
      <w:lang w:eastAsia="x-none"/>
    </w:rPr>
  </w:style>
  <w:style w:type="paragraph" w:customStyle="1" w:styleId="TAH">
    <w:name w:val="TAH"/>
    <w:basedOn w:val="TAC"/>
    <w:link w:val="TAHCar"/>
    <w:rsid w:val="007A62B0"/>
    <w:rPr>
      <w:b/>
      <w:bCs/>
    </w:rPr>
  </w:style>
  <w:style w:type="character" w:customStyle="1" w:styleId="TAHCar">
    <w:name w:val="TAH Car"/>
    <w:link w:val="TAH"/>
    <w:locked/>
    <w:rsid w:val="007A62B0"/>
    <w:rPr>
      <w:rFonts w:ascii="Arial" w:hAnsi="Arial" w:cs="Arial"/>
      <w:b/>
      <w:bCs/>
      <w:sz w:val="18"/>
      <w:szCs w:val="18"/>
      <w:lang w:val="en-GB" w:eastAsia="x-none"/>
    </w:rPr>
  </w:style>
  <w:style w:type="paragraph" w:customStyle="1" w:styleId="B1">
    <w:name w:val="B1"/>
    <w:basedOn w:val="List"/>
    <w:rsid w:val="00B51789"/>
    <w:pPr>
      <w:ind w:left="568" w:hanging="284"/>
      <w:contextualSpacing w:val="0"/>
    </w:pPr>
    <w:rPr>
      <w:rFonts w:eastAsia="MS Mincho"/>
      <w:lang w:eastAsia="en-US"/>
    </w:rPr>
  </w:style>
  <w:style w:type="paragraph" w:customStyle="1" w:styleId="B2">
    <w:name w:val="B2"/>
    <w:basedOn w:val="List2"/>
    <w:uiPriority w:val="99"/>
    <w:rsid w:val="00B51789"/>
    <w:pPr>
      <w:ind w:left="851" w:hanging="284"/>
      <w:contextualSpacing w:val="0"/>
    </w:pPr>
    <w:rPr>
      <w:rFonts w:eastAsia="MS Mincho"/>
      <w:lang w:eastAsia="en-US"/>
    </w:rPr>
  </w:style>
  <w:style w:type="paragraph" w:customStyle="1" w:styleId="B3">
    <w:name w:val="B3"/>
    <w:basedOn w:val="List3"/>
    <w:rsid w:val="00B51789"/>
    <w:pPr>
      <w:ind w:left="1135" w:hanging="284"/>
      <w:contextualSpacing w:val="0"/>
    </w:pPr>
    <w:rPr>
      <w:rFonts w:eastAsia="MS Mincho"/>
      <w:lang w:eastAsia="en-US"/>
    </w:rPr>
  </w:style>
  <w:style w:type="paragraph" w:styleId="List">
    <w:name w:val="List"/>
    <w:basedOn w:val="Normal"/>
    <w:uiPriority w:val="99"/>
    <w:semiHidden/>
    <w:unhideWhenUsed/>
    <w:rsid w:val="00B51789"/>
    <w:pPr>
      <w:ind w:left="283" w:hanging="283"/>
      <w:contextualSpacing/>
    </w:pPr>
  </w:style>
  <w:style w:type="paragraph" w:styleId="List2">
    <w:name w:val="List 2"/>
    <w:basedOn w:val="Normal"/>
    <w:uiPriority w:val="99"/>
    <w:semiHidden/>
    <w:unhideWhenUsed/>
    <w:rsid w:val="00B51789"/>
    <w:pPr>
      <w:ind w:left="566" w:hanging="283"/>
      <w:contextualSpacing/>
    </w:pPr>
  </w:style>
  <w:style w:type="paragraph" w:styleId="List3">
    <w:name w:val="List 3"/>
    <w:basedOn w:val="Normal"/>
    <w:uiPriority w:val="99"/>
    <w:semiHidden/>
    <w:unhideWhenUsed/>
    <w:rsid w:val="00B51789"/>
    <w:pPr>
      <w:ind w:left="849" w:hanging="283"/>
      <w:contextualSpacing/>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3715BB"/>
    <w:pPr>
      <w:spacing w:before="120" w:after="120"/>
    </w:pPr>
    <w:rPr>
      <w:rFonts w:eastAsia="SimSun"/>
      <w:b/>
      <w:bCs/>
      <w:lang w:val="en-US"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3715BB"/>
    <w:rPr>
      <w:rFonts w:ascii="Times New Roman" w:eastAsia="SimSu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52720">
      <w:bodyDiv w:val="1"/>
      <w:marLeft w:val="0"/>
      <w:marRight w:val="0"/>
      <w:marTop w:val="0"/>
      <w:marBottom w:val="0"/>
      <w:divBdr>
        <w:top w:val="none" w:sz="0" w:space="0" w:color="auto"/>
        <w:left w:val="none" w:sz="0" w:space="0" w:color="auto"/>
        <w:bottom w:val="none" w:sz="0" w:space="0" w:color="auto"/>
        <w:right w:val="none" w:sz="0" w:space="0" w:color="auto"/>
      </w:divBdr>
      <w:divsChild>
        <w:div w:id="491410623">
          <w:marLeft w:val="547"/>
          <w:marRight w:val="0"/>
          <w:marTop w:val="134"/>
          <w:marBottom w:val="0"/>
          <w:divBdr>
            <w:top w:val="none" w:sz="0" w:space="0" w:color="auto"/>
            <w:left w:val="none" w:sz="0" w:space="0" w:color="auto"/>
            <w:bottom w:val="none" w:sz="0" w:space="0" w:color="auto"/>
            <w:right w:val="none" w:sz="0" w:space="0" w:color="auto"/>
          </w:divBdr>
        </w:div>
        <w:div w:id="673536307">
          <w:marLeft w:val="1166"/>
          <w:marRight w:val="0"/>
          <w:marTop w:val="115"/>
          <w:marBottom w:val="0"/>
          <w:divBdr>
            <w:top w:val="none" w:sz="0" w:space="0" w:color="auto"/>
            <w:left w:val="none" w:sz="0" w:space="0" w:color="auto"/>
            <w:bottom w:val="none" w:sz="0" w:space="0" w:color="auto"/>
            <w:right w:val="none" w:sz="0" w:space="0" w:color="auto"/>
          </w:divBdr>
        </w:div>
        <w:div w:id="1299191883">
          <w:marLeft w:val="1166"/>
          <w:marRight w:val="0"/>
          <w:marTop w:val="115"/>
          <w:marBottom w:val="0"/>
          <w:divBdr>
            <w:top w:val="none" w:sz="0" w:space="0" w:color="auto"/>
            <w:left w:val="none" w:sz="0" w:space="0" w:color="auto"/>
            <w:bottom w:val="none" w:sz="0" w:space="0" w:color="auto"/>
            <w:right w:val="none" w:sz="0" w:space="0" w:color="auto"/>
          </w:divBdr>
        </w:div>
        <w:div w:id="810563242">
          <w:marLeft w:val="1166"/>
          <w:marRight w:val="0"/>
          <w:marTop w:val="115"/>
          <w:marBottom w:val="0"/>
          <w:divBdr>
            <w:top w:val="none" w:sz="0" w:space="0" w:color="auto"/>
            <w:left w:val="none" w:sz="0" w:space="0" w:color="auto"/>
            <w:bottom w:val="none" w:sz="0" w:space="0" w:color="auto"/>
            <w:right w:val="none" w:sz="0" w:space="0" w:color="auto"/>
          </w:divBdr>
        </w:div>
        <w:div w:id="97330774">
          <w:marLeft w:val="1166"/>
          <w:marRight w:val="0"/>
          <w:marTop w:val="115"/>
          <w:marBottom w:val="0"/>
          <w:divBdr>
            <w:top w:val="none" w:sz="0" w:space="0" w:color="auto"/>
            <w:left w:val="none" w:sz="0" w:space="0" w:color="auto"/>
            <w:bottom w:val="none" w:sz="0" w:space="0" w:color="auto"/>
            <w:right w:val="none" w:sz="0" w:space="0" w:color="auto"/>
          </w:divBdr>
        </w:div>
        <w:div w:id="920213463">
          <w:marLeft w:val="1166"/>
          <w:marRight w:val="0"/>
          <w:marTop w:val="115"/>
          <w:marBottom w:val="0"/>
          <w:divBdr>
            <w:top w:val="none" w:sz="0" w:space="0" w:color="auto"/>
            <w:left w:val="none" w:sz="0" w:space="0" w:color="auto"/>
            <w:bottom w:val="none" w:sz="0" w:space="0" w:color="auto"/>
            <w:right w:val="none" w:sz="0" w:space="0" w:color="auto"/>
          </w:divBdr>
        </w:div>
      </w:divsChild>
    </w:div>
    <w:div w:id="134489721">
      <w:bodyDiv w:val="1"/>
      <w:marLeft w:val="0"/>
      <w:marRight w:val="0"/>
      <w:marTop w:val="0"/>
      <w:marBottom w:val="0"/>
      <w:divBdr>
        <w:top w:val="none" w:sz="0" w:space="0" w:color="auto"/>
        <w:left w:val="none" w:sz="0" w:space="0" w:color="auto"/>
        <w:bottom w:val="none" w:sz="0" w:space="0" w:color="auto"/>
        <w:right w:val="none" w:sz="0" w:space="0" w:color="auto"/>
      </w:divBdr>
    </w:div>
    <w:div w:id="352461603">
      <w:bodyDiv w:val="1"/>
      <w:marLeft w:val="0"/>
      <w:marRight w:val="0"/>
      <w:marTop w:val="0"/>
      <w:marBottom w:val="0"/>
      <w:divBdr>
        <w:top w:val="none" w:sz="0" w:space="0" w:color="auto"/>
        <w:left w:val="none" w:sz="0" w:space="0" w:color="auto"/>
        <w:bottom w:val="none" w:sz="0" w:space="0" w:color="auto"/>
        <w:right w:val="none" w:sz="0" w:space="0" w:color="auto"/>
      </w:divBdr>
      <w:divsChild>
        <w:div w:id="2122602776">
          <w:marLeft w:val="547"/>
          <w:marRight w:val="0"/>
          <w:marTop w:val="115"/>
          <w:marBottom w:val="0"/>
          <w:divBdr>
            <w:top w:val="none" w:sz="0" w:space="0" w:color="auto"/>
            <w:left w:val="none" w:sz="0" w:space="0" w:color="auto"/>
            <w:bottom w:val="none" w:sz="0" w:space="0" w:color="auto"/>
            <w:right w:val="none" w:sz="0" w:space="0" w:color="auto"/>
          </w:divBdr>
        </w:div>
        <w:div w:id="198129413">
          <w:marLeft w:val="547"/>
          <w:marRight w:val="0"/>
          <w:marTop w:val="115"/>
          <w:marBottom w:val="0"/>
          <w:divBdr>
            <w:top w:val="none" w:sz="0" w:space="0" w:color="auto"/>
            <w:left w:val="none" w:sz="0" w:space="0" w:color="auto"/>
            <w:bottom w:val="none" w:sz="0" w:space="0" w:color="auto"/>
            <w:right w:val="none" w:sz="0" w:space="0" w:color="auto"/>
          </w:divBdr>
        </w:div>
        <w:div w:id="352076727">
          <w:marLeft w:val="1166"/>
          <w:marRight w:val="0"/>
          <w:marTop w:val="96"/>
          <w:marBottom w:val="0"/>
          <w:divBdr>
            <w:top w:val="none" w:sz="0" w:space="0" w:color="auto"/>
            <w:left w:val="none" w:sz="0" w:space="0" w:color="auto"/>
            <w:bottom w:val="none" w:sz="0" w:space="0" w:color="auto"/>
            <w:right w:val="none" w:sz="0" w:space="0" w:color="auto"/>
          </w:divBdr>
        </w:div>
        <w:div w:id="1226186911">
          <w:marLeft w:val="547"/>
          <w:marRight w:val="0"/>
          <w:marTop w:val="115"/>
          <w:marBottom w:val="0"/>
          <w:divBdr>
            <w:top w:val="none" w:sz="0" w:space="0" w:color="auto"/>
            <w:left w:val="none" w:sz="0" w:space="0" w:color="auto"/>
            <w:bottom w:val="none" w:sz="0" w:space="0" w:color="auto"/>
            <w:right w:val="none" w:sz="0" w:space="0" w:color="auto"/>
          </w:divBdr>
        </w:div>
      </w:divsChild>
    </w:div>
    <w:div w:id="396781056">
      <w:bodyDiv w:val="1"/>
      <w:marLeft w:val="0"/>
      <w:marRight w:val="0"/>
      <w:marTop w:val="0"/>
      <w:marBottom w:val="0"/>
      <w:divBdr>
        <w:top w:val="none" w:sz="0" w:space="0" w:color="auto"/>
        <w:left w:val="none" w:sz="0" w:space="0" w:color="auto"/>
        <w:bottom w:val="none" w:sz="0" w:space="0" w:color="auto"/>
        <w:right w:val="none" w:sz="0" w:space="0" w:color="auto"/>
      </w:divBdr>
    </w:div>
    <w:div w:id="522983779">
      <w:bodyDiv w:val="1"/>
      <w:marLeft w:val="0"/>
      <w:marRight w:val="0"/>
      <w:marTop w:val="0"/>
      <w:marBottom w:val="0"/>
      <w:divBdr>
        <w:top w:val="none" w:sz="0" w:space="0" w:color="auto"/>
        <w:left w:val="none" w:sz="0" w:space="0" w:color="auto"/>
        <w:bottom w:val="none" w:sz="0" w:space="0" w:color="auto"/>
        <w:right w:val="none" w:sz="0" w:space="0" w:color="auto"/>
      </w:divBdr>
    </w:div>
    <w:div w:id="589780305">
      <w:bodyDiv w:val="1"/>
      <w:marLeft w:val="0"/>
      <w:marRight w:val="0"/>
      <w:marTop w:val="0"/>
      <w:marBottom w:val="0"/>
      <w:divBdr>
        <w:top w:val="none" w:sz="0" w:space="0" w:color="auto"/>
        <w:left w:val="none" w:sz="0" w:space="0" w:color="auto"/>
        <w:bottom w:val="none" w:sz="0" w:space="0" w:color="auto"/>
        <w:right w:val="none" w:sz="0" w:space="0" w:color="auto"/>
      </w:divBdr>
    </w:div>
    <w:div w:id="645085008">
      <w:bodyDiv w:val="1"/>
      <w:marLeft w:val="0"/>
      <w:marRight w:val="0"/>
      <w:marTop w:val="0"/>
      <w:marBottom w:val="0"/>
      <w:divBdr>
        <w:top w:val="none" w:sz="0" w:space="0" w:color="auto"/>
        <w:left w:val="none" w:sz="0" w:space="0" w:color="auto"/>
        <w:bottom w:val="none" w:sz="0" w:space="0" w:color="auto"/>
        <w:right w:val="none" w:sz="0" w:space="0" w:color="auto"/>
      </w:divBdr>
    </w:div>
    <w:div w:id="1179811317">
      <w:bodyDiv w:val="1"/>
      <w:marLeft w:val="0"/>
      <w:marRight w:val="0"/>
      <w:marTop w:val="0"/>
      <w:marBottom w:val="0"/>
      <w:divBdr>
        <w:top w:val="none" w:sz="0" w:space="0" w:color="auto"/>
        <w:left w:val="none" w:sz="0" w:space="0" w:color="auto"/>
        <w:bottom w:val="none" w:sz="0" w:space="0" w:color="auto"/>
        <w:right w:val="none" w:sz="0" w:space="0" w:color="auto"/>
      </w:divBdr>
    </w:div>
    <w:div w:id="1213813392">
      <w:bodyDiv w:val="1"/>
      <w:marLeft w:val="0"/>
      <w:marRight w:val="0"/>
      <w:marTop w:val="0"/>
      <w:marBottom w:val="0"/>
      <w:divBdr>
        <w:top w:val="none" w:sz="0" w:space="0" w:color="auto"/>
        <w:left w:val="none" w:sz="0" w:space="0" w:color="auto"/>
        <w:bottom w:val="none" w:sz="0" w:space="0" w:color="auto"/>
        <w:right w:val="none" w:sz="0" w:space="0" w:color="auto"/>
      </w:divBdr>
    </w:div>
    <w:div w:id="1442070266">
      <w:bodyDiv w:val="1"/>
      <w:marLeft w:val="0"/>
      <w:marRight w:val="0"/>
      <w:marTop w:val="0"/>
      <w:marBottom w:val="0"/>
      <w:divBdr>
        <w:top w:val="none" w:sz="0" w:space="0" w:color="auto"/>
        <w:left w:val="none" w:sz="0" w:space="0" w:color="auto"/>
        <w:bottom w:val="none" w:sz="0" w:space="0" w:color="auto"/>
        <w:right w:val="none" w:sz="0" w:space="0" w:color="auto"/>
      </w:divBdr>
    </w:div>
    <w:div w:id="1506093156">
      <w:bodyDiv w:val="1"/>
      <w:marLeft w:val="0"/>
      <w:marRight w:val="0"/>
      <w:marTop w:val="0"/>
      <w:marBottom w:val="0"/>
      <w:divBdr>
        <w:top w:val="none" w:sz="0" w:space="0" w:color="auto"/>
        <w:left w:val="none" w:sz="0" w:space="0" w:color="auto"/>
        <w:bottom w:val="none" w:sz="0" w:space="0" w:color="auto"/>
        <w:right w:val="none" w:sz="0" w:space="0" w:color="auto"/>
      </w:divBdr>
    </w:div>
    <w:div w:id="167984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EAFC9-43C2-4630-AB4E-7CE5F22B1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dc:creator>
  <cp:lastModifiedBy>Tim Frost1, Vodafone</cp:lastModifiedBy>
  <cp:revision>5</cp:revision>
  <dcterms:created xsi:type="dcterms:W3CDTF">2017-09-04T17:14:00Z</dcterms:created>
  <dcterms:modified xsi:type="dcterms:W3CDTF">2017-09-04T19:04:00Z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-1832975644</vt:i4>
  </property>
  <property fmtid="{D5CDD505-2E9C-101B-9397-08002B2CF9AE}" pid="3" name="_NewReviewCycle">
    <vt:lpwstr/>
  </property>
  <property fmtid="{D5CDD505-2E9C-101B-9397-08002B2CF9AE}" pid="4" name="_EmailSubject">
    <vt:lpwstr>single UL</vt:lpwstr>
  </property>
  <property fmtid="{D5CDD505-2E9C-101B-9397-08002B2CF9AE}" pid="5" name="_AuthorEmail">
    <vt:lpwstr>razieh.razavi@vodafone.com</vt:lpwstr>
  </property>
  <property fmtid="{D5CDD505-2E9C-101B-9397-08002B2CF9AE}" pid="6" name="_AuthorEmailDisplayName">
    <vt:lpwstr>Razavi, Razieh, Vodafone Group</vt:lpwstr>
  </property>
  <property fmtid="{D5CDD505-2E9C-101B-9397-08002B2CF9AE}" pid="7" name="_PreviousAdHocReviewCycleID">
    <vt:i4>-806643792</vt:i4>
  </property>
  <property fmtid="{D5CDD505-2E9C-101B-9397-08002B2CF9AE}" pid="8" name="_ReviewingToolsShownOnce">
    <vt:lpwstr/>
  </property>
</Properties>
</file>