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p w:rsidR="00922B8B" w:rsidRDefault="00922B8B" w:rsidP="00922B8B"/>
    <w:tbl>
      <w:tblPr>
        <w:tblW w:w="10089" w:type="dxa"/>
        <w:tblLook w:val="01E0"/>
      </w:tblPr>
      <w:tblGrid>
        <w:gridCol w:w="10089"/>
      </w:tblGrid>
      <w:tr w:rsidR="00922B8B" w:rsidTr="004D27B4">
        <w:tc>
          <w:tcPr>
            <w:tcW w:w="10089" w:type="dxa"/>
          </w:tcPr>
          <w:p w:rsidR="00922B8B" w:rsidRPr="001511A6" w:rsidRDefault="00922B8B" w:rsidP="004D27B4">
            <w:pPr>
              <w:spacing w:before="380" w:line="280" w:lineRule="exact"/>
              <w:jc w:val="right"/>
              <w:rPr>
                <w:rFonts w:ascii="Tahoma" w:hAnsi="Tahoma" w:cs="Tahoma"/>
                <w:b/>
                <w:bCs/>
                <w:iCs/>
                <w:color w:val="243285"/>
                <w:sz w:val="32"/>
                <w:szCs w:val="32"/>
                <w:lang w:val="en-US"/>
              </w:rPr>
            </w:pPr>
          </w:p>
          <w:p w:rsidR="00922B8B" w:rsidRPr="001511A6" w:rsidRDefault="00922B8B" w:rsidP="00922B8B">
            <w:pPr>
              <w:spacing w:before="380" w:line="28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Recommendation  ITU-R  SM.</w:t>
            </w:r>
            <w:r>
              <w:rPr>
                <w:rFonts w:ascii="Tahoma" w:hAnsi="Tahoma" w:cs="Tahoma"/>
                <w:b/>
                <w:bCs/>
                <w:iCs/>
                <w:color w:val="243285"/>
                <w:sz w:val="36"/>
                <w:szCs w:val="36"/>
                <w:lang w:val="en-US"/>
              </w:rPr>
              <w:t>329-12</w:t>
            </w:r>
          </w:p>
          <w:p w:rsidR="00922B8B" w:rsidRPr="001511A6" w:rsidRDefault="00922B8B" w:rsidP="00922B8B">
            <w:pPr>
              <w:spacing w:before="80" w:line="280" w:lineRule="exact"/>
              <w:jc w:val="right"/>
              <w:rPr>
                <w:rFonts w:ascii="Tahoma" w:hAnsi="Tahoma" w:cs="Tahoma"/>
                <w:b/>
                <w:bCs/>
                <w:iCs/>
                <w:color w:val="243285"/>
                <w:szCs w:val="24"/>
                <w:lang w:val="en-US"/>
              </w:rPr>
            </w:pPr>
            <w:r w:rsidRPr="001511A6">
              <w:rPr>
                <w:rFonts w:ascii="Tahoma" w:hAnsi="Tahoma" w:cs="Tahoma"/>
                <w:b/>
                <w:bCs/>
                <w:iCs/>
                <w:color w:val="243285"/>
                <w:szCs w:val="24"/>
                <w:lang w:val="en-US"/>
              </w:rPr>
              <w:t>(</w:t>
            </w:r>
            <w:r>
              <w:rPr>
                <w:rFonts w:ascii="Tahoma" w:hAnsi="Tahoma" w:cs="Tahoma"/>
                <w:b/>
                <w:bCs/>
                <w:iCs/>
                <w:color w:val="243285"/>
                <w:szCs w:val="24"/>
                <w:lang w:val="en-US"/>
              </w:rPr>
              <w:t>09</w:t>
            </w:r>
            <w:r w:rsidRPr="001511A6">
              <w:rPr>
                <w:rFonts w:ascii="Tahoma" w:hAnsi="Tahoma" w:cs="Tahoma"/>
                <w:b/>
                <w:bCs/>
                <w:iCs/>
                <w:color w:val="243285"/>
                <w:szCs w:val="24"/>
                <w:lang w:val="en-US"/>
              </w:rPr>
              <w:t>/</w:t>
            </w:r>
            <w:r>
              <w:rPr>
                <w:rFonts w:ascii="Tahoma" w:hAnsi="Tahoma" w:cs="Tahoma"/>
                <w:b/>
                <w:bCs/>
                <w:iCs/>
                <w:color w:val="243285"/>
                <w:szCs w:val="24"/>
                <w:lang w:val="en-US"/>
              </w:rPr>
              <w:t>2012</w:t>
            </w:r>
            <w:r w:rsidRPr="001511A6">
              <w:rPr>
                <w:rFonts w:ascii="Tahoma" w:hAnsi="Tahoma" w:cs="Tahoma"/>
                <w:b/>
                <w:bCs/>
                <w:iCs/>
                <w:color w:val="243285"/>
                <w:szCs w:val="24"/>
                <w:lang w:val="en-US"/>
              </w:rPr>
              <w:t>)</w:t>
            </w:r>
          </w:p>
        </w:tc>
      </w:tr>
      <w:tr w:rsidR="00922B8B" w:rsidRPr="00EB70C7" w:rsidTr="004D27B4">
        <w:tc>
          <w:tcPr>
            <w:tcW w:w="10089" w:type="dxa"/>
          </w:tcPr>
          <w:p w:rsidR="00922B8B" w:rsidRPr="001511A6" w:rsidRDefault="00922B8B" w:rsidP="004D27B4">
            <w:pPr>
              <w:spacing w:before="80" w:line="500" w:lineRule="exact"/>
              <w:jc w:val="right"/>
              <w:rPr>
                <w:rFonts w:ascii="Tahoma" w:hAnsi="Tahoma" w:cs="Tahoma"/>
                <w:b/>
                <w:bCs/>
                <w:iCs/>
                <w:color w:val="243285"/>
                <w:sz w:val="44"/>
                <w:szCs w:val="44"/>
                <w:lang w:val="en-US"/>
              </w:rPr>
            </w:pPr>
          </w:p>
          <w:p w:rsidR="00922B8B" w:rsidRPr="001511A6" w:rsidRDefault="00922B8B" w:rsidP="00922B8B">
            <w:pPr>
              <w:spacing w:before="80" w:line="500" w:lineRule="exact"/>
              <w:jc w:val="right"/>
              <w:rPr>
                <w:rFonts w:ascii="Tahoma" w:hAnsi="Tahoma" w:cs="Tahoma"/>
                <w:b/>
                <w:bCs/>
                <w:iCs/>
                <w:color w:val="243285"/>
                <w:sz w:val="44"/>
                <w:szCs w:val="44"/>
                <w:lang w:val="en-US"/>
              </w:rPr>
            </w:pPr>
            <w:r w:rsidRPr="00922B8B">
              <w:rPr>
                <w:rFonts w:ascii="Tahoma" w:hAnsi="Tahoma" w:cs="Tahoma"/>
                <w:b/>
                <w:bCs/>
                <w:iCs/>
                <w:color w:val="243285"/>
                <w:sz w:val="44"/>
                <w:szCs w:val="44"/>
                <w:lang w:val="en-US"/>
              </w:rPr>
              <w:t>Unwanted emissions in the spurious domain</w:t>
            </w:r>
          </w:p>
          <w:p w:rsidR="00922B8B" w:rsidRPr="001511A6" w:rsidRDefault="00922B8B" w:rsidP="004D27B4">
            <w:pPr>
              <w:spacing w:before="80" w:line="500" w:lineRule="exact"/>
              <w:jc w:val="right"/>
              <w:rPr>
                <w:rFonts w:ascii="Tahoma" w:hAnsi="Tahoma" w:cs="Tahoma"/>
                <w:b/>
                <w:bCs/>
                <w:iCs/>
                <w:color w:val="243285"/>
                <w:sz w:val="40"/>
                <w:szCs w:val="40"/>
                <w:lang w:val="en-US"/>
              </w:rPr>
            </w:pPr>
          </w:p>
        </w:tc>
      </w:tr>
      <w:tr w:rsidR="00922B8B" w:rsidTr="004D27B4">
        <w:tc>
          <w:tcPr>
            <w:tcW w:w="10089" w:type="dxa"/>
          </w:tcPr>
          <w:p w:rsidR="00922B8B" w:rsidRPr="00922B8B" w:rsidRDefault="00922B8B" w:rsidP="004D27B4">
            <w:pPr>
              <w:spacing w:before="80" w:line="280" w:lineRule="exact"/>
              <w:ind w:right="640"/>
              <w:rPr>
                <w:rFonts w:ascii="Tahoma" w:hAnsi="Tahoma" w:cs="Tahoma"/>
                <w:b/>
                <w:bCs/>
                <w:iCs/>
                <w:color w:val="243285"/>
                <w:sz w:val="32"/>
                <w:szCs w:val="32"/>
                <w:lang w:val="en-US"/>
              </w:rPr>
            </w:pPr>
          </w:p>
          <w:p w:rsidR="00922B8B" w:rsidRPr="00922B8B" w:rsidRDefault="00922B8B" w:rsidP="004D27B4">
            <w:pPr>
              <w:spacing w:before="80" w:line="280" w:lineRule="exact"/>
              <w:ind w:right="640"/>
              <w:rPr>
                <w:rFonts w:ascii="Tahoma" w:hAnsi="Tahoma" w:cs="Tahoma"/>
                <w:b/>
                <w:bCs/>
                <w:iCs/>
                <w:color w:val="243285"/>
                <w:sz w:val="32"/>
                <w:szCs w:val="32"/>
                <w:lang w:val="en-US"/>
              </w:rPr>
            </w:pPr>
          </w:p>
          <w:p w:rsidR="00922B8B" w:rsidRPr="00922B8B" w:rsidRDefault="00922B8B" w:rsidP="004D27B4">
            <w:pPr>
              <w:spacing w:before="80" w:after="180" w:line="360" w:lineRule="exact"/>
              <w:ind w:right="720"/>
              <w:rPr>
                <w:rFonts w:ascii="Tahoma" w:hAnsi="Tahoma" w:cs="Tahoma"/>
                <w:b/>
                <w:bCs/>
                <w:iCs/>
                <w:color w:val="243285"/>
                <w:sz w:val="36"/>
                <w:szCs w:val="36"/>
                <w:lang w:val="en-US"/>
              </w:rPr>
            </w:pPr>
          </w:p>
          <w:p w:rsidR="00922B8B" w:rsidRPr="001511A6" w:rsidRDefault="00922B8B" w:rsidP="004D27B4">
            <w:pPr>
              <w:spacing w:before="80" w:after="180" w:line="360" w:lineRule="exact"/>
              <w:jc w:val="right"/>
              <w:rPr>
                <w:rFonts w:ascii="Tahoma" w:hAnsi="Tahoma" w:cs="Tahoma"/>
                <w:b/>
                <w:bCs/>
                <w:iCs/>
                <w:color w:val="243285"/>
                <w:sz w:val="36"/>
                <w:szCs w:val="36"/>
                <w:lang w:val="en-US"/>
              </w:rPr>
            </w:pPr>
          </w:p>
          <w:p w:rsidR="00922B8B" w:rsidRPr="001511A6" w:rsidRDefault="00922B8B" w:rsidP="004D27B4">
            <w:pPr>
              <w:spacing w:before="80" w:after="180" w:line="36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SM Series</w:t>
            </w:r>
          </w:p>
          <w:p w:rsidR="00922B8B" w:rsidRPr="001511A6" w:rsidRDefault="00922B8B" w:rsidP="004D27B4">
            <w:pPr>
              <w:spacing w:before="80" w:line="360" w:lineRule="exact"/>
              <w:jc w:val="right"/>
              <w:rPr>
                <w:rFonts w:ascii="Tahoma" w:hAnsi="Tahoma" w:cs="Tahoma"/>
                <w:b/>
                <w:bCs/>
                <w:iCs/>
                <w:color w:val="243285"/>
                <w:sz w:val="36"/>
                <w:szCs w:val="36"/>
                <w:lang w:val="en-US"/>
              </w:rPr>
            </w:pPr>
            <w:r w:rsidRPr="001511A6">
              <w:rPr>
                <w:rFonts w:ascii="Tahoma" w:hAnsi="Tahoma" w:cs="Tahoma"/>
                <w:b/>
                <w:bCs/>
                <w:iCs/>
                <w:color w:val="243285"/>
                <w:sz w:val="36"/>
                <w:szCs w:val="36"/>
                <w:lang w:val="en-US"/>
              </w:rPr>
              <w:t>Spectrum management</w:t>
            </w:r>
          </w:p>
          <w:p w:rsidR="00922B8B" w:rsidRPr="001511A6" w:rsidRDefault="00922B8B" w:rsidP="004D27B4">
            <w:pPr>
              <w:spacing w:before="80" w:line="360" w:lineRule="exact"/>
              <w:jc w:val="right"/>
              <w:rPr>
                <w:rFonts w:ascii="Tahoma" w:hAnsi="Tahoma" w:cs="Tahoma"/>
                <w:b/>
                <w:bCs/>
                <w:iCs/>
                <w:color w:val="243285"/>
                <w:sz w:val="32"/>
                <w:szCs w:val="32"/>
                <w:lang w:val="en-US"/>
              </w:rPr>
            </w:pPr>
          </w:p>
        </w:tc>
      </w:tr>
    </w:tbl>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spacing w:before="80"/>
        <w:rPr>
          <w:i/>
          <w:sz w:val="22"/>
          <w:lang w:val="en-US"/>
        </w:rPr>
      </w:pPr>
    </w:p>
    <w:p w:rsidR="00922B8B" w:rsidRDefault="00922B8B" w:rsidP="00922B8B">
      <w:pPr>
        <w:pStyle w:val="Equation"/>
        <w:tabs>
          <w:tab w:val="clear" w:pos="4820"/>
          <w:tab w:val="clear" w:pos="9639"/>
          <w:tab w:val="left" w:pos="1191"/>
          <w:tab w:val="left" w:pos="1588"/>
          <w:tab w:val="left" w:pos="1985"/>
        </w:tabs>
        <w:rPr>
          <w:rFonts w:ascii="Palatino Linotype" w:hAnsi="Palatino Linotype"/>
          <w:lang w:val="en-US"/>
        </w:rPr>
        <w:sectPr w:rsidR="00922B8B">
          <w:headerReference w:type="even" r:id="rId8"/>
          <w:headerReference w:type="default" r:id="rId9"/>
          <w:pgSz w:w="11907" w:h="16840" w:code="9"/>
          <w:pgMar w:top="1089" w:right="1089" w:bottom="284" w:left="1089" w:header="567" w:footer="284" w:gutter="0"/>
          <w:pgNumType w:start="1"/>
          <w:cols w:space="720"/>
        </w:sectPr>
      </w:pPr>
    </w:p>
    <w:p w:rsidR="00922B8B" w:rsidRPr="00586EF8" w:rsidRDefault="00922B8B" w:rsidP="00922B8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922B8B" w:rsidRDefault="00922B8B" w:rsidP="00922B8B">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922B8B" w:rsidRDefault="00922B8B" w:rsidP="00922B8B">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922B8B" w:rsidRPr="00B714F3" w:rsidRDefault="00922B8B" w:rsidP="00922B8B">
      <w:pPr>
        <w:pStyle w:val="Heading1"/>
        <w:spacing w:before="680"/>
        <w:jc w:val="center"/>
        <w:rPr>
          <w:szCs w:val="24"/>
          <w:lang w:val="en-US"/>
        </w:rPr>
      </w:pPr>
      <w:r w:rsidRPr="00B714F3">
        <w:rPr>
          <w:szCs w:val="24"/>
          <w:lang w:val="en-US"/>
        </w:rPr>
        <w:t>Policy on Intellectual Property Right (IPR)</w:t>
      </w:r>
    </w:p>
    <w:p w:rsidR="00922B8B" w:rsidRPr="00B714F3" w:rsidRDefault="00922B8B" w:rsidP="00922B8B">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0"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922B8B" w:rsidRDefault="00922B8B" w:rsidP="00922B8B">
      <w:pPr>
        <w:jc w:val="center"/>
        <w:rPr>
          <w:sz w:val="22"/>
          <w:lang w:val="en-US"/>
        </w:rPr>
      </w:pPr>
    </w:p>
    <w:p w:rsidR="00922B8B" w:rsidRDefault="00922B8B" w:rsidP="00922B8B">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922B8B" w:rsidRPr="00EB70C7" w:rsidTr="004D27B4">
        <w:tc>
          <w:tcPr>
            <w:tcW w:w="9360" w:type="dxa"/>
            <w:gridSpan w:val="2"/>
          </w:tcPr>
          <w:p w:rsidR="00922B8B" w:rsidRPr="00036EE3" w:rsidRDefault="00922B8B" w:rsidP="004D27B4">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 xml:space="preserve">Also available online at </w:t>
            </w:r>
            <w:hyperlink r:id="rId11" w:history="1">
              <w:r>
                <w:rPr>
                  <w:rStyle w:val="Hyperlink"/>
                  <w:b w:val="0"/>
                  <w:sz w:val="18"/>
                  <w:szCs w:val="18"/>
                  <w:lang w:val="en-US"/>
                </w:rPr>
                <w:t>http://www.itu.int/publ/R-REC/en</w:t>
              </w:r>
            </w:hyperlink>
            <w:r w:rsidRPr="00CE0A43">
              <w:rPr>
                <w:b w:val="0"/>
                <w:sz w:val="18"/>
                <w:szCs w:val="18"/>
                <w:lang w:val="en-US"/>
              </w:rPr>
              <w:t>)</w:t>
            </w:r>
          </w:p>
        </w:tc>
      </w:tr>
      <w:tr w:rsidR="00922B8B" w:rsidRPr="00036EE3" w:rsidTr="004D27B4">
        <w:tc>
          <w:tcPr>
            <w:tcW w:w="1140" w:type="dxa"/>
          </w:tcPr>
          <w:p w:rsidR="00922B8B" w:rsidRPr="00036EE3" w:rsidRDefault="00922B8B" w:rsidP="004D27B4">
            <w:pPr>
              <w:spacing w:before="200" w:after="100"/>
              <w:ind w:left="57"/>
              <w:rPr>
                <w:b/>
                <w:bCs/>
                <w:sz w:val="20"/>
                <w:lang w:val="en-US"/>
              </w:rPr>
            </w:pPr>
            <w:r w:rsidRPr="00036EE3">
              <w:rPr>
                <w:b/>
                <w:bCs/>
                <w:sz w:val="20"/>
                <w:lang w:val="en-US"/>
              </w:rPr>
              <w:t>Series</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BO</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BR</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BS</w:t>
            </w:r>
          </w:p>
        </w:tc>
        <w:tc>
          <w:tcPr>
            <w:tcW w:w="8220" w:type="dxa"/>
          </w:tcPr>
          <w:p w:rsidR="00922B8B" w:rsidRPr="00036EE3"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Broadcasting service (sound)</w:t>
            </w:r>
          </w:p>
        </w:tc>
      </w:tr>
      <w:tr w:rsidR="00922B8B" w:rsidRPr="00ED2695" w:rsidTr="004D27B4">
        <w:tc>
          <w:tcPr>
            <w:tcW w:w="1140" w:type="dxa"/>
            <w:shd w:val="clear" w:color="auto" w:fill="auto"/>
          </w:tcPr>
          <w:p w:rsidR="00922B8B" w:rsidRPr="00ED2695" w:rsidRDefault="00922B8B" w:rsidP="004D27B4">
            <w:pPr>
              <w:spacing w:before="30" w:after="30"/>
              <w:ind w:left="57"/>
              <w:jc w:val="left"/>
              <w:rPr>
                <w:b/>
                <w:bCs/>
                <w:sz w:val="20"/>
                <w:lang w:val="en-US"/>
              </w:rPr>
            </w:pPr>
            <w:r w:rsidRPr="00ED2695">
              <w:rPr>
                <w:b/>
                <w:bCs/>
                <w:sz w:val="20"/>
                <w:lang w:val="en-US"/>
              </w:rPr>
              <w:t>BT</w:t>
            </w:r>
          </w:p>
        </w:tc>
        <w:tc>
          <w:tcPr>
            <w:tcW w:w="8220" w:type="dxa"/>
            <w:shd w:val="clear" w:color="auto" w:fill="auto"/>
          </w:tcPr>
          <w:p w:rsidR="00922B8B" w:rsidRPr="00ED2695"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922B8B" w:rsidRPr="00036EE3" w:rsidTr="004D27B4">
        <w:tc>
          <w:tcPr>
            <w:tcW w:w="1140" w:type="dxa"/>
            <w:shd w:val="clear" w:color="auto" w:fill="auto"/>
          </w:tcPr>
          <w:p w:rsidR="00922B8B" w:rsidRPr="00036EE3" w:rsidRDefault="00922B8B" w:rsidP="004D27B4">
            <w:pPr>
              <w:spacing w:before="30" w:after="30"/>
              <w:ind w:left="57"/>
              <w:jc w:val="left"/>
              <w:rPr>
                <w:b/>
                <w:bCs/>
                <w:sz w:val="20"/>
                <w:lang w:val="fr-CH"/>
              </w:rPr>
            </w:pPr>
            <w:r w:rsidRPr="00036EE3">
              <w:rPr>
                <w:b/>
                <w:bCs/>
                <w:sz w:val="20"/>
                <w:lang w:val="fr-CH"/>
              </w:rPr>
              <w:t>F</w:t>
            </w:r>
          </w:p>
        </w:tc>
        <w:tc>
          <w:tcPr>
            <w:tcW w:w="8220" w:type="dxa"/>
            <w:shd w:val="clear" w:color="auto" w:fill="auto"/>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fr-CH"/>
              </w:rPr>
            </w:pPr>
            <w:r w:rsidRPr="00036EE3">
              <w:rPr>
                <w:sz w:val="20"/>
                <w:lang w:val="fr-CH"/>
              </w:rPr>
              <w:t>Fixed service</w:t>
            </w:r>
          </w:p>
        </w:tc>
      </w:tr>
      <w:tr w:rsidR="00922B8B" w:rsidRPr="00036EE3" w:rsidTr="004D27B4">
        <w:tc>
          <w:tcPr>
            <w:tcW w:w="1140" w:type="dxa"/>
            <w:shd w:val="clear" w:color="auto" w:fill="auto"/>
          </w:tcPr>
          <w:p w:rsidR="00922B8B" w:rsidRPr="00906589" w:rsidRDefault="00922B8B" w:rsidP="004D27B4">
            <w:pPr>
              <w:spacing w:before="30" w:after="30"/>
              <w:ind w:left="57"/>
              <w:jc w:val="left"/>
              <w:rPr>
                <w:b/>
                <w:bCs/>
                <w:sz w:val="20"/>
                <w:lang w:val="en-US"/>
              </w:rPr>
            </w:pPr>
            <w:r w:rsidRPr="00906589">
              <w:rPr>
                <w:b/>
                <w:bCs/>
                <w:sz w:val="20"/>
                <w:lang w:val="en-US"/>
              </w:rPr>
              <w:t>M</w:t>
            </w:r>
          </w:p>
        </w:tc>
        <w:tc>
          <w:tcPr>
            <w:tcW w:w="8220" w:type="dxa"/>
            <w:shd w:val="clear" w:color="auto" w:fill="auto"/>
          </w:tcPr>
          <w:p w:rsidR="00922B8B" w:rsidRPr="00906589" w:rsidRDefault="00922B8B" w:rsidP="004D27B4">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906589">
              <w:rPr>
                <w:b w:val="0"/>
                <w:sz w:val="20"/>
                <w:lang w:val="en-US"/>
              </w:rPr>
              <w:t>Mobile, radiodetermination, amateur and related satellite services</w:t>
            </w:r>
          </w:p>
        </w:tc>
      </w:tr>
      <w:tr w:rsidR="00922B8B" w:rsidRPr="00036EE3" w:rsidTr="004D27B4">
        <w:tc>
          <w:tcPr>
            <w:tcW w:w="1140" w:type="dxa"/>
          </w:tcPr>
          <w:p w:rsidR="00922B8B" w:rsidRPr="00036EE3" w:rsidRDefault="00922B8B" w:rsidP="004D27B4">
            <w:pPr>
              <w:spacing w:before="30" w:after="30"/>
              <w:ind w:left="57"/>
              <w:jc w:val="left"/>
              <w:rPr>
                <w:b/>
                <w:bCs/>
                <w:sz w:val="20"/>
                <w:lang w:val="fr-CH"/>
              </w:rPr>
            </w:pPr>
            <w:r w:rsidRPr="00036EE3">
              <w:rPr>
                <w:b/>
                <w:bCs/>
                <w:sz w:val="20"/>
                <w:lang w:val="fr-CH"/>
              </w:rPr>
              <w:t>P</w:t>
            </w:r>
          </w:p>
        </w:tc>
        <w:tc>
          <w:tcPr>
            <w:tcW w:w="8220" w:type="dxa"/>
          </w:tcPr>
          <w:p w:rsidR="00922B8B" w:rsidRPr="00036EE3" w:rsidRDefault="00922B8B" w:rsidP="004D27B4">
            <w:pPr>
              <w:spacing w:before="30" w:after="30"/>
              <w:jc w:val="left"/>
              <w:rPr>
                <w:sz w:val="20"/>
                <w:lang w:val="fr-CH"/>
              </w:rPr>
            </w:pPr>
            <w:r w:rsidRPr="00036EE3">
              <w:rPr>
                <w:sz w:val="20"/>
                <w:lang w:val="fr-CH"/>
              </w:rPr>
              <w:t>Radiowave propagation</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RA</w:t>
            </w:r>
          </w:p>
        </w:tc>
        <w:tc>
          <w:tcPr>
            <w:tcW w:w="8220" w:type="dxa"/>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RS</w:t>
            </w:r>
          </w:p>
        </w:tc>
        <w:tc>
          <w:tcPr>
            <w:tcW w:w="8220" w:type="dxa"/>
          </w:tcPr>
          <w:p w:rsidR="00922B8B" w:rsidRPr="00036EE3" w:rsidRDefault="00922B8B" w:rsidP="004D27B4">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w:t>
            </w:r>
          </w:p>
        </w:tc>
        <w:tc>
          <w:tcPr>
            <w:tcW w:w="8220" w:type="dxa"/>
          </w:tcPr>
          <w:p w:rsidR="00922B8B" w:rsidRPr="00036EE3" w:rsidRDefault="00922B8B" w:rsidP="004D27B4">
            <w:pPr>
              <w:spacing w:before="30" w:after="30"/>
              <w:jc w:val="left"/>
              <w:rPr>
                <w:sz w:val="20"/>
                <w:lang w:val="en-US"/>
              </w:rPr>
            </w:pPr>
            <w:r w:rsidRPr="00036EE3">
              <w:rPr>
                <w:sz w:val="20"/>
                <w:lang w:val="en-US"/>
              </w:rPr>
              <w:t>Fixed-satellite service</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SA</w:t>
            </w:r>
          </w:p>
        </w:tc>
        <w:tc>
          <w:tcPr>
            <w:tcW w:w="8220" w:type="dxa"/>
          </w:tcPr>
          <w:p w:rsidR="00922B8B" w:rsidRPr="00036EE3" w:rsidRDefault="00922B8B" w:rsidP="004D27B4">
            <w:pPr>
              <w:spacing w:before="30" w:after="30"/>
              <w:jc w:val="left"/>
              <w:rPr>
                <w:sz w:val="20"/>
                <w:lang w:val="en-US"/>
              </w:rPr>
            </w:pPr>
            <w:r w:rsidRPr="00036EE3">
              <w:rPr>
                <w:sz w:val="20"/>
                <w:lang w:val="en-US"/>
              </w:rPr>
              <w:t>Space applications and meteorology</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SF</w:t>
            </w:r>
          </w:p>
        </w:tc>
        <w:tc>
          <w:tcPr>
            <w:tcW w:w="8220" w:type="dxa"/>
          </w:tcPr>
          <w:p w:rsidR="00922B8B" w:rsidRPr="00036EE3" w:rsidRDefault="00922B8B" w:rsidP="004D27B4">
            <w:pPr>
              <w:spacing w:before="30" w:after="30"/>
              <w:jc w:val="left"/>
              <w:rPr>
                <w:sz w:val="20"/>
                <w:lang w:val="en-US"/>
              </w:rPr>
            </w:pPr>
            <w:r w:rsidRPr="00036EE3">
              <w:rPr>
                <w:sz w:val="20"/>
                <w:lang w:val="en-US"/>
              </w:rPr>
              <w:t>Frequency sharing and coordination between fixed-satellite and fixed service systems</w:t>
            </w:r>
          </w:p>
        </w:tc>
      </w:tr>
      <w:tr w:rsidR="00922B8B" w:rsidRPr="00036EE3" w:rsidTr="004D27B4">
        <w:tc>
          <w:tcPr>
            <w:tcW w:w="1140" w:type="dxa"/>
            <w:shd w:val="clear" w:color="auto" w:fill="F3F3F3"/>
          </w:tcPr>
          <w:p w:rsidR="00922B8B" w:rsidRPr="00906589" w:rsidRDefault="00922B8B" w:rsidP="004D27B4">
            <w:pPr>
              <w:spacing w:before="30" w:after="30"/>
              <w:ind w:left="57"/>
              <w:jc w:val="left"/>
              <w:rPr>
                <w:b/>
                <w:bCs/>
                <w:color w:val="000080"/>
                <w:sz w:val="20"/>
                <w:lang w:val="en-US"/>
              </w:rPr>
            </w:pPr>
            <w:r w:rsidRPr="00906589">
              <w:rPr>
                <w:b/>
                <w:bCs/>
                <w:color w:val="000080"/>
                <w:sz w:val="20"/>
                <w:lang w:val="en-US"/>
              </w:rPr>
              <w:t>SM</w:t>
            </w:r>
          </w:p>
        </w:tc>
        <w:tc>
          <w:tcPr>
            <w:tcW w:w="8220" w:type="dxa"/>
            <w:shd w:val="clear" w:color="auto" w:fill="F3F3F3"/>
          </w:tcPr>
          <w:p w:rsidR="00922B8B" w:rsidRPr="00906589" w:rsidRDefault="00922B8B" w:rsidP="004D27B4">
            <w:pPr>
              <w:spacing w:before="30" w:after="30"/>
              <w:jc w:val="left"/>
              <w:rPr>
                <w:b/>
                <w:bCs/>
                <w:color w:val="000080"/>
                <w:sz w:val="20"/>
                <w:lang w:val="en-US"/>
              </w:rPr>
            </w:pPr>
            <w:r w:rsidRPr="00906589">
              <w:rPr>
                <w:b/>
                <w:bCs/>
                <w:color w:val="000080"/>
                <w:sz w:val="20"/>
                <w:lang w:val="en-US"/>
              </w:rPr>
              <w:t>Spectrum management</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SNG</w:t>
            </w:r>
          </w:p>
        </w:tc>
        <w:tc>
          <w:tcPr>
            <w:tcW w:w="8220" w:type="dxa"/>
          </w:tcPr>
          <w:p w:rsidR="00922B8B" w:rsidRPr="00036EE3" w:rsidRDefault="00922B8B" w:rsidP="004D27B4">
            <w:pPr>
              <w:spacing w:before="30" w:after="30"/>
              <w:jc w:val="left"/>
              <w:rPr>
                <w:sz w:val="20"/>
                <w:lang w:val="en-US"/>
              </w:rPr>
            </w:pPr>
            <w:r w:rsidRPr="00036EE3">
              <w:rPr>
                <w:sz w:val="20"/>
                <w:lang w:val="en-US"/>
              </w:rPr>
              <w:t>Satellite news gathering</w:t>
            </w:r>
          </w:p>
        </w:tc>
      </w:tr>
      <w:tr w:rsidR="00922B8B" w:rsidRPr="00EB70C7"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TF</w:t>
            </w:r>
          </w:p>
        </w:tc>
        <w:tc>
          <w:tcPr>
            <w:tcW w:w="8220" w:type="dxa"/>
          </w:tcPr>
          <w:p w:rsidR="00922B8B" w:rsidRPr="00036EE3" w:rsidRDefault="00922B8B" w:rsidP="004D27B4">
            <w:pPr>
              <w:spacing w:before="30" w:after="30"/>
              <w:jc w:val="left"/>
              <w:rPr>
                <w:sz w:val="20"/>
                <w:lang w:val="en-US"/>
              </w:rPr>
            </w:pPr>
            <w:r w:rsidRPr="00036EE3">
              <w:rPr>
                <w:sz w:val="20"/>
                <w:lang w:val="en-US"/>
              </w:rPr>
              <w:t>Time signals and frequency standards emissions</w:t>
            </w:r>
          </w:p>
        </w:tc>
      </w:tr>
      <w:tr w:rsidR="00922B8B" w:rsidRPr="00036EE3" w:rsidTr="004D27B4">
        <w:tc>
          <w:tcPr>
            <w:tcW w:w="1140" w:type="dxa"/>
          </w:tcPr>
          <w:p w:rsidR="00922B8B" w:rsidRPr="00036EE3" w:rsidRDefault="00922B8B" w:rsidP="004D27B4">
            <w:pPr>
              <w:spacing w:before="30" w:after="30"/>
              <w:ind w:left="57"/>
              <w:jc w:val="left"/>
              <w:rPr>
                <w:b/>
                <w:bCs/>
                <w:sz w:val="20"/>
                <w:lang w:val="en-US"/>
              </w:rPr>
            </w:pPr>
            <w:r w:rsidRPr="00036EE3">
              <w:rPr>
                <w:b/>
                <w:bCs/>
                <w:sz w:val="20"/>
                <w:lang w:val="en-US"/>
              </w:rPr>
              <w:t>V</w:t>
            </w:r>
          </w:p>
        </w:tc>
        <w:tc>
          <w:tcPr>
            <w:tcW w:w="8220" w:type="dxa"/>
          </w:tcPr>
          <w:p w:rsidR="00922B8B" w:rsidRPr="00036EE3" w:rsidRDefault="00922B8B" w:rsidP="004D27B4">
            <w:pPr>
              <w:spacing w:before="30" w:after="180"/>
              <w:jc w:val="left"/>
              <w:rPr>
                <w:sz w:val="20"/>
                <w:lang w:val="en-US"/>
              </w:rPr>
            </w:pPr>
            <w:r w:rsidRPr="00036EE3">
              <w:rPr>
                <w:sz w:val="20"/>
                <w:lang w:val="en-US"/>
              </w:rPr>
              <w:t>Vocabulary and related subjects</w:t>
            </w:r>
          </w:p>
        </w:tc>
      </w:tr>
    </w:tbl>
    <w:p w:rsidR="00922B8B" w:rsidRPr="00036EE3" w:rsidRDefault="00922B8B" w:rsidP="00922B8B">
      <w:pPr>
        <w:spacing w:before="30" w:after="30"/>
        <w:jc w:val="center"/>
        <w:rPr>
          <w:sz w:val="20"/>
          <w:lang w:val="en-US"/>
        </w:rPr>
      </w:pPr>
    </w:p>
    <w:tbl>
      <w:tblPr>
        <w:tblpPr w:leftFromText="180" w:rightFromText="180" w:vertAnchor="text" w:tblpX="-5771" w:tblpY="-4031"/>
        <w:tblW w:w="0" w:type="auto"/>
        <w:tblLook w:val="0000"/>
      </w:tblPr>
      <w:tblGrid>
        <w:gridCol w:w="720"/>
      </w:tblGrid>
      <w:tr w:rsidR="00922B8B" w:rsidTr="004D27B4">
        <w:tc>
          <w:tcPr>
            <w:tcW w:w="720" w:type="dxa"/>
          </w:tcPr>
          <w:p w:rsidR="00922B8B" w:rsidRDefault="00922B8B" w:rsidP="004D27B4">
            <w:pPr>
              <w:jc w:val="center"/>
              <w:rPr>
                <w:sz w:val="22"/>
                <w:lang w:val="en-US"/>
              </w:rPr>
            </w:pPr>
          </w:p>
        </w:tc>
      </w:tr>
    </w:tbl>
    <w:p w:rsidR="00922B8B" w:rsidRPr="00036EE3" w:rsidRDefault="00922B8B" w:rsidP="00922B8B">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tblPr>
      <w:tblGrid>
        <w:gridCol w:w="9360"/>
      </w:tblGrid>
      <w:tr w:rsidR="00922B8B" w:rsidRPr="00EB70C7" w:rsidTr="004D27B4">
        <w:tc>
          <w:tcPr>
            <w:tcW w:w="9360" w:type="dxa"/>
          </w:tcPr>
          <w:p w:rsidR="00922B8B" w:rsidRPr="002F5199" w:rsidRDefault="00922B8B" w:rsidP="004D27B4">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922B8B" w:rsidRDefault="00922B8B" w:rsidP="00922B8B">
      <w:pPr>
        <w:spacing w:before="0"/>
        <w:jc w:val="center"/>
        <w:rPr>
          <w:sz w:val="22"/>
          <w:lang w:val="en-US"/>
        </w:rPr>
      </w:pPr>
    </w:p>
    <w:p w:rsidR="00922B8B" w:rsidRDefault="00922B8B" w:rsidP="00922B8B">
      <w:pPr>
        <w:spacing w:before="0"/>
        <w:jc w:val="center"/>
        <w:rPr>
          <w:sz w:val="22"/>
          <w:lang w:val="en-US"/>
        </w:rPr>
      </w:pPr>
    </w:p>
    <w:p w:rsidR="00922B8B" w:rsidRPr="002F5199" w:rsidRDefault="00922B8B" w:rsidP="00922B8B">
      <w:pPr>
        <w:spacing w:before="0"/>
        <w:jc w:val="right"/>
        <w:rPr>
          <w:i/>
          <w:iCs/>
          <w:sz w:val="20"/>
          <w:lang w:val="en-US"/>
        </w:rPr>
      </w:pPr>
      <w:r w:rsidRPr="002F5199">
        <w:rPr>
          <w:i/>
          <w:iCs/>
          <w:sz w:val="20"/>
          <w:lang w:val="en-US"/>
        </w:rPr>
        <w:t>Electronic Publication</w:t>
      </w:r>
    </w:p>
    <w:p w:rsidR="00922B8B" w:rsidRPr="002F5199" w:rsidRDefault="00922B8B" w:rsidP="00EB70C7">
      <w:pPr>
        <w:spacing w:before="0"/>
        <w:jc w:val="right"/>
        <w:rPr>
          <w:sz w:val="20"/>
          <w:lang w:val="en-US"/>
        </w:rPr>
      </w:pPr>
      <w:smartTag w:uri="urn:schemas-microsoft-com:office:smarttags" w:element="City">
        <w:smartTag w:uri="urn:schemas-microsoft-com:office:smarttags" w:element="State">
          <w:r w:rsidRPr="002F5199">
            <w:rPr>
              <w:sz w:val="20"/>
              <w:lang w:val="en-US"/>
            </w:rPr>
            <w:t>Geneva</w:t>
          </w:r>
        </w:smartTag>
      </w:smartTag>
      <w:r w:rsidRPr="002F5199">
        <w:rPr>
          <w:sz w:val="20"/>
          <w:lang w:val="en-US"/>
        </w:rPr>
        <w:t>, 20</w:t>
      </w:r>
      <w:r>
        <w:rPr>
          <w:sz w:val="20"/>
          <w:lang w:val="en-US"/>
        </w:rPr>
        <w:t>1</w:t>
      </w:r>
      <w:r w:rsidR="00EB70C7">
        <w:rPr>
          <w:sz w:val="20"/>
          <w:lang w:val="en-US"/>
        </w:rPr>
        <w:t>4</w:t>
      </w:r>
    </w:p>
    <w:p w:rsidR="00922B8B" w:rsidRPr="00470E28" w:rsidRDefault="00922B8B" w:rsidP="00922B8B">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sidR="00EB70C7">
        <w:rPr>
          <w:sz w:val="20"/>
          <w:lang w:val="en-US"/>
        </w:rPr>
        <w:t>14</w:t>
      </w:r>
    </w:p>
    <w:p w:rsidR="00922B8B" w:rsidRPr="00470E28" w:rsidRDefault="00922B8B" w:rsidP="00922B8B">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922B8B" w:rsidRDefault="00922B8B" w:rsidP="00922B8B">
      <w:pPr>
        <w:spacing w:before="160"/>
        <w:rPr>
          <w:i/>
          <w:sz w:val="20"/>
          <w:lang w:val="en-US"/>
        </w:rPr>
        <w:sectPr w:rsidR="00922B8B" w:rsidSect="004D27B4">
          <w:headerReference w:type="even" r:id="rId12"/>
          <w:headerReference w:type="default" r:id="rId13"/>
          <w:pgSz w:w="11907" w:h="16834" w:code="9"/>
          <w:pgMar w:top="1418" w:right="1134" w:bottom="1134" w:left="1134" w:header="720" w:footer="482" w:gutter="0"/>
          <w:paperSrc w:first="15" w:other="15"/>
          <w:pgNumType w:fmt="lowerRoman" w:start="2"/>
          <w:cols w:space="720"/>
        </w:sectPr>
      </w:pPr>
    </w:p>
    <w:p w:rsidR="00922B8B" w:rsidRPr="00BF487A" w:rsidRDefault="00922B8B" w:rsidP="00922B8B">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Pr>
          <w:rStyle w:val="href"/>
          <w:lang w:val="en-US"/>
        </w:rPr>
        <w:t>S</w:t>
      </w:r>
      <w:r w:rsidRPr="00BF487A">
        <w:rPr>
          <w:rStyle w:val="href"/>
          <w:lang w:val="en-US"/>
        </w:rPr>
        <w:t>M.</w:t>
      </w:r>
      <w:r>
        <w:rPr>
          <w:rStyle w:val="href"/>
          <w:lang w:val="en-US"/>
        </w:rPr>
        <w:t>329-12</w:t>
      </w:r>
      <w:r w:rsidR="00EB70C7">
        <w:rPr>
          <w:rStyle w:val="FootnoteReference"/>
          <w:lang w:val="en-US"/>
        </w:rPr>
        <w:footnoteReference w:customMarkFollows="1" w:id="1"/>
        <w:t>*</w:t>
      </w:r>
    </w:p>
    <w:p w:rsidR="00A6617B" w:rsidRDefault="00922B8B" w:rsidP="00EB70C7">
      <w:pPr>
        <w:pStyle w:val="Rectitle"/>
        <w:rPr>
          <w:lang w:val="en-US"/>
        </w:rPr>
      </w:pPr>
      <w:r>
        <w:rPr>
          <w:lang w:val="en-US"/>
        </w:rPr>
        <w:t>Unwanted emissions in the spurious domain</w:t>
      </w:r>
      <w:r w:rsidR="00EB70C7" w:rsidRPr="00EB70C7">
        <w:rPr>
          <w:rStyle w:val="FootnoteReference"/>
          <w:b w:val="0"/>
          <w:bCs/>
          <w:lang w:val="en-US"/>
        </w:rPr>
        <w:footnoteReference w:customMarkFollows="1" w:id="2"/>
        <w:t>**</w:t>
      </w:r>
    </w:p>
    <w:p w:rsidR="00922B8B" w:rsidRDefault="00922B8B" w:rsidP="00922B8B">
      <w:pPr>
        <w:pStyle w:val="Recdate"/>
        <w:rPr>
          <w:lang w:val="en-US"/>
        </w:rPr>
      </w:pPr>
      <w:bookmarkStart w:id="3" w:name="Revision_history"/>
      <w:r>
        <w:rPr>
          <w:lang w:val="en-US"/>
        </w:rPr>
        <w:t>(1951-1953-1956-1959-1963-1966-1970-1978-1982-1986-1990-1997-2000-2001-2003-2011-2012)</w:t>
      </w:r>
      <w:bookmarkEnd w:id="3"/>
    </w:p>
    <w:p w:rsidR="00922B8B" w:rsidRPr="002B7B9D" w:rsidRDefault="00922B8B" w:rsidP="00922B8B">
      <w:pPr>
        <w:rPr>
          <w:lang w:val="en-US" w:eastAsia="ja-JP"/>
        </w:rPr>
      </w:pPr>
    </w:p>
    <w:p w:rsidR="00922B8B" w:rsidRPr="002B7B9D" w:rsidRDefault="00922B8B" w:rsidP="00922B8B">
      <w:pPr>
        <w:pStyle w:val="HeadingSum"/>
        <w:rPr>
          <w:lang w:val="en-US" w:eastAsia="ja-JP"/>
        </w:rPr>
      </w:pPr>
      <w:r w:rsidRPr="002B7B9D">
        <w:rPr>
          <w:lang w:val="en-US" w:eastAsia="ja-JP"/>
        </w:rPr>
        <w:t>Scope</w:t>
      </w:r>
    </w:p>
    <w:p w:rsidR="00922B8B" w:rsidRPr="00EB4BAC" w:rsidRDefault="00922B8B" w:rsidP="00922B8B">
      <w:pPr>
        <w:pStyle w:val="Summary"/>
        <w:rPr>
          <w:lang w:val="en-GB"/>
        </w:rPr>
      </w:pPr>
      <w:r w:rsidRPr="002B7B9D">
        <w:rPr>
          <w:lang w:val="en-US"/>
        </w:rPr>
        <w:t xml:space="preserve">This Recommendation provides limits for unwanted emissions in the spurious domain, as well as </w:t>
      </w:r>
      <w:r w:rsidRPr="002B7B9D">
        <w:rPr>
          <w:rFonts w:eastAsia="SimSun"/>
          <w:lang w:val="en-US" w:eastAsia="zh-CN"/>
        </w:rPr>
        <w:t>measurement methods of spurious domain emissions</w:t>
      </w:r>
      <w:r w:rsidRPr="002B7B9D">
        <w:rPr>
          <w:lang w:val="en-US"/>
        </w:rPr>
        <w:t>.</w:t>
      </w:r>
    </w:p>
    <w:p w:rsidR="00922B8B" w:rsidRPr="002B7B9D" w:rsidRDefault="00922B8B" w:rsidP="00922B8B">
      <w:pPr>
        <w:pStyle w:val="Normalaftertitle"/>
        <w:rPr>
          <w:lang w:val="en-US"/>
        </w:rPr>
      </w:pPr>
      <w:r w:rsidRPr="002B7B9D">
        <w:rPr>
          <w:lang w:val="en-US"/>
        </w:rPr>
        <w:t>The ITU Radiocommunication Assembly,</w:t>
      </w:r>
    </w:p>
    <w:p w:rsidR="00922B8B" w:rsidRPr="002B7B9D" w:rsidRDefault="00922B8B" w:rsidP="00922B8B">
      <w:pPr>
        <w:pStyle w:val="Call"/>
        <w:rPr>
          <w:lang w:val="en-US"/>
        </w:rPr>
      </w:pPr>
      <w:r w:rsidRPr="002B7B9D">
        <w:rPr>
          <w:lang w:val="en-US"/>
        </w:rPr>
        <w:t>considering</w:t>
      </w:r>
    </w:p>
    <w:p w:rsidR="00922B8B" w:rsidRDefault="00922B8B" w:rsidP="00922B8B">
      <w:pPr>
        <w:rPr>
          <w:lang w:val="en-US"/>
        </w:rPr>
      </w:pPr>
      <w:r>
        <w:rPr>
          <w:lang w:val="en-US"/>
        </w:rPr>
        <w:t>a)</w:t>
      </w:r>
      <w:r>
        <w:rPr>
          <w:lang w:val="en-US"/>
        </w:rPr>
        <w:tab/>
        <w:t>that Recommendation ITU-R SM.328 gives definitions and explanatory notes which should be used when dealing with bandwidth, channel spacing and interference scenarios; when distinguishing between out-of-band emissions and spurious emissions; and when specifying limits for out-of-band domain emissions;</w:t>
      </w:r>
    </w:p>
    <w:p w:rsidR="00922B8B" w:rsidRDefault="00922B8B" w:rsidP="00922B8B">
      <w:pPr>
        <w:rPr>
          <w:lang w:val="en-US"/>
        </w:rPr>
      </w:pPr>
      <w:r>
        <w:rPr>
          <w:lang w:val="en-US"/>
        </w:rPr>
        <w:t>b)</w:t>
      </w:r>
      <w:r>
        <w:rPr>
          <w:lang w:val="en-US"/>
        </w:rPr>
        <w:tab/>
        <w:t>that a difficulty faced in applying the limits for unwanted emissions in the spurious domain is knowing precisely the value of the necessary bandwidth and exactly where in the spectrum the limits for spurious domain should begin to apply, particularly for services using broadband or digitally-modulated emissions which may have both noise-like and discrete spurious components;</w:t>
      </w:r>
    </w:p>
    <w:p w:rsidR="00922B8B" w:rsidRDefault="00922B8B" w:rsidP="00922B8B">
      <w:pPr>
        <w:rPr>
          <w:lang w:val="en-US"/>
        </w:rPr>
      </w:pPr>
      <w:r>
        <w:rPr>
          <w:lang w:val="en-US"/>
        </w:rPr>
        <w:t>c)</w:t>
      </w:r>
      <w:r>
        <w:rPr>
          <w:lang w:val="en-US"/>
        </w:rPr>
        <w:tab/>
        <w:t>that limitation of the maximum permitted level of spurious domain emissions</w:t>
      </w:r>
      <w:r>
        <w:rPr>
          <w:rStyle w:val="FootnoteReference"/>
          <w:lang w:val="en-US"/>
        </w:rPr>
        <w:footnoteReference w:customMarkFollows="1" w:id="3"/>
        <w:t>1</w:t>
      </w:r>
      <w:r>
        <w:rPr>
          <w:lang w:val="en-US"/>
        </w:rPr>
        <w:t xml:space="preserve"> at the frequency, or frequencies, of each spurious domain emission is necessary to protect all radio services;</w:t>
      </w:r>
    </w:p>
    <w:p w:rsidR="00922B8B" w:rsidRDefault="00922B8B" w:rsidP="00922B8B">
      <w:pPr>
        <w:rPr>
          <w:lang w:val="en-US"/>
        </w:rPr>
      </w:pPr>
      <w:r>
        <w:rPr>
          <w:lang w:val="en-US"/>
        </w:rPr>
        <w:t>d)</w:t>
      </w:r>
      <w:r>
        <w:rPr>
          <w:lang w:val="en-US"/>
        </w:rPr>
        <w:tab/>
        <w:t>that stringent limits may lead to an increase in size or in complexity of radio equipment, but will in general increase protection of other radio services from interference;</w:t>
      </w:r>
    </w:p>
    <w:p w:rsidR="00922B8B" w:rsidRDefault="00922B8B" w:rsidP="00922B8B">
      <w:pPr>
        <w:rPr>
          <w:lang w:val="en-US"/>
        </w:rPr>
      </w:pPr>
      <w:r>
        <w:rPr>
          <w:lang w:val="en-US"/>
        </w:rPr>
        <w:t>e)</w:t>
      </w:r>
      <w:r>
        <w:rPr>
          <w:lang w:val="en-US"/>
        </w:rPr>
        <w:tab/>
        <w:t>that every effort should be made to keep limits for unwanted emissions in out-of-band and spurious domains, both for existing and new services, at the lowest possible values taking account of the type and nature of the radio services involved, economic factors, and technological limitations, and the difficulty of suppressing harmonic emissions from certain high power transmitters;</w:t>
      </w:r>
    </w:p>
    <w:p w:rsidR="00922B8B" w:rsidRDefault="00922B8B" w:rsidP="00922B8B">
      <w:pPr>
        <w:rPr>
          <w:lang w:val="en-US"/>
        </w:rPr>
      </w:pPr>
      <w:r>
        <w:rPr>
          <w:lang w:val="en-US"/>
        </w:rPr>
        <w:t>f)</w:t>
      </w:r>
      <w:r>
        <w:rPr>
          <w:lang w:val="en-US"/>
        </w:rPr>
        <w:tab/>
        <w:t>that there is a need to define the methods, units of measurements and bandwidth, and the bandwidths to be used for measurement of power at frequencies other than the centre frequency. This will encourage the use of rational, simple, and effective means of reducing unwanted emissions;</w:t>
      </w:r>
    </w:p>
    <w:p w:rsidR="00922B8B" w:rsidRDefault="00922B8B" w:rsidP="00922B8B">
      <w:pPr>
        <w:rPr>
          <w:lang w:val="en-US"/>
        </w:rPr>
      </w:pPr>
      <w:r>
        <w:rPr>
          <w:lang w:val="en-US"/>
        </w:rPr>
        <w:t>g)</w:t>
      </w:r>
      <w:r>
        <w:rPr>
          <w:lang w:val="en-US"/>
        </w:rPr>
        <w:tab/>
        <w:t xml:space="preserve">that the relation between the power of the spurious domain emission supplied to a transmitting antenna and the field strength of the corresponding signals, at locations remote from the transmitter, may differ greatly, due to such factors as antenna characteristics at the frequencies </w:t>
      </w:r>
      <w:r>
        <w:rPr>
          <w:lang w:val="en-US"/>
        </w:rPr>
        <w:lastRenderedPageBreak/>
        <w:t>of the spurious domain emissions, propagation anomalies over various paths and radiation from parts of the transmitting apparatus other than the antenna itself;</w:t>
      </w:r>
    </w:p>
    <w:p w:rsidR="00922B8B" w:rsidRDefault="00922B8B" w:rsidP="00922B8B">
      <w:pPr>
        <w:rPr>
          <w:lang w:val="en-US"/>
        </w:rPr>
      </w:pPr>
      <w:r>
        <w:rPr>
          <w:lang w:val="en-US"/>
        </w:rPr>
        <w:t>h)</w:t>
      </w:r>
      <w:r>
        <w:rPr>
          <w:lang w:val="en-US"/>
        </w:rPr>
        <w:tab/>
        <w:t>that field-strength or pfd measurements of unwanted emissions, at locations distant from the transmitter, are recognized as the direct means of expressing the intensities of interfering signals due to such emissions;</w:t>
      </w:r>
    </w:p>
    <w:p w:rsidR="00922B8B" w:rsidRDefault="00922B8B" w:rsidP="00922B8B">
      <w:pPr>
        <w:rPr>
          <w:lang w:val="en-US"/>
        </w:rPr>
      </w:pPr>
      <w:r>
        <w:rPr>
          <w:lang w:val="en-US"/>
        </w:rPr>
        <w:t>j)</w:t>
      </w:r>
      <w:r>
        <w:rPr>
          <w:lang w:val="en-US"/>
        </w:rPr>
        <w:tab/>
        <w:t>that in dealing with emissions on the centre frequencies, administrations customarily establish the power supplied to the antenna transmission line, and may alternatively or in addition measure the field strength or pfd at a distance, to aid in determining when a spurious domain emission is causing interference with another authorized emission, and a similar, consistent procedure would be helpful in dealing with spurious domain emissions (see Article 15, No. 15.11 of the RR);</w:t>
      </w:r>
    </w:p>
    <w:p w:rsidR="00922B8B" w:rsidRDefault="00922B8B" w:rsidP="003C0A65">
      <w:pPr>
        <w:rPr>
          <w:lang w:val="en-US"/>
        </w:rPr>
      </w:pPr>
      <w:r>
        <w:rPr>
          <w:lang w:val="en-US"/>
        </w:rPr>
        <w:t>k)</w:t>
      </w:r>
      <w:r>
        <w:rPr>
          <w:lang w:val="en-US"/>
        </w:rPr>
        <w:tab/>
        <w:t>that for the most economical and efficient use of the frequency spectrum, it is necessary to establish general maximum limits of spurious domain emissions, while recognizing that specific services in certain frequency bands may need lower limits of spurious domain emissions from other services for technical and operational reasons as may be recommended in other ITU-R Recommendations (see Annex 4);</w:t>
      </w:r>
    </w:p>
    <w:p w:rsidR="00922B8B" w:rsidRDefault="00922B8B" w:rsidP="00922B8B">
      <w:pPr>
        <w:rPr>
          <w:lang w:val="en-US"/>
        </w:rPr>
      </w:pPr>
      <w:r>
        <w:rPr>
          <w:lang w:val="en-US"/>
        </w:rPr>
        <w:t>l)</w:t>
      </w:r>
      <w:r>
        <w:rPr>
          <w:lang w:val="en-US"/>
        </w:rPr>
        <w:tab/>
        <w:t>that transmitters operating in space stations are increasingly employing spread-spectrum and other broadband modulation techniques that can produce out-of-band and spurious emissions at frequencies far removed from the carrier frequency, and that such emissions may cause interference to passive services, including the radio astronomy service, recognizing however, that spectrum shaping techniques, which are widely used to increase the efficiency of spectral usage, result in an attenuation of side band emissions;</w:t>
      </w:r>
    </w:p>
    <w:p w:rsidR="00922B8B" w:rsidRDefault="00922B8B" w:rsidP="00922B8B">
      <w:pPr>
        <w:rPr>
          <w:lang w:val="en-US"/>
        </w:rPr>
      </w:pPr>
      <w:r>
        <w:rPr>
          <w:lang w:val="en-US"/>
        </w:rPr>
        <w:t>m)</w:t>
      </w:r>
      <w:r>
        <w:rPr>
          <w:lang w:val="en-US"/>
        </w:rPr>
        <w:tab/>
        <w:t>that spurious domain emission limits applicable to transmitters are a function of:</w:t>
      </w:r>
    </w:p>
    <w:p w:rsidR="00922B8B" w:rsidRDefault="00922B8B" w:rsidP="00922B8B">
      <w:pPr>
        <w:pStyle w:val="enumlev1"/>
        <w:rPr>
          <w:lang w:val="en-US"/>
        </w:rPr>
      </w:pPr>
      <w:r>
        <w:rPr>
          <w:lang w:val="en-US"/>
        </w:rPr>
        <w:t>–</w:t>
      </w:r>
      <w:r>
        <w:rPr>
          <w:lang w:val="en-US"/>
        </w:rPr>
        <w:tab/>
        <w:t>the radiocommunication services involved and the minimum protection ratio determined in every frequency band;</w:t>
      </w:r>
    </w:p>
    <w:p w:rsidR="00922B8B" w:rsidRDefault="00922B8B" w:rsidP="00922B8B">
      <w:pPr>
        <w:pStyle w:val="enumlev1"/>
        <w:rPr>
          <w:lang w:val="en-US"/>
        </w:rPr>
      </w:pPr>
      <w:r>
        <w:rPr>
          <w:lang w:val="en-US"/>
        </w:rPr>
        <w:t>–</w:t>
      </w:r>
      <w:r>
        <w:rPr>
          <w:lang w:val="en-US"/>
        </w:rPr>
        <w:tab/>
        <w:t>the type of environment where transmitters could be found (urban, suburban, rural, etc.);</w:t>
      </w:r>
    </w:p>
    <w:p w:rsidR="00922B8B" w:rsidRDefault="00922B8B" w:rsidP="00922B8B">
      <w:pPr>
        <w:pStyle w:val="enumlev1"/>
        <w:rPr>
          <w:lang w:val="en-US"/>
        </w:rPr>
      </w:pPr>
      <w:r>
        <w:rPr>
          <w:lang w:val="en-US"/>
        </w:rPr>
        <w:t>–</w:t>
      </w:r>
      <w:r>
        <w:rPr>
          <w:lang w:val="en-US"/>
        </w:rPr>
        <w:tab/>
        <w:t>the type of transmitter;</w:t>
      </w:r>
    </w:p>
    <w:p w:rsidR="00922B8B" w:rsidRDefault="00922B8B" w:rsidP="00922B8B">
      <w:pPr>
        <w:pStyle w:val="enumlev1"/>
        <w:rPr>
          <w:lang w:val="en-US"/>
        </w:rPr>
      </w:pPr>
      <w:r>
        <w:rPr>
          <w:lang w:val="en-US"/>
        </w:rPr>
        <w:t>–</w:t>
      </w:r>
      <w:r>
        <w:rPr>
          <w:lang w:val="en-US"/>
        </w:rPr>
        <w:tab/>
        <w:t>the minimum distance between the transmitter in question and the potential victim radio receiver;</w:t>
      </w:r>
    </w:p>
    <w:p w:rsidR="00922B8B" w:rsidRDefault="00922B8B" w:rsidP="00922B8B">
      <w:pPr>
        <w:pStyle w:val="enumlev1"/>
        <w:rPr>
          <w:lang w:val="en-US"/>
        </w:rPr>
      </w:pPr>
      <w:r>
        <w:rPr>
          <w:lang w:val="en-US"/>
        </w:rPr>
        <w:t>–</w:t>
      </w:r>
      <w:r>
        <w:rPr>
          <w:lang w:val="en-US"/>
        </w:rPr>
        <w:tab/>
        <w:t>all possible decouplings between the antenna of the interfering transmitting antenna at the reception frequency and the receiving antenna of the radio receiver including the propagation model, polarization decoupling and other decoupling factors;</w:t>
      </w:r>
    </w:p>
    <w:p w:rsidR="00922B8B" w:rsidRDefault="00922B8B" w:rsidP="00922B8B">
      <w:pPr>
        <w:pStyle w:val="enumlev1"/>
        <w:rPr>
          <w:lang w:val="en-US"/>
        </w:rPr>
      </w:pPr>
      <w:r>
        <w:rPr>
          <w:lang w:val="en-US"/>
        </w:rPr>
        <w:t>–</w:t>
      </w:r>
      <w:r>
        <w:rPr>
          <w:lang w:val="en-US"/>
        </w:rPr>
        <w:tab/>
        <w:t>the probability of occurrence of the spurious radiation of the transmitter when the receiver is active;</w:t>
      </w:r>
    </w:p>
    <w:p w:rsidR="00922B8B" w:rsidRDefault="00922B8B" w:rsidP="00922B8B">
      <w:pPr>
        <w:pStyle w:val="enumlev1"/>
        <w:rPr>
          <w:lang w:val="en-US"/>
        </w:rPr>
      </w:pPr>
      <w:r>
        <w:rPr>
          <w:lang w:val="en-US"/>
        </w:rPr>
        <w:t>–</w:t>
      </w:r>
      <w:r>
        <w:rPr>
          <w:lang w:val="en-US"/>
        </w:rPr>
        <w:tab/>
        <w:t>the fact that a transmitter is active or idle, or that there are simultaneous active transmitters;</w:t>
      </w:r>
    </w:p>
    <w:p w:rsidR="00922B8B" w:rsidRDefault="00922B8B" w:rsidP="00922B8B">
      <w:pPr>
        <w:rPr>
          <w:lang w:val="en-US"/>
        </w:rPr>
      </w:pPr>
      <w:r>
        <w:rPr>
          <w:lang w:val="en-US"/>
        </w:rPr>
        <w:t>n)</w:t>
      </w:r>
      <w:r>
        <w:rPr>
          <w:lang w:val="en-US"/>
        </w:rPr>
        <w:tab/>
        <w:t>that some space stations have active antennas and the measurement of power as supplied to the antenna transmission line cannot cover emissions created within the antenna. For such space stations, the determination of field strength or pfd at a distance should be established by administrations to aid in determining when an emission is likely to cause interference to other authorized services;</w:t>
      </w:r>
    </w:p>
    <w:p w:rsidR="00922B8B" w:rsidRDefault="00922B8B" w:rsidP="00922B8B">
      <w:pPr>
        <w:pStyle w:val="enumlev1"/>
        <w:ind w:left="0" w:firstLine="0"/>
        <w:rPr>
          <w:lang w:val="en-US"/>
        </w:rPr>
      </w:pPr>
      <w:r>
        <w:rPr>
          <w:lang w:val="en-US"/>
        </w:rPr>
        <w:t>o)</w:t>
      </w:r>
      <w:r>
        <w:rPr>
          <w:lang w:val="en-US"/>
        </w:rPr>
        <w:tab/>
        <w:t>that spurious domain emissions may exist in the whole radio spectrum, but practical difficulties may dictate a frequency limit above which they need not to be measured;</w:t>
      </w:r>
    </w:p>
    <w:p w:rsidR="00922B8B" w:rsidRDefault="00922B8B" w:rsidP="00922B8B">
      <w:pPr>
        <w:pStyle w:val="enumlev1"/>
        <w:ind w:left="0" w:firstLine="0"/>
        <w:rPr>
          <w:lang w:val="en-US"/>
        </w:rPr>
      </w:pPr>
      <w:r>
        <w:rPr>
          <w:lang w:val="en-US"/>
        </w:rPr>
        <w:t>p)</w:t>
      </w:r>
      <w:r>
        <w:rPr>
          <w:lang w:val="en-US"/>
        </w:rPr>
        <w:tab/>
        <w:t>that Recommendation ITU-R SM.1539 deals with variation of the boundary between the out-of-band and spurious domains,</w:t>
      </w:r>
    </w:p>
    <w:p w:rsidR="00922B8B" w:rsidRDefault="00922B8B" w:rsidP="00922B8B">
      <w:pPr>
        <w:pStyle w:val="Call"/>
        <w:rPr>
          <w:lang w:val="en-US"/>
        </w:rPr>
      </w:pPr>
      <w:r>
        <w:rPr>
          <w:lang w:val="en-US"/>
        </w:rPr>
        <w:lastRenderedPageBreak/>
        <w:t>noting</w:t>
      </w:r>
    </w:p>
    <w:p w:rsidR="00922B8B" w:rsidRDefault="00922B8B" w:rsidP="00922B8B">
      <w:pPr>
        <w:keepLines/>
        <w:rPr>
          <w:lang w:val="en-US"/>
        </w:rPr>
      </w:pPr>
      <w:r>
        <w:rPr>
          <w:lang w:val="en-US"/>
        </w:rPr>
        <w:t>a)</w:t>
      </w:r>
      <w:r>
        <w:rPr>
          <w:lang w:val="en-US"/>
        </w:rPr>
        <w:tab/>
        <w:t>that the studies required by the new Question ITU-R 222/1, approved by the Radiocommunication Assembly 2000, could have formal and substantial impact to basic definitions used in this Recommendation. It may be necessary to revise this Recommendation in the future to reflect the results of these studies,</w:t>
      </w:r>
    </w:p>
    <w:p w:rsidR="00922B8B" w:rsidRPr="002B7B9D" w:rsidRDefault="00922B8B" w:rsidP="00922B8B">
      <w:pPr>
        <w:pStyle w:val="Call"/>
        <w:rPr>
          <w:lang w:val="en-US"/>
        </w:rPr>
      </w:pPr>
      <w:r w:rsidRPr="002B7B9D">
        <w:rPr>
          <w:lang w:val="en-US"/>
        </w:rPr>
        <w:t>recommends</w:t>
      </w:r>
    </w:p>
    <w:p w:rsidR="00922B8B" w:rsidRDefault="00922B8B" w:rsidP="00922B8B">
      <w:pPr>
        <w:rPr>
          <w:iCs/>
          <w:lang w:val="en-US"/>
        </w:rPr>
      </w:pPr>
      <w:r>
        <w:rPr>
          <w:lang w:val="en-US"/>
        </w:rPr>
        <w:t xml:space="preserve">that the </w:t>
      </w:r>
      <w:r>
        <w:rPr>
          <w:iCs/>
          <w:lang w:val="en-US"/>
        </w:rPr>
        <w:t>following should be used when spurious domain emission limits, and their methods of measurement, are applied:</w:t>
      </w:r>
    </w:p>
    <w:p w:rsidR="00922B8B" w:rsidRDefault="00922B8B" w:rsidP="00922B8B">
      <w:pPr>
        <w:pStyle w:val="Heading1"/>
        <w:spacing w:before="280"/>
        <w:rPr>
          <w:lang w:val="en-US"/>
        </w:rPr>
      </w:pPr>
      <w:bookmarkStart w:id="4" w:name="_Toc393687540"/>
      <w:bookmarkStart w:id="5" w:name="_Toc394112256"/>
      <w:r>
        <w:rPr>
          <w:lang w:val="en-US"/>
        </w:rPr>
        <w:t>1</w:t>
      </w:r>
      <w:r>
        <w:rPr>
          <w:lang w:val="en-US"/>
        </w:rPr>
        <w:tab/>
        <w:t>Terminology and definitions</w:t>
      </w:r>
      <w:bookmarkEnd w:id="4"/>
      <w:bookmarkEnd w:id="5"/>
    </w:p>
    <w:p w:rsidR="00922B8B" w:rsidRDefault="00922B8B" w:rsidP="00922B8B">
      <w:pPr>
        <w:rPr>
          <w:lang w:val="en-US"/>
        </w:rPr>
      </w:pPr>
      <w:r>
        <w:rPr>
          <w:lang w:val="en-US"/>
        </w:rPr>
        <w:t xml:space="preserve">The following terms and definitions complement those already defined in the RR. (Definitions shown in </w:t>
      </w:r>
      <w:r>
        <w:rPr>
          <w:i/>
          <w:lang w:val="en-US"/>
        </w:rPr>
        <w:t>italics</w:t>
      </w:r>
      <w:r>
        <w:rPr>
          <w:lang w:val="en-US"/>
        </w:rPr>
        <w:t xml:space="preserve"> are a direct quotation from the RR for completeness.)</w:t>
      </w:r>
    </w:p>
    <w:p w:rsidR="00922B8B" w:rsidRDefault="00922B8B" w:rsidP="00922B8B">
      <w:pPr>
        <w:pStyle w:val="Heading2"/>
        <w:rPr>
          <w:lang w:val="en-US"/>
        </w:rPr>
      </w:pPr>
      <w:bookmarkStart w:id="6" w:name="_Toc393687541"/>
      <w:bookmarkStart w:id="7" w:name="_Toc394112257"/>
      <w:r>
        <w:rPr>
          <w:lang w:val="en-US"/>
        </w:rPr>
        <w:t>1.1</w:t>
      </w:r>
      <w:r>
        <w:rPr>
          <w:lang w:val="en-US"/>
        </w:rPr>
        <w:tab/>
        <w:t>Spurious emission (RR Article 1, No. 1.145)</w:t>
      </w:r>
      <w:bookmarkEnd w:id="6"/>
      <w:bookmarkEnd w:id="7"/>
    </w:p>
    <w:p w:rsidR="00922B8B" w:rsidRDefault="00922B8B" w:rsidP="00922B8B">
      <w:pPr>
        <w:rPr>
          <w:i/>
          <w:iCs/>
          <w:lang w:val="en-US"/>
        </w:rPr>
      </w:pPr>
      <w:r>
        <w:rPr>
          <w:i/>
          <w:iCs/>
          <w:lang w:val="en-US"/>
        </w:rPr>
        <w:t>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w:t>
      </w:r>
      <w:r>
        <w:rPr>
          <w:i/>
          <w:iCs/>
          <w:lang w:val="en-US"/>
        </w:rPr>
        <w:noBreakHyphen/>
        <w:t>of</w:t>
      </w:r>
      <w:r>
        <w:rPr>
          <w:i/>
          <w:iCs/>
          <w:lang w:val="en-US"/>
        </w:rPr>
        <w:noBreakHyphen/>
        <w:t>band emissions.</w:t>
      </w:r>
    </w:p>
    <w:p w:rsidR="00922B8B" w:rsidRDefault="00922B8B" w:rsidP="00922B8B">
      <w:pPr>
        <w:pStyle w:val="Heading3"/>
        <w:rPr>
          <w:lang w:val="en-US"/>
        </w:rPr>
      </w:pPr>
      <w:bookmarkStart w:id="8" w:name="_Toc393687542"/>
      <w:bookmarkStart w:id="9" w:name="_Toc394112258"/>
      <w:r>
        <w:rPr>
          <w:lang w:val="en-US"/>
        </w:rPr>
        <w:t>1.1.1</w:t>
      </w:r>
      <w:r>
        <w:rPr>
          <w:lang w:val="en-US"/>
        </w:rPr>
        <w:tab/>
        <w:t>Harmonic emissions</w:t>
      </w:r>
      <w:bookmarkEnd w:id="8"/>
      <w:bookmarkEnd w:id="9"/>
    </w:p>
    <w:p w:rsidR="00922B8B" w:rsidRDefault="00922B8B" w:rsidP="00922B8B">
      <w:pPr>
        <w:rPr>
          <w:lang w:val="en-US"/>
        </w:rPr>
      </w:pPr>
      <w:r>
        <w:rPr>
          <w:lang w:val="en-US"/>
        </w:rPr>
        <w:t>Spurious emissions at frequencies which are whole multiples of the centre frequency emissions.</w:t>
      </w:r>
    </w:p>
    <w:p w:rsidR="00922B8B" w:rsidRDefault="00922B8B" w:rsidP="00922B8B">
      <w:pPr>
        <w:pStyle w:val="Heading3"/>
        <w:rPr>
          <w:lang w:val="en-US"/>
        </w:rPr>
      </w:pPr>
      <w:bookmarkStart w:id="10" w:name="_Toc393687543"/>
      <w:bookmarkStart w:id="11" w:name="_Toc394112259"/>
      <w:r>
        <w:rPr>
          <w:lang w:val="en-US"/>
        </w:rPr>
        <w:t>1.1.2</w:t>
      </w:r>
      <w:r>
        <w:rPr>
          <w:lang w:val="en-US"/>
        </w:rPr>
        <w:tab/>
        <w:t>Parasitic emissions</w:t>
      </w:r>
      <w:bookmarkEnd w:id="10"/>
      <w:bookmarkEnd w:id="11"/>
    </w:p>
    <w:p w:rsidR="00922B8B" w:rsidRDefault="00922B8B" w:rsidP="00922B8B">
      <w:pPr>
        <w:rPr>
          <w:lang w:val="en-US"/>
        </w:rPr>
      </w:pPr>
      <w:r>
        <w:rPr>
          <w:lang w:val="en-US"/>
        </w:rPr>
        <w:t>Spurious emissions, accidentally generated at frequencies which are independent both of the carrier or characteristic frequency of an emission and of frequencies of oscillations resulting from the generation of the carrier or characteristic frequency.</w:t>
      </w:r>
    </w:p>
    <w:p w:rsidR="00922B8B" w:rsidRDefault="00922B8B" w:rsidP="00922B8B">
      <w:pPr>
        <w:pStyle w:val="Heading3"/>
        <w:rPr>
          <w:lang w:val="en-US"/>
        </w:rPr>
      </w:pPr>
      <w:bookmarkStart w:id="12" w:name="_Toc393687544"/>
      <w:bookmarkStart w:id="13" w:name="_Toc394112260"/>
      <w:r>
        <w:rPr>
          <w:lang w:val="en-US"/>
        </w:rPr>
        <w:t>1.1.3</w:t>
      </w:r>
      <w:r>
        <w:rPr>
          <w:lang w:val="en-US"/>
        </w:rPr>
        <w:tab/>
        <w:t>Intermodulation products</w:t>
      </w:r>
      <w:bookmarkEnd w:id="12"/>
      <w:bookmarkEnd w:id="13"/>
    </w:p>
    <w:p w:rsidR="00922B8B" w:rsidRDefault="00922B8B" w:rsidP="00922B8B">
      <w:pPr>
        <w:rPr>
          <w:lang w:val="en-US"/>
        </w:rPr>
      </w:pPr>
      <w:r>
        <w:rPr>
          <w:lang w:val="en-US"/>
        </w:rPr>
        <w:t>Spurious intermodulation products result from intermodulation between:</w:t>
      </w:r>
    </w:p>
    <w:p w:rsidR="00922B8B" w:rsidRDefault="00922B8B" w:rsidP="00922B8B">
      <w:pPr>
        <w:pStyle w:val="enumlev1"/>
        <w:rPr>
          <w:lang w:val="en-US"/>
        </w:rPr>
      </w:pPr>
      <w:r>
        <w:rPr>
          <w:lang w:val="en-US"/>
        </w:rPr>
        <w:t>–</w:t>
      </w:r>
      <w:r>
        <w:rPr>
          <w:lang w:val="en-US"/>
        </w:rPr>
        <w:tab/>
        <w:t>the oscillations at the carrier, characteristic, or harmonic frequencies of an emission, or the oscillations resulting from the generation of the carrier or characteristic frequency; and</w:t>
      </w:r>
    </w:p>
    <w:p w:rsidR="00922B8B" w:rsidRDefault="00922B8B" w:rsidP="00922B8B">
      <w:pPr>
        <w:pStyle w:val="enumlev1"/>
        <w:rPr>
          <w:lang w:val="en-US"/>
        </w:rPr>
      </w:pPr>
      <w:r>
        <w:rPr>
          <w:lang w:val="en-US"/>
        </w:rPr>
        <w:t>–</w:t>
      </w:r>
      <w:r>
        <w:rPr>
          <w:lang w:val="en-US"/>
        </w:rPr>
        <w:tab/>
        <w:t>oscillations of the same nature, of one or several other emissions, originating from the same transmitting system or from other transmitters or transmitting systems.</w:t>
      </w:r>
    </w:p>
    <w:p w:rsidR="00922B8B" w:rsidRDefault="00922B8B" w:rsidP="00922B8B">
      <w:pPr>
        <w:pStyle w:val="Heading3"/>
        <w:rPr>
          <w:lang w:val="en-US"/>
        </w:rPr>
      </w:pPr>
      <w:bookmarkStart w:id="14" w:name="_Toc393687545"/>
      <w:bookmarkStart w:id="15" w:name="_Toc394112261"/>
      <w:r>
        <w:rPr>
          <w:lang w:val="en-US"/>
        </w:rPr>
        <w:t>1.1.4</w:t>
      </w:r>
      <w:r>
        <w:rPr>
          <w:lang w:val="en-US"/>
        </w:rPr>
        <w:tab/>
        <w:t>Frequency conversion products</w:t>
      </w:r>
      <w:bookmarkEnd w:id="14"/>
      <w:bookmarkEnd w:id="15"/>
    </w:p>
    <w:p w:rsidR="00922B8B" w:rsidRDefault="00922B8B" w:rsidP="00922B8B">
      <w:pPr>
        <w:rPr>
          <w:lang w:val="en-US"/>
        </w:rPr>
      </w:pPr>
      <w:r>
        <w:rPr>
          <w:lang w:val="en-US"/>
        </w:rPr>
        <w:t>Spurious emissions, not including harmonic emissions, at the frequencies, or whole multiples thereof, or sums and differences of multiples thereof, of any oscillations generated to produce the carrier or characteristic frequency of an emission.</w:t>
      </w:r>
    </w:p>
    <w:p w:rsidR="00922B8B" w:rsidRDefault="00922B8B" w:rsidP="00922B8B">
      <w:pPr>
        <w:pStyle w:val="Heading3"/>
        <w:rPr>
          <w:lang w:val="en-US"/>
        </w:rPr>
      </w:pPr>
      <w:bookmarkStart w:id="16" w:name="_Toc393687546"/>
      <w:bookmarkStart w:id="17" w:name="_Toc394112262"/>
      <w:r>
        <w:rPr>
          <w:lang w:val="en-US"/>
        </w:rPr>
        <w:t>1.1.5</w:t>
      </w:r>
      <w:r>
        <w:rPr>
          <w:lang w:val="en-US"/>
        </w:rPr>
        <w:tab/>
        <w:t>Broadband and narrow-band emission</w:t>
      </w:r>
      <w:bookmarkEnd w:id="16"/>
      <w:bookmarkEnd w:id="17"/>
      <w:r>
        <w:rPr>
          <w:lang w:val="en-US"/>
        </w:rPr>
        <w:t xml:space="preserve"> with respect to the measurement apparatus</w:t>
      </w:r>
    </w:p>
    <w:p w:rsidR="00922B8B" w:rsidRDefault="00922B8B" w:rsidP="00922B8B">
      <w:pPr>
        <w:rPr>
          <w:lang w:val="en-US"/>
        </w:rPr>
      </w:pPr>
      <w:r>
        <w:rPr>
          <w:lang w:val="en-US"/>
        </w:rPr>
        <w:t>A broadband emission is an emission which has “a bandwidth greater than a particular measuring apparatus or receiver” (see the International Electrotechnical Vocabulary (IEV)/International Electrotechnical Commission (IEC) 161</w:t>
      </w:r>
      <w:r>
        <w:rPr>
          <w:lang w:val="en-US"/>
        </w:rPr>
        <w:noBreakHyphen/>
        <w:t>06</w:t>
      </w:r>
      <w:r>
        <w:rPr>
          <w:lang w:val="en-US"/>
        </w:rPr>
        <w:noBreakHyphen/>
        <w:t>11).</w:t>
      </w:r>
    </w:p>
    <w:p w:rsidR="00922B8B" w:rsidRDefault="00922B8B" w:rsidP="00922B8B">
      <w:pPr>
        <w:rPr>
          <w:lang w:val="en-US"/>
        </w:rPr>
      </w:pPr>
      <w:r>
        <w:rPr>
          <w:lang w:val="en-US"/>
        </w:rPr>
        <w:t>A narrow-band emission is an emission which has “a bandwidth less than a particular measuring apparatus or receiver” (see IEV/IEC, 161</w:t>
      </w:r>
      <w:r>
        <w:rPr>
          <w:lang w:val="en-US"/>
        </w:rPr>
        <w:noBreakHyphen/>
        <w:t>06</w:t>
      </w:r>
      <w:r>
        <w:rPr>
          <w:lang w:val="en-US"/>
        </w:rPr>
        <w:noBreakHyphen/>
        <w:t>13).</w:t>
      </w:r>
    </w:p>
    <w:p w:rsidR="00922B8B" w:rsidRDefault="00922B8B" w:rsidP="00922B8B">
      <w:pPr>
        <w:pStyle w:val="Heading2"/>
        <w:rPr>
          <w:lang w:val="en-US"/>
        </w:rPr>
      </w:pPr>
      <w:bookmarkStart w:id="18" w:name="_Toc393687547"/>
      <w:bookmarkStart w:id="19" w:name="_Toc394112263"/>
      <w:r>
        <w:rPr>
          <w:lang w:val="en-US"/>
        </w:rPr>
        <w:lastRenderedPageBreak/>
        <w:t>1.2</w:t>
      </w:r>
      <w:r>
        <w:rPr>
          <w:lang w:val="en-US"/>
        </w:rPr>
        <w:tab/>
        <w:t>Out-of-band emission (RR Article 1, No. 1.144)</w:t>
      </w:r>
      <w:bookmarkEnd w:id="18"/>
      <w:bookmarkEnd w:id="19"/>
    </w:p>
    <w:p w:rsidR="00922B8B" w:rsidRDefault="00922B8B" w:rsidP="00922B8B">
      <w:pPr>
        <w:rPr>
          <w:i/>
          <w:lang w:val="en-US"/>
        </w:rPr>
      </w:pPr>
      <w:r>
        <w:rPr>
          <w:i/>
          <w:lang w:val="en-US"/>
        </w:rPr>
        <w:t>Emission on a frequency or frequencies immediately outside the necessary bandwidth which results from the modulation process, but excluding spurious emissions.</w:t>
      </w:r>
    </w:p>
    <w:p w:rsidR="00922B8B" w:rsidRDefault="00922B8B" w:rsidP="00922B8B">
      <w:pPr>
        <w:pStyle w:val="Heading2"/>
        <w:rPr>
          <w:lang w:val="en-US"/>
        </w:rPr>
      </w:pPr>
      <w:bookmarkStart w:id="20" w:name="_Toc393687548"/>
      <w:bookmarkStart w:id="21" w:name="_Toc394112264"/>
      <w:r>
        <w:rPr>
          <w:lang w:val="en-US"/>
        </w:rPr>
        <w:t>1.3</w:t>
      </w:r>
      <w:r>
        <w:rPr>
          <w:lang w:val="en-US"/>
        </w:rPr>
        <w:tab/>
        <w:t>Unwanted emissions (RR Article 1, No. 1.146)</w:t>
      </w:r>
      <w:bookmarkEnd w:id="20"/>
      <w:bookmarkEnd w:id="21"/>
    </w:p>
    <w:p w:rsidR="00922B8B" w:rsidRDefault="00922B8B" w:rsidP="00922B8B">
      <w:pPr>
        <w:rPr>
          <w:i/>
          <w:lang w:val="en-US"/>
        </w:rPr>
      </w:pPr>
      <w:r>
        <w:rPr>
          <w:i/>
          <w:lang w:val="en-US"/>
        </w:rPr>
        <w:t>Consist of spurious emissions and out-of-band emissions.</w:t>
      </w:r>
    </w:p>
    <w:p w:rsidR="00922B8B" w:rsidRDefault="00922B8B" w:rsidP="00922B8B">
      <w:pPr>
        <w:pStyle w:val="Heading2"/>
        <w:rPr>
          <w:i/>
          <w:lang w:val="en-US"/>
        </w:rPr>
      </w:pPr>
      <w:r>
        <w:rPr>
          <w:bCs/>
          <w:lang w:val="en-US"/>
        </w:rPr>
        <w:t>1.3</w:t>
      </w:r>
      <w:r>
        <w:rPr>
          <w:bCs/>
          <w:i/>
          <w:lang w:val="en-US"/>
        </w:rPr>
        <w:t>bis</w:t>
      </w:r>
      <w:r>
        <w:rPr>
          <w:lang w:val="en-US"/>
        </w:rPr>
        <w:tab/>
        <w:t>Out-of-band domain</w:t>
      </w:r>
      <w:r>
        <w:rPr>
          <w:rStyle w:val="FootnoteReference"/>
          <w:lang w:val="en-US"/>
        </w:rPr>
        <w:footnoteReference w:customMarkFollows="1" w:id="4"/>
        <w:t>2</w:t>
      </w:r>
    </w:p>
    <w:p w:rsidR="00922B8B" w:rsidRDefault="00922B8B" w:rsidP="00922B8B">
      <w:pPr>
        <w:rPr>
          <w:lang w:val="en-US"/>
        </w:rPr>
      </w:pPr>
      <w:r>
        <w:rPr>
          <w:lang w:val="en-US"/>
        </w:rPr>
        <w:t>(of an emission):</w:t>
      </w:r>
      <w:r>
        <w:rPr>
          <w:i/>
          <w:lang w:val="en-US"/>
        </w:rPr>
        <w:t xml:space="preserve"> </w:t>
      </w:r>
      <w:r>
        <w:rPr>
          <w:lang w:val="en-US"/>
        </w:rPr>
        <w:t xml:space="preserve">The frequency range, immediately outside the necessary bandwidth but excluding the </w:t>
      </w:r>
      <w:r>
        <w:rPr>
          <w:i/>
          <w:lang w:val="en-US"/>
        </w:rPr>
        <w:t>spurious domain</w:t>
      </w:r>
      <w:r>
        <w:rPr>
          <w:lang w:val="en-US"/>
        </w:rPr>
        <w:t xml:space="preserve">, in which </w:t>
      </w:r>
      <w:r>
        <w:rPr>
          <w:i/>
          <w:lang w:val="en-US"/>
        </w:rPr>
        <w:t>out</w:t>
      </w:r>
      <w:r>
        <w:rPr>
          <w:i/>
          <w:lang w:val="en-US"/>
        </w:rPr>
        <w:noBreakHyphen/>
        <w:t>of</w:t>
      </w:r>
      <w:r>
        <w:rPr>
          <w:i/>
          <w:lang w:val="en-US"/>
        </w:rPr>
        <w:noBreakHyphen/>
        <w:t>band emissions</w:t>
      </w:r>
      <w:r>
        <w:rPr>
          <w:lang w:val="en-US"/>
        </w:rPr>
        <w:t xml:space="preserve"> generally predominate.</w:t>
      </w:r>
    </w:p>
    <w:p w:rsidR="00922B8B" w:rsidRDefault="00922B8B" w:rsidP="00922B8B">
      <w:pPr>
        <w:pStyle w:val="Note"/>
        <w:rPr>
          <w:lang w:val="en-US"/>
        </w:rPr>
      </w:pPr>
      <w:r>
        <w:rPr>
          <w:lang w:val="en-US"/>
        </w:rPr>
        <w:t>NOTE 1 </w:t>
      </w:r>
      <w:r>
        <w:sym w:font="Symbol" w:char="F02D"/>
      </w:r>
      <w:r>
        <w:rPr>
          <w:lang w:val="en-US"/>
        </w:rPr>
        <w:t> Out</w:t>
      </w:r>
      <w:r>
        <w:rPr>
          <w:lang w:val="en-US"/>
        </w:rPr>
        <w:noBreakHyphen/>
        <w:t>of</w:t>
      </w:r>
      <w:r>
        <w:rPr>
          <w:lang w:val="en-US"/>
        </w:rPr>
        <w:noBreakHyphen/>
        <w:t xml:space="preserve">band </w:t>
      </w:r>
      <w:r>
        <w:rPr>
          <w:i/>
          <w:lang w:val="en-US"/>
        </w:rPr>
        <w:t>emissions</w:t>
      </w:r>
      <w:r>
        <w:rPr>
          <w:lang w:val="en-US"/>
        </w:rPr>
        <w:t>, defined based on their source, occur in the out</w:t>
      </w:r>
      <w:r>
        <w:rPr>
          <w:lang w:val="en-US"/>
        </w:rPr>
        <w:noBreakHyphen/>
        <w:t>of</w:t>
      </w:r>
      <w:r>
        <w:rPr>
          <w:lang w:val="en-US"/>
        </w:rPr>
        <w:noBreakHyphen/>
        <w:t>band domain and, to a lesser extent, in the spurious domain. Spurious emissions likewise may occur in the out</w:t>
      </w:r>
      <w:r>
        <w:rPr>
          <w:lang w:val="en-US"/>
        </w:rPr>
        <w:noBreakHyphen/>
        <w:t>of</w:t>
      </w:r>
      <w:r>
        <w:rPr>
          <w:lang w:val="en-US"/>
        </w:rPr>
        <w:noBreakHyphen/>
        <w:t>band domain as well as in the spurious domain.</w:t>
      </w:r>
    </w:p>
    <w:p w:rsidR="00922B8B" w:rsidRDefault="00922B8B" w:rsidP="00922B8B">
      <w:pPr>
        <w:pStyle w:val="Heading2"/>
        <w:rPr>
          <w:i/>
          <w:lang w:val="en-US"/>
        </w:rPr>
      </w:pPr>
      <w:r>
        <w:rPr>
          <w:bCs/>
          <w:lang w:val="en-US"/>
        </w:rPr>
        <w:t>1.3</w:t>
      </w:r>
      <w:r>
        <w:rPr>
          <w:bCs/>
          <w:i/>
          <w:lang w:val="en-US"/>
        </w:rPr>
        <w:t>ter</w:t>
      </w:r>
      <w:r>
        <w:rPr>
          <w:bCs/>
          <w:lang w:val="en-US"/>
        </w:rPr>
        <w:tab/>
      </w:r>
      <w:r>
        <w:rPr>
          <w:lang w:val="en-US"/>
        </w:rPr>
        <w:t>Spurious domain</w:t>
      </w:r>
      <w:r>
        <w:rPr>
          <w:position w:val="6"/>
          <w:sz w:val="20"/>
          <w:lang w:val="en-US"/>
        </w:rPr>
        <w:t>2</w:t>
      </w:r>
    </w:p>
    <w:p w:rsidR="00922B8B" w:rsidRDefault="00922B8B" w:rsidP="00922B8B">
      <w:pPr>
        <w:rPr>
          <w:lang w:val="en-US"/>
        </w:rPr>
      </w:pPr>
      <w:r>
        <w:rPr>
          <w:lang w:val="en-US"/>
        </w:rPr>
        <w:t>(of an emission):</w:t>
      </w:r>
      <w:r>
        <w:rPr>
          <w:i/>
          <w:lang w:val="en-US"/>
        </w:rPr>
        <w:t xml:space="preserve"> </w:t>
      </w:r>
      <w:r>
        <w:rPr>
          <w:lang w:val="en-US"/>
        </w:rPr>
        <w:t xml:space="preserve">The frequency range beyond the </w:t>
      </w:r>
      <w:r>
        <w:rPr>
          <w:i/>
          <w:lang w:val="en-US"/>
        </w:rPr>
        <w:t>out</w:t>
      </w:r>
      <w:r>
        <w:rPr>
          <w:i/>
          <w:lang w:val="en-US"/>
        </w:rPr>
        <w:noBreakHyphen/>
        <w:t>of</w:t>
      </w:r>
      <w:r>
        <w:rPr>
          <w:i/>
          <w:lang w:val="en-US"/>
        </w:rPr>
        <w:noBreakHyphen/>
        <w:t>band domain</w:t>
      </w:r>
      <w:r>
        <w:rPr>
          <w:lang w:val="en-US"/>
        </w:rPr>
        <w:t xml:space="preserve"> in which </w:t>
      </w:r>
      <w:r>
        <w:rPr>
          <w:i/>
          <w:lang w:val="en-US"/>
        </w:rPr>
        <w:t>spurious emissions</w:t>
      </w:r>
      <w:r>
        <w:rPr>
          <w:lang w:val="en-US"/>
        </w:rPr>
        <w:t xml:space="preserve"> generally predominate.</w:t>
      </w:r>
    </w:p>
    <w:p w:rsidR="00922B8B" w:rsidRDefault="00922B8B" w:rsidP="00922B8B">
      <w:pPr>
        <w:pStyle w:val="Heading2"/>
        <w:rPr>
          <w:lang w:val="en-US"/>
        </w:rPr>
      </w:pPr>
      <w:bookmarkStart w:id="22" w:name="_Toc393687549"/>
      <w:bookmarkStart w:id="23" w:name="_Toc394112265"/>
      <w:r>
        <w:rPr>
          <w:lang w:val="en-US"/>
        </w:rPr>
        <w:t>1.4</w:t>
      </w:r>
      <w:r>
        <w:rPr>
          <w:lang w:val="en-US"/>
        </w:rPr>
        <w:tab/>
        <w:t>Necessary bandwidth (RR Article 1, No. 1.152)</w:t>
      </w:r>
      <w:bookmarkEnd w:id="22"/>
      <w:bookmarkEnd w:id="23"/>
    </w:p>
    <w:p w:rsidR="00922B8B" w:rsidRDefault="00922B8B" w:rsidP="00922B8B">
      <w:pPr>
        <w:rPr>
          <w:i/>
          <w:lang w:val="en-US"/>
        </w:rPr>
      </w:pPr>
      <w:r>
        <w:rPr>
          <w:i/>
          <w:lang w:val="en-US"/>
        </w:rPr>
        <w:t>For a given class of emission, the width of the frequency band which is just sufficient to ensure the transmission of information at the rate and with the quality required under specified conditions.</w:t>
      </w:r>
    </w:p>
    <w:p w:rsidR="00922B8B" w:rsidRDefault="00922B8B" w:rsidP="00922B8B">
      <w:pPr>
        <w:rPr>
          <w:lang w:val="en-US"/>
        </w:rPr>
      </w:pPr>
      <w:r>
        <w:rPr>
          <w:lang w:val="en-US"/>
        </w:rPr>
        <w:t>For application to multi-channel or multi-carrier transmitters/transponders, where several carriers may be transmitted simultaneously from a final output amplifier or an active antenna, the necessary bandwidth is taken to be the transmitter or transponder bandwidth, as its 3 dB bandwidth. This does not apply to base stations in the mobile service or to fixed wireless access base stations using mobile technology.</w:t>
      </w:r>
    </w:p>
    <w:p w:rsidR="00922B8B" w:rsidRDefault="00922B8B" w:rsidP="00922B8B">
      <w:pPr>
        <w:rPr>
          <w:lang w:val="en-US"/>
        </w:rPr>
      </w:pPr>
      <w:r>
        <w:rPr>
          <w:lang w:val="en-US"/>
        </w:rPr>
        <w:t>For fixed service, Recommendation ITU-R F.1191 is to be used to calculate the necessary bandwidth in the case of fixed digital radio multi-carrier systems.</w:t>
      </w:r>
    </w:p>
    <w:p w:rsidR="00922B8B" w:rsidRDefault="00922B8B" w:rsidP="00922B8B">
      <w:pPr>
        <w:rPr>
          <w:lang w:val="en-US"/>
        </w:rPr>
      </w:pPr>
      <w:r>
        <w:rPr>
          <w:lang w:val="en-US"/>
        </w:rPr>
        <w:t>For the radiodetermination service, the necessary bandwidth of frequency-agile radars is taken to be the part of the allocated band over which the carrier frequencies of those radars tune.</w:t>
      </w:r>
    </w:p>
    <w:p w:rsidR="00922B8B" w:rsidRDefault="00922B8B" w:rsidP="00922B8B">
      <w:pPr>
        <w:pStyle w:val="Heading2"/>
        <w:rPr>
          <w:lang w:val="en-US"/>
        </w:rPr>
      </w:pPr>
      <w:r>
        <w:rPr>
          <w:lang w:val="en-US"/>
        </w:rPr>
        <w:t>1.5</w:t>
      </w:r>
      <w:r>
        <w:rPr>
          <w:lang w:val="en-US"/>
        </w:rPr>
        <w:tab/>
        <w:t>Active state of a transmitter</w:t>
      </w:r>
    </w:p>
    <w:p w:rsidR="00922B8B" w:rsidRDefault="00922B8B" w:rsidP="00922B8B">
      <w:pPr>
        <w:rPr>
          <w:lang w:val="en-US"/>
        </w:rPr>
      </w:pPr>
      <w:r>
        <w:rPr>
          <w:lang w:val="en-US"/>
        </w:rPr>
        <w:t>That state of a transmission station which produces the authorized emission.</w:t>
      </w:r>
    </w:p>
    <w:p w:rsidR="00922B8B" w:rsidRDefault="00922B8B" w:rsidP="00922B8B">
      <w:pPr>
        <w:pStyle w:val="Heading2"/>
        <w:rPr>
          <w:lang w:val="en-US"/>
        </w:rPr>
      </w:pPr>
      <w:r>
        <w:rPr>
          <w:lang w:val="en-US"/>
        </w:rPr>
        <w:t>1.6</w:t>
      </w:r>
      <w:r>
        <w:rPr>
          <w:lang w:val="en-US"/>
        </w:rPr>
        <w:tab/>
        <w:t>Idle or standby state of a transmitter</w:t>
      </w:r>
    </w:p>
    <w:p w:rsidR="00922B8B" w:rsidRDefault="00922B8B" w:rsidP="00922B8B">
      <w:pPr>
        <w:rPr>
          <w:lang w:val="en-US"/>
        </w:rPr>
      </w:pPr>
      <w:r>
        <w:rPr>
          <w:lang w:val="en-US"/>
        </w:rPr>
        <w:t>That state of a transmission station where the transmitter is available for traffic but is not in active state.</w:t>
      </w:r>
    </w:p>
    <w:p w:rsidR="00922B8B" w:rsidRDefault="00922B8B" w:rsidP="00922B8B">
      <w:pPr>
        <w:rPr>
          <w:lang w:val="en-US"/>
        </w:rPr>
      </w:pPr>
      <w:r>
        <w:rPr>
          <w:lang w:val="en-US"/>
        </w:rPr>
        <w:lastRenderedPageBreak/>
        <w:t>Primary radars are not considered to operate in a standby state since the transmitter is in an active state during operation. Also, pulsed radar systems are not considered to be in the standby state during their interpulse intervals. Neither are time division communication systems to be considered to be in the idle or standby state in the interval between time slots.</w:t>
      </w:r>
    </w:p>
    <w:p w:rsidR="00922B8B" w:rsidRDefault="00922B8B" w:rsidP="00922B8B">
      <w:pPr>
        <w:pStyle w:val="Heading1"/>
        <w:rPr>
          <w:lang w:val="en-US"/>
        </w:rPr>
      </w:pPr>
      <w:bookmarkStart w:id="24" w:name="_Toc393687550"/>
      <w:bookmarkStart w:id="25" w:name="_Toc394112266"/>
      <w:r>
        <w:rPr>
          <w:lang w:val="en-US"/>
        </w:rPr>
        <w:t>2</w:t>
      </w:r>
      <w:r>
        <w:rPr>
          <w:lang w:val="en-US"/>
        </w:rPr>
        <w:tab/>
        <w:t>Application of limits</w:t>
      </w:r>
      <w:bookmarkEnd w:id="24"/>
      <w:bookmarkEnd w:id="25"/>
    </w:p>
    <w:p w:rsidR="00922B8B" w:rsidRDefault="00922B8B" w:rsidP="00922B8B">
      <w:pPr>
        <w:rPr>
          <w:lang w:val="en-US"/>
        </w:rPr>
      </w:pPr>
      <w:r>
        <w:rPr>
          <w:b/>
          <w:lang w:val="en-US"/>
        </w:rPr>
        <w:t>2.1</w:t>
      </w:r>
      <w:r>
        <w:rPr>
          <w:lang w:val="en-US"/>
        </w:rPr>
        <w:tab/>
        <w:t>The levels of spurious domain emissions could be expressed in terms of the peak envelope power or in terms of the mean power supplied by the transmitter to the antenna feeder line at the frequencies of the emission concerned, within a defined reference bandwidth, depending on the nature of the radio service of the transmitter.</w:t>
      </w:r>
    </w:p>
    <w:p w:rsidR="00922B8B" w:rsidRDefault="00922B8B" w:rsidP="00922B8B">
      <w:pPr>
        <w:rPr>
          <w:lang w:val="en-US"/>
        </w:rPr>
      </w:pPr>
      <w:r>
        <w:rPr>
          <w:b/>
          <w:lang w:val="en-US"/>
        </w:rPr>
        <w:t>2.2</w:t>
      </w:r>
      <w:r>
        <w:rPr>
          <w:lang w:val="en-US"/>
        </w:rPr>
        <w:tab/>
        <w:t>Alternatively the levels of spurious domain emissions could be expressed in terms of the field strength or pfd on the surface of the Earth, at the frequencies of the spurious domain emission concerned.</w:t>
      </w:r>
    </w:p>
    <w:p w:rsidR="00922B8B" w:rsidRDefault="00922B8B" w:rsidP="00D271DE">
      <w:pPr>
        <w:rPr>
          <w:lang w:val="en-US"/>
        </w:rPr>
      </w:pPr>
      <w:r>
        <w:rPr>
          <w:b/>
          <w:lang w:val="en-US"/>
        </w:rPr>
        <w:t>2.3</w:t>
      </w:r>
      <w:r>
        <w:rPr>
          <w:lang w:val="en-US"/>
        </w:rPr>
        <w:tab/>
        <w:t xml:space="preserve">According to the principles stated in Appendix 3 to the RR, the spurious domain generally consists of frequencies separated from the centre frequency of the emission by 250% or more of the necessary bandwidth of the emission. However, this frequency separation may be dependent on the type of modulation used, the maximum bit rate in the case of digital modulation, the type of transmitter, and frequency coordination factors. For example, in the case of some digital, broadband or pulse-modulated systems, the frequency separation may need to differ from the </w:t>
      </w:r>
      <w:r w:rsidR="00D271DE">
        <w:rPr>
          <w:lang w:val="en-US"/>
        </w:rPr>
        <w:t>±</w:t>
      </w:r>
      <w:r>
        <w:rPr>
          <w:lang w:val="en-US"/>
        </w:rPr>
        <w:t>250% factor. As the RR forbid any radio service to cause harmful interference outside its allocated band, transmitter frequencies should be determined so that out-of-band emissions do not cause harmful interference outside the allocated band in accordance with RR No. 4.5.</w:t>
      </w:r>
    </w:p>
    <w:p w:rsidR="00922B8B" w:rsidRDefault="00922B8B" w:rsidP="00D271DE">
      <w:pPr>
        <w:rPr>
          <w:lang w:val="en-US"/>
        </w:rPr>
      </w:pPr>
      <w:r>
        <w:rPr>
          <w:lang w:val="en-US"/>
        </w:rPr>
        <w:t xml:space="preserve">Alternatively, the </w:t>
      </w:r>
      <w:r w:rsidR="00D271DE">
        <w:rPr>
          <w:lang w:val="en-US"/>
        </w:rPr>
        <w:t>±</w:t>
      </w:r>
      <w:r>
        <w:rPr>
          <w:lang w:val="en-US"/>
        </w:rPr>
        <w:t>250% may apply to channel separation instead of the necessary bandwidth. As an example, for frequency coordination of the digital fixed service, Recommendation ITU</w:t>
      </w:r>
      <w:r>
        <w:rPr>
          <w:lang w:val="en-US"/>
        </w:rPr>
        <w:noBreakHyphen/>
        <w:t xml:space="preserve">R F.1191 recommends the use of </w:t>
      </w:r>
      <w:r w:rsidR="00D271DE">
        <w:rPr>
          <w:lang w:val="en-US"/>
        </w:rPr>
        <w:t>±</w:t>
      </w:r>
      <w:r>
        <w:rPr>
          <w:lang w:val="en-US"/>
        </w:rPr>
        <w:t xml:space="preserve">250% of the channel separation of the relevant radio-frequency channel arrangement as frequency boundaries between the out-of-band and spurious domains. </w:t>
      </w:r>
    </w:p>
    <w:p w:rsidR="00922B8B" w:rsidRDefault="00922B8B" w:rsidP="00922B8B">
      <w:pPr>
        <w:rPr>
          <w:lang w:val="en-US"/>
        </w:rPr>
      </w:pPr>
      <w:r>
        <w:rPr>
          <w:lang w:val="en-US"/>
        </w:rPr>
        <w:t>In case of very narrow or wide bandwidth, this method of determining the spurious domain might not be appropriate and Recommendation ITU-R SM.1539 provides further guidance.</w:t>
      </w:r>
    </w:p>
    <w:p w:rsidR="00922B8B" w:rsidRDefault="00922B8B" w:rsidP="00922B8B">
      <w:pPr>
        <w:rPr>
          <w:lang w:val="en-US"/>
        </w:rPr>
      </w:pPr>
      <w:r>
        <w:rPr>
          <w:lang w:val="en-US"/>
        </w:rPr>
        <w:t xml:space="preserve">Additional guidance concerning the necessary bandwidth required for determining the boundary between the out-of-band and spurious domains can be found in </w:t>
      </w:r>
      <w:r>
        <w:rPr>
          <w:i/>
          <w:iCs/>
          <w:lang w:val="en-US"/>
        </w:rPr>
        <w:t>recommends</w:t>
      </w:r>
      <w:r>
        <w:rPr>
          <w:lang w:val="en-US"/>
        </w:rPr>
        <w:t xml:space="preserve"> 2.3 of Recommendation ITU</w:t>
      </w:r>
      <w:r>
        <w:rPr>
          <w:lang w:val="en-US"/>
        </w:rPr>
        <w:noBreakHyphen/>
        <w:t>R SM.1541.</w:t>
      </w:r>
    </w:p>
    <w:p w:rsidR="00922B8B" w:rsidRDefault="00922B8B" w:rsidP="00922B8B">
      <w:pPr>
        <w:rPr>
          <w:lang w:val="en-US"/>
        </w:rPr>
      </w:pPr>
      <w:r>
        <w:rPr>
          <w:b/>
          <w:lang w:val="en-US"/>
        </w:rPr>
        <w:t>2.4</w:t>
      </w:r>
      <w:r>
        <w:rPr>
          <w:lang w:val="en-US"/>
        </w:rPr>
        <w:tab/>
        <w:t xml:space="preserve">Where a transmitting system comprises more than one transmitter connected to the same antenna the limits specified in § 3 should apply, as far as practicable, to the intermodulation products related to the use of several transmitters. </w:t>
      </w:r>
    </w:p>
    <w:p w:rsidR="00922B8B" w:rsidRDefault="00922B8B" w:rsidP="00922B8B">
      <w:pPr>
        <w:rPr>
          <w:lang w:val="en-US"/>
        </w:rPr>
      </w:pPr>
      <w:r>
        <w:rPr>
          <w:b/>
          <w:lang w:val="en-US"/>
        </w:rPr>
        <w:t>2.5</w:t>
      </w:r>
      <w:r>
        <w:rPr>
          <w:lang w:val="en-US"/>
        </w:rPr>
        <w:tab/>
        <w:t>Limits on spurious domain emissions for radio equipments are considered here to be applicable to the range 9 kHz to 300 GHz.</w:t>
      </w:r>
    </w:p>
    <w:p w:rsidR="00922B8B" w:rsidRDefault="00922B8B" w:rsidP="00922B8B">
      <w:pPr>
        <w:rPr>
          <w:lang w:val="en-US"/>
        </w:rPr>
      </w:pPr>
      <w:r>
        <w:rPr>
          <w:lang w:val="en-US"/>
        </w:rPr>
        <w:t>However, for practical measurement purposes only, the frequency range of the spurious domain may be restricted. As guidance for practical purposes, the following frequency ranges of measurement, as given in Table 1, are normally recommended.</w:t>
      </w:r>
    </w:p>
    <w:p w:rsidR="00922B8B" w:rsidRPr="002B7B9D" w:rsidRDefault="00922B8B" w:rsidP="00AC59E1">
      <w:pPr>
        <w:pStyle w:val="TableNo"/>
        <w:rPr>
          <w:lang w:val="en-US"/>
        </w:rPr>
      </w:pPr>
      <w:r w:rsidRPr="002B7B9D">
        <w:rPr>
          <w:lang w:val="en-US"/>
        </w:rPr>
        <w:lastRenderedPageBreak/>
        <w:t>TABLE 1</w:t>
      </w:r>
    </w:p>
    <w:p w:rsidR="00922B8B" w:rsidRPr="002B7B9D" w:rsidRDefault="00922B8B" w:rsidP="00922B8B">
      <w:pPr>
        <w:pStyle w:val="Tabletitle"/>
        <w:rPr>
          <w:lang w:val="en-US"/>
        </w:rPr>
      </w:pPr>
      <w:r w:rsidRPr="002B7B9D">
        <w:rPr>
          <w:lang w:val="en-US"/>
        </w:rPr>
        <w:t>Frequency range for measurement of unwanted emissions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09"/>
        <w:gridCol w:w="2109"/>
        <w:gridCol w:w="5421"/>
      </w:tblGrid>
      <w:tr w:rsidR="00922B8B" w:rsidTr="00AC59E1">
        <w:trPr>
          <w:jc w:val="center"/>
        </w:trPr>
        <w:tc>
          <w:tcPr>
            <w:tcW w:w="1985" w:type="dxa"/>
            <w:vAlign w:val="center"/>
          </w:tcPr>
          <w:p w:rsidR="00922B8B" w:rsidRDefault="00922B8B" w:rsidP="004D27B4">
            <w:pPr>
              <w:pStyle w:val="Tablehead"/>
              <w:rPr>
                <w:lang w:val="en-US"/>
              </w:rPr>
            </w:pPr>
            <w:r>
              <w:rPr>
                <w:lang w:val="en-US"/>
              </w:rPr>
              <w:t xml:space="preserve">Fundamental </w:t>
            </w:r>
            <w:r>
              <w:rPr>
                <w:lang w:val="en-US"/>
              </w:rPr>
              <w:br/>
              <w:t>frequency range</w:t>
            </w:r>
          </w:p>
        </w:tc>
        <w:tc>
          <w:tcPr>
            <w:tcW w:w="7088" w:type="dxa"/>
            <w:gridSpan w:val="2"/>
            <w:vAlign w:val="center"/>
          </w:tcPr>
          <w:p w:rsidR="00922B8B" w:rsidRDefault="00922B8B" w:rsidP="004D27B4">
            <w:pPr>
              <w:pStyle w:val="Tablehead"/>
              <w:rPr>
                <w:lang w:val="en-US"/>
              </w:rPr>
            </w:pPr>
            <w:r>
              <w:rPr>
                <w:lang w:val="en-US"/>
              </w:rPr>
              <w:t>Frequency range for measurements</w:t>
            </w:r>
          </w:p>
        </w:tc>
      </w:tr>
      <w:tr w:rsidR="00922B8B" w:rsidRPr="00EB70C7" w:rsidTr="00AC59E1">
        <w:trPr>
          <w:jc w:val="center"/>
        </w:trPr>
        <w:tc>
          <w:tcPr>
            <w:tcW w:w="1985" w:type="dxa"/>
            <w:vAlign w:val="center"/>
          </w:tcPr>
          <w:p w:rsidR="00922B8B" w:rsidRDefault="00922B8B" w:rsidP="004D27B4">
            <w:pPr>
              <w:pStyle w:val="Tablehead"/>
              <w:rPr>
                <w:lang w:val="en-US"/>
              </w:rPr>
            </w:pPr>
          </w:p>
        </w:tc>
        <w:tc>
          <w:tcPr>
            <w:tcW w:w="1985" w:type="dxa"/>
            <w:vAlign w:val="center"/>
          </w:tcPr>
          <w:p w:rsidR="00922B8B" w:rsidRDefault="00922B8B" w:rsidP="004D27B4">
            <w:pPr>
              <w:pStyle w:val="Tablehead"/>
              <w:rPr>
                <w:lang w:val="en-US"/>
              </w:rPr>
            </w:pPr>
            <w:r>
              <w:rPr>
                <w:lang w:val="en-US"/>
              </w:rPr>
              <w:t>Lower limit</w:t>
            </w:r>
          </w:p>
        </w:tc>
        <w:tc>
          <w:tcPr>
            <w:tcW w:w="5103" w:type="dxa"/>
            <w:vAlign w:val="center"/>
          </w:tcPr>
          <w:p w:rsidR="00922B8B" w:rsidRDefault="00922B8B" w:rsidP="004D27B4">
            <w:pPr>
              <w:pStyle w:val="Tablehead"/>
              <w:rPr>
                <w:lang w:val="en-US"/>
              </w:rPr>
            </w:pPr>
            <w:r>
              <w:rPr>
                <w:lang w:val="en-US"/>
              </w:rPr>
              <w:t>Upper limit</w:t>
            </w:r>
            <w:r>
              <w:rPr>
                <w:lang w:val="en-US"/>
              </w:rPr>
              <w:br/>
              <w:t>(The test should include the entire harmonic</w:t>
            </w:r>
            <w:r>
              <w:rPr>
                <w:lang w:val="en-US"/>
              </w:rPr>
              <w:br/>
              <w:t>band and not be truncated at the precise</w:t>
            </w:r>
            <w:r>
              <w:rPr>
                <w:lang w:val="en-US"/>
              </w:rPr>
              <w:br/>
              <w:t>upper frequency limit stated)</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9 kHz-100 MHz</w:t>
            </w:r>
          </w:p>
        </w:tc>
        <w:tc>
          <w:tcPr>
            <w:tcW w:w="1985" w:type="dxa"/>
            <w:vAlign w:val="center"/>
          </w:tcPr>
          <w:p w:rsidR="00922B8B" w:rsidRDefault="00922B8B" w:rsidP="004D27B4">
            <w:pPr>
              <w:pStyle w:val="Tabletext"/>
              <w:jc w:val="center"/>
              <w:rPr>
                <w:lang w:val="en-US"/>
              </w:rPr>
            </w:pPr>
            <w:r>
              <w:rPr>
                <w:lang w:val="en-US"/>
              </w:rPr>
              <w:t>9 kHz</w:t>
            </w:r>
          </w:p>
        </w:tc>
        <w:tc>
          <w:tcPr>
            <w:tcW w:w="5103" w:type="dxa"/>
            <w:vAlign w:val="center"/>
          </w:tcPr>
          <w:p w:rsidR="00922B8B" w:rsidRDefault="00922B8B" w:rsidP="004D27B4">
            <w:pPr>
              <w:pStyle w:val="Tabletext"/>
              <w:jc w:val="center"/>
              <w:rPr>
                <w:lang w:val="en-US"/>
              </w:rPr>
            </w:pPr>
            <w:r>
              <w:rPr>
                <w:lang w:val="en-US"/>
              </w:rPr>
              <w:t>1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100 MHz-300 MHz</w:t>
            </w:r>
          </w:p>
        </w:tc>
        <w:tc>
          <w:tcPr>
            <w:tcW w:w="1985" w:type="dxa"/>
            <w:vAlign w:val="center"/>
          </w:tcPr>
          <w:p w:rsidR="00922B8B" w:rsidRDefault="00922B8B" w:rsidP="004D27B4">
            <w:pPr>
              <w:pStyle w:val="Tabletext"/>
              <w:jc w:val="center"/>
              <w:rPr>
                <w:lang w:val="en-US"/>
              </w:rPr>
            </w:pPr>
            <w:r>
              <w:rPr>
                <w:lang w:val="en-US"/>
              </w:rPr>
              <w:t>9 kHz</w:t>
            </w:r>
          </w:p>
        </w:tc>
        <w:tc>
          <w:tcPr>
            <w:tcW w:w="5103" w:type="dxa"/>
            <w:vAlign w:val="center"/>
          </w:tcPr>
          <w:p w:rsidR="00922B8B" w:rsidRDefault="00922B8B" w:rsidP="00AC59E1">
            <w:pPr>
              <w:pStyle w:val="Tabletext"/>
              <w:jc w:val="center"/>
              <w:rPr>
                <w:lang w:val="en-US"/>
              </w:rPr>
            </w:pPr>
            <w:r>
              <w:rPr>
                <w:lang w:val="en-US"/>
              </w:rPr>
              <w:t>10</w:t>
            </w:r>
            <w:r w:rsidRPr="00AC59E1">
              <w:rPr>
                <w:vertAlign w:val="superscript"/>
                <w:lang w:val="en-US"/>
              </w:rPr>
              <w:t>th</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300 MHz-600 MHz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3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600 MHz-5.2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5</w:t>
            </w:r>
            <w:r w:rsidR="00AC59E1" w:rsidRPr="00AC59E1">
              <w:rPr>
                <w:vertAlign w:val="superscript"/>
                <w:lang w:val="en-US"/>
              </w:rPr>
              <w:t>th</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5.2 GHz-13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26 GHz</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13 GHz-150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2</w:t>
            </w:r>
            <w:r w:rsidRPr="00AC59E1">
              <w:rPr>
                <w:vertAlign w:val="superscript"/>
                <w:lang w:val="en-US"/>
              </w:rPr>
              <w:t>nd</w:t>
            </w:r>
            <w:r>
              <w:rPr>
                <w:lang w:val="en-US"/>
              </w:rPr>
              <w:t xml:space="preserve"> harmonic</w:t>
            </w:r>
          </w:p>
        </w:tc>
      </w:tr>
      <w:tr w:rsidR="00922B8B" w:rsidTr="00AC59E1">
        <w:trPr>
          <w:jc w:val="center"/>
        </w:trPr>
        <w:tc>
          <w:tcPr>
            <w:tcW w:w="1985" w:type="dxa"/>
            <w:vAlign w:val="center"/>
          </w:tcPr>
          <w:p w:rsidR="00922B8B" w:rsidRDefault="00922B8B" w:rsidP="004D27B4">
            <w:pPr>
              <w:pStyle w:val="Tabletext"/>
              <w:jc w:val="center"/>
              <w:rPr>
                <w:lang w:val="en-US"/>
              </w:rPr>
            </w:pPr>
            <w:r>
              <w:rPr>
                <w:lang w:val="en-US"/>
              </w:rPr>
              <w:t>150 GHz-300 GHz</w:t>
            </w:r>
          </w:p>
        </w:tc>
        <w:tc>
          <w:tcPr>
            <w:tcW w:w="1985" w:type="dxa"/>
            <w:vAlign w:val="center"/>
          </w:tcPr>
          <w:p w:rsidR="00922B8B" w:rsidRDefault="00922B8B" w:rsidP="004D27B4">
            <w:pPr>
              <w:pStyle w:val="Tabletext"/>
              <w:jc w:val="center"/>
              <w:rPr>
                <w:lang w:val="en-US"/>
              </w:rPr>
            </w:pPr>
            <w:r>
              <w:rPr>
                <w:lang w:val="en-US"/>
              </w:rPr>
              <w:t>30 MHz</w:t>
            </w:r>
          </w:p>
        </w:tc>
        <w:tc>
          <w:tcPr>
            <w:tcW w:w="5103" w:type="dxa"/>
            <w:vAlign w:val="center"/>
          </w:tcPr>
          <w:p w:rsidR="00922B8B" w:rsidRDefault="00922B8B" w:rsidP="004D27B4">
            <w:pPr>
              <w:pStyle w:val="Tabletext"/>
              <w:jc w:val="center"/>
              <w:rPr>
                <w:lang w:val="en-US"/>
              </w:rPr>
            </w:pPr>
            <w:r>
              <w:rPr>
                <w:lang w:val="en-US"/>
              </w:rPr>
              <w:t>300 GHz</w:t>
            </w:r>
          </w:p>
        </w:tc>
      </w:tr>
    </w:tbl>
    <w:p w:rsidR="00922B8B" w:rsidRDefault="00922B8B" w:rsidP="00922B8B">
      <w:pPr>
        <w:pStyle w:val="Tablefin"/>
      </w:pPr>
    </w:p>
    <w:p w:rsidR="00922B8B" w:rsidRDefault="00922B8B" w:rsidP="00922B8B">
      <w:pPr>
        <w:rPr>
          <w:lang w:val="en-US"/>
        </w:rPr>
      </w:pPr>
      <w:r>
        <w:rPr>
          <w:lang w:val="en-US"/>
        </w:rPr>
        <w:t>There will be cases where it is necessary, in order to protect specific services, to extend the range of test frequencies to the 3</w:t>
      </w:r>
      <w:r w:rsidRPr="005F2D19">
        <w:rPr>
          <w:vertAlign w:val="superscript"/>
          <w:lang w:val="en-US"/>
        </w:rPr>
        <w:t>rd</w:t>
      </w:r>
      <w:r>
        <w:rPr>
          <w:lang w:val="en-US"/>
        </w:rPr>
        <w:t xml:space="preserve"> or higher harmonic for systems with fundamental frequency above 13 GHz. The parameters in Table 1 reflect the increasing practical difficulty of conducting tests by extending upwards in frequency the conventional microwave measurement techniques described in Annex 2 to frequencies above 110 GHz. At such frequencies and higher, it may be more practicable to adopt bolometric measurement techniques used at infra-red frequencies. For example, for vehicular radars at 76-77 GHz, it is appropriate that the 3</w:t>
      </w:r>
      <w:r w:rsidRPr="003C0A65">
        <w:rPr>
          <w:vertAlign w:val="superscript"/>
          <w:lang w:val="en-US"/>
        </w:rPr>
        <w:t>rd</w:t>
      </w:r>
      <w:r>
        <w:rPr>
          <w:lang w:val="en-US"/>
        </w:rPr>
        <w:t xml:space="preserve"> harmonic be measured, around 220 GHz, and here, conventional microwave test methods are probably inappropriate.</w:t>
      </w:r>
    </w:p>
    <w:p w:rsidR="00922B8B" w:rsidRDefault="00922B8B" w:rsidP="00922B8B">
      <w:pPr>
        <w:rPr>
          <w:lang w:val="en-US"/>
        </w:rPr>
      </w:pPr>
      <w:r>
        <w:rPr>
          <w:lang w:val="en-US"/>
        </w:rPr>
        <w:t>In any case,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w:t>
      </w:r>
    </w:p>
    <w:p w:rsidR="00922B8B" w:rsidRDefault="00922B8B" w:rsidP="00922B8B">
      <w:pPr>
        <w:rPr>
          <w:lang w:val="en-US"/>
        </w:rPr>
      </w:pPr>
      <w:r>
        <w:rPr>
          <w:b/>
          <w:lang w:val="en-US"/>
        </w:rPr>
        <w:t>2.6</w:t>
      </w:r>
      <w:r>
        <w:rPr>
          <w:lang w:val="en-US"/>
        </w:rPr>
        <w:tab/>
        <w:t>Spurious domain emission from any part of the installation, other than the antenna system (the antenna and its feeder) should not have an effect greater than would occur if this antenna system were supplied with the maximum permissible power at that spurious domain frequency.</w:t>
      </w:r>
    </w:p>
    <w:p w:rsidR="00922B8B" w:rsidRDefault="00922B8B" w:rsidP="00922B8B">
      <w:pPr>
        <w:rPr>
          <w:lang w:val="en-US"/>
        </w:rPr>
      </w:pPr>
      <w:r>
        <w:rPr>
          <w:b/>
          <w:lang w:val="en-US"/>
        </w:rPr>
        <w:t>2.7</w:t>
      </w:r>
      <w:r>
        <w:rPr>
          <w:lang w:val="en-US"/>
        </w:rPr>
        <w:tab/>
        <w:t>Transient emissions caused by switching in time division multiple access (TDMA) systems should, where possible meet the spurious domain emission suppression requirement.</w:t>
      </w:r>
    </w:p>
    <w:p w:rsidR="00922B8B" w:rsidRDefault="00922B8B" w:rsidP="00922B8B">
      <w:pPr>
        <w:pStyle w:val="Heading1"/>
        <w:rPr>
          <w:lang w:val="en-US"/>
        </w:rPr>
      </w:pPr>
      <w:bookmarkStart w:id="26" w:name="_Toc393687551"/>
      <w:bookmarkStart w:id="27" w:name="_Toc394112267"/>
      <w:r>
        <w:rPr>
          <w:lang w:val="en-US"/>
        </w:rPr>
        <w:t>3</w:t>
      </w:r>
      <w:r>
        <w:rPr>
          <w:lang w:val="en-US"/>
        </w:rPr>
        <w:tab/>
        <w:t>Limits of spurious domain emissions</w:t>
      </w:r>
      <w:bookmarkEnd w:id="26"/>
      <w:bookmarkEnd w:id="27"/>
    </w:p>
    <w:p w:rsidR="00922B8B" w:rsidRDefault="00922B8B" w:rsidP="00922B8B">
      <w:pPr>
        <w:rPr>
          <w:lang w:val="en-US"/>
        </w:rPr>
      </w:pPr>
      <w:r>
        <w:rPr>
          <w:b/>
          <w:lang w:val="en-US"/>
        </w:rPr>
        <w:t>3.1</w:t>
      </w:r>
      <w:r>
        <w:rPr>
          <w:lang w:val="en-US"/>
        </w:rPr>
        <w:tab/>
        <w:t>The limits should improve the operation of radiocommunication services in all bands.</w:t>
      </w:r>
    </w:p>
    <w:p w:rsidR="00922B8B" w:rsidRDefault="00922B8B" w:rsidP="00922B8B">
      <w:pPr>
        <w:rPr>
          <w:lang w:val="en-US"/>
        </w:rPr>
      </w:pPr>
      <w:r>
        <w:rPr>
          <w:b/>
          <w:lang w:val="en-US"/>
        </w:rPr>
        <w:t>3.2</w:t>
      </w:r>
      <w:r>
        <w:rPr>
          <w:lang w:val="en-US"/>
        </w:rPr>
        <w:tab/>
        <w:t>The different units for expressing spurious domain emission and the conversion Table given in Annex 1 should be used.</w:t>
      </w:r>
    </w:p>
    <w:p w:rsidR="00922B8B" w:rsidRDefault="00922B8B" w:rsidP="00922B8B">
      <w:pPr>
        <w:keepNext/>
        <w:keepLines/>
        <w:rPr>
          <w:lang w:val="en-US"/>
        </w:rPr>
      </w:pPr>
      <w:r>
        <w:rPr>
          <w:b/>
          <w:lang w:val="en-US"/>
        </w:rPr>
        <w:lastRenderedPageBreak/>
        <w:t>3.3</w:t>
      </w:r>
      <w:r>
        <w:rPr>
          <w:lang w:val="en-US"/>
        </w:rPr>
        <w:tab/>
        <w:t>The definition of the categories of spurious domain emission limits are shown below, including RR Appendix 3 limits, examples of more stringent limits and limits applying to information technology equipment (ITE).</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1701"/>
        <w:gridCol w:w="7938"/>
      </w:tblGrid>
      <w:tr w:rsidR="00922B8B" w:rsidRPr="00EB70C7"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keepNext/>
              <w:rPr>
                <w:lang w:val="en-US"/>
              </w:rPr>
            </w:pPr>
            <w:r>
              <w:rPr>
                <w:lang w:val="en-US"/>
              </w:rPr>
              <w:t>Category A</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keepNext/>
              <w:rPr>
                <w:lang w:val="en-US"/>
              </w:rPr>
            </w:pPr>
            <w:r>
              <w:rPr>
                <w:lang w:val="en-US"/>
              </w:rPr>
              <w:t>Category A limits are the attenuation values used to calculate maximum permitted spurious domain emission power levels. RR Appendix 3 is derived from Category A limits. These limits are given in § 4.2.</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B</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B limits are an example of more stringent spurious domain emission limits than Category A limits. They are based on limits defined and adopted in </w:t>
            </w:r>
            <w:smartTag w:uri="urn:schemas-microsoft-com:office:smarttags" w:element="place">
              <w:r>
                <w:rPr>
                  <w:lang w:val="en-US"/>
                </w:rPr>
                <w:t>Europe</w:t>
              </w:r>
            </w:smartTag>
            <w:r>
              <w:rPr>
                <w:lang w:val="en-US"/>
              </w:rPr>
              <w:t xml:space="preserve"> and used by some other countries. These limits are given in § 4.3.</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C</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C limits are an example of more stringent spurious domain emission limits than Category A limits. They are based on limits defined and adopted in the </w:t>
            </w:r>
            <w:smartTag w:uri="urn:schemas-microsoft-com:office:smarttags" w:element="country-region">
              <w:r>
                <w:rPr>
                  <w:lang w:val="en-US"/>
                </w:rPr>
                <w:t>United States of America</w:t>
              </w:r>
            </w:smartTag>
            <w:r>
              <w:rPr>
                <w:lang w:val="en-US"/>
              </w:rPr>
              <w:t xml:space="preserve"> and </w:t>
            </w:r>
            <w:smartTag w:uri="urn:schemas-microsoft-com:office:smarttags" w:element="country-region">
              <w:smartTag w:uri="urn:schemas-microsoft-com:office:smarttags" w:element="place">
                <w:r>
                  <w:rPr>
                    <w:lang w:val="en-US"/>
                  </w:rPr>
                  <w:t>Canada</w:t>
                </w:r>
              </w:smartTag>
            </w:smartTag>
            <w:r>
              <w:rPr>
                <w:lang w:val="en-US"/>
              </w:rPr>
              <w:t xml:space="preserve"> and used by some other countries. These limits are given in § 4.4.</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D</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 xml:space="preserve">Category D limits are an example of more stringent spurious domain emission limits than Category A limits. They are based on limits defined and adopted in </w:t>
            </w:r>
            <w:smartTag w:uri="urn:schemas-microsoft-com:office:smarttags" w:element="country-region">
              <w:smartTag w:uri="urn:schemas-microsoft-com:office:smarttags" w:element="place">
                <w:r>
                  <w:rPr>
                    <w:lang w:val="en-US"/>
                  </w:rPr>
                  <w:t>Japan</w:t>
                </w:r>
              </w:smartTag>
            </w:smartTag>
            <w:r>
              <w:rPr>
                <w:lang w:val="en-US"/>
              </w:rPr>
              <w:t xml:space="preserve"> and used by some other countries. These limits are given in § 4.5.</w:t>
            </w:r>
          </w:p>
        </w:tc>
      </w:tr>
      <w:tr w:rsidR="00922B8B" w:rsidTr="004D27B4">
        <w:trPr>
          <w:jc w:val="center"/>
        </w:trPr>
        <w:tc>
          <w:tcPr>
            <w:tcW w:w="170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Category Z</w:t>
            </w:r>
          </w:p>
        </w:tc>
        <w:tc>
          <w:tcPr>
            <w:tcW w:w="793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rPr>
                <w:lang w:val="en-US"/>
              </w:rPr>
            </w:pPr>
            <w:r>
              <w:rPr>
                <w:lang w:val="en-US"/>
              </w:rPr>
              <w:t>Radiation limits for ITE specified by the International Special Committee on Radio Interference (CISPR). These limits are given in § 4.6.</w:t>
            </w:r>
          </w:p>
        </w:tc>
      </w:tr>
    </w:tbl>
    <w:p w:rsidR="00922B8B" w:rsidRDefault="00922B8B" w:rsidP="00922B8B">
      <w:pPr>
        <w:pStyle w:val="Tablefin"/>
      </w:pPr>
    </w:p>
    <w:p w:rsidR="00922B8B" w:rsidRDefault="00922B8B" w:rsidP="00922B8B">
      <w:pPr>
        <w:pStyle w:val="Note"/>
        <w:rPr>
          <w:lang w:val="en-US"/>
        </w:rPr>
      </w:pPr>
      <w:r>
        <w:rPr>
          <w:lang w:val="en-US"/>
        </w:rPr>
        <w:t>NOTE 1 – Category B, C and D limits are more stringent than Category A limits and each represents a compromise between lower unwanted emissions and the cost of equipment. Currently, all are successfully used as national or regional regulations including in areas having a high radiocommunication density and using equipment representing a significant portion of the radiocommunications manufacturing base.</w:t>
      </w:r>
    </w:p>
    <w:p w:rsidR="00922B8B" w:rsidRDefault="00922B8B" w:rsidP="00922B8B">
      <w:pPr>
        <w:pStyle w:val="Note"/>
        <w:rPr>
          <w:lang w:val="en-US"/>
        </w:rPr>
      </w:pPr>
      <w:r>
        <w:rPr>
          <w:lang w:val="en-US"/>
        </w:rPr>
        <w:t xml:space="preserve">Tables of emission limits (see </w:t>
      </w:r>
      <w:r>
        <w:rPr>
          <w:i/>
          <w:lang w:val="en-US"/>
        </w:rPr>
        <w:t>recommends</w:t>
      </w:r>
      <w:r>
        <w:rPr>
          <w:lang w:val="en-US"/>
        </w:rPr>
        <w:t xml:space="preserve"> 4) represent recommended limits for each of these categories by frequency band and type of transmitters for the protection of all radiocommunication services.</w:t>
      </w:r>
    </w:p>
    <w:p w:rsidR="00922B8B" w:rsidRDefault="00922B8B" w:rsidP="00922B8B">
      <w:pPr>
        <w:pStyle w:val="Heading1"/>
        <w:rPr>
          <w:lang w:val="en-US"/>
        </w:rPr>
      </w:pPr>
      <w:bookmarkStart w:id="28" w:name="_Toc393687552"/>
      <w:bookmarkStart w:id="29" w:name="_Toc394112268"/>
      <w:r>
        <w:rPr>
          <w:lang w:val="en-US"/>
        </w:rPr>
        <w:t>4</w:t>
      </w:r>
      <w:r>
        <w:rPr>
          <w:lang w:val="en-US"/>
        </w:rPr>
        <w:tab/>
        <w:t>Tables of emission limits</w:t>
      </w:r>
      <w:bookmarkEnd w:id="28"/>
      <w:bookmarkEnd w:id="29"/>
    </w:p>
    <w:p w:rsidR="00922B8B" w:rsidRDefault="00922B8B" w:rsidP="00922B8B">
      <w:pPr>
        <w:pStyle w:val="Heading2"/>
        <w:rPr>
          <w:lang w:val="en-US"/>
        </w:rPr>
      </w:pPr>
      <w:bookmarkStart w:id="30" w:name="_Toc393687553"/>
      <w:bookmarkStart w:id="31" w:name="_Toc394112269"/>
      <w:r>
        <w:rPr>
          <w:lang w:val="en-US"/>
        </w:rPr>
        <w:t>4.1</w:t>
      </w:r>
      <w:r>
        <w:rPr>
          <w:lang w:val="en-US"/>
        </w:rPr>
        <w:tab/>
        <w:t>Recommended reference bandwidths</w:t>
      </w:r>
      <w:bookmarkEnd w:id="30"/>
      <w:bookmarkEnd w:id="31"/>
    </w:p>
    <w:p w:rsidR="00922B8B" w:rsidRDefault="00922B8B" w:rsidP="00922B8B">
      <w:pPr>
        <w:rPr>
          <w:lang w:val="en-US"/>
        </w:rPr>
      </w:pPr>
      <w:r>
        <w:rPr>
          <w:lang w:val="en-US"/>
        </w:rPr>
        <w:t>A reference bandwidth is a bandwidth in which spurious domain emission levels are specified. The following reference bandwidths are recommended:</w:t>
      </w:r>
    </w:p>
    <w:p w:rsidR="00922B8B" w:rsidRDefault="00922B8B" w:rsidP="00922B8B">
      <w:pPr>
        <w:pStyle w:val="enumlev1"/>
        <w:rPr>
          <w:lang w:val="en-US"/>
        </w:rPr>
      </w:pPr>
      <w:r>
        <w:rPr>
          <w:lang w:val="en-US"/>
        </w:rPr>
        <w:t>–</w:t>
      </w:r>
      <w:r>
        <w:rPr>
          <w:lang w:val="en-US"/>
        </w:rPr>
        <w:tab/>
        <w:t>1 kHz between 9 and 150 kHz,</w:t>
      </w:r>
    </w:p>
    <w:p w:rsidR="00922B8B" w:rsidRDefault="00922B8B" w:rsidP="00922B8B">
      <w:pPr>
        <w:pStyle w:val="enumlev1"/>
        <w:rPr>
          <w:lang w:val="en-US"/>
        </w:rPr>
      </w:pPr>
      <w:r>
        <w:rPr>
          <w:lang w:val="en-US"/>
        </w:rPr>
        <w:t>–</w:t>
      </w:r>
      <w:r>
        <w:rPr>
          <w:lang w:val="en-US"/>
        </w:rPr>
        <w:tab/>
        <w:t>10 kHz between 150 kHz and 30 MHz,</w:t>
      </w:r>
    </w:p>
    <w:p w:rsidR="00922B8B" w:rsidRDefault="00922B8B" w:rsidP="00922B8B">
      <w:pPr>
        <w:pStyle w:val="enumlev1"/>
        <w:rPr>
          <w:lang w:val="en-US"/>
        </w:rPr>
      </w:pPr>
      <w:r>
        <w:rPr>
          <w:lang w:val="en-US"/>
        </w:rPr>
        <w:t>–</w:t>
      </w:r>
      <w:r>
        <w:rPr>
          <w:lang w:val="en-US"/>
        </w:rPr>
        <w:tab/>
        <w:t>100 kHz between 30 MHz and 1 GHz,</w:t>
      </w:r>
    </w:p>
    <w:p w:rsidR="00922B8B" w:rsidRDefault="00922B8B" w:rsidP="00922B8B">
      <w:pPr>
        <w:pStyle w:val="enumlev1"/>
        <w:rPr>
          <w:lang w:val="en-US"/>
        </w:rPr>
      </w:pPr>
      <w:r>
        <w:rPr>
          <w:lang w:val="en-US"/>
        </w:rPr>
        <w:t>–</w:t>
      </w:r>
      <w:r>
        <w:rPr>
          <w:lang w:val="en-US"/>
        </w:rPr>
        <w:tab/>
        <w:t>1 MHz above 1 GHz.</w:t>
      </w:r>
    </w:p>
    <w:p w:rsidR="00922B8B" w:rsidRDefault="00922B8B" w:rsidP="00922B8B">
      <w:pPr>
        <w:rPr>
          <w:lang w:val="en-US"/>
        </w:rPr>
      </w:pPr>
      <w:r>
        <w:rPr>
          <w:lang w:val="en-US"/>
        </w:rPr>
        <w:t>As a special case, the reference bandwidth of all space service spurious domain emissions should be 4 kHz.</w:t>
      </w:r>
    </w:p>
    <w:p w:rsidR="00922B8B" w:rsidRDefault="00922B8B" w:rsidP="00922B8B">
      <w:pPr>
        <w:rPr>
          <w:lang w:val="en-US"/>
        </w:rPr>
      </w:pPr>
      <w:r>
        <w:rPr>
          <w:lang w:val="en-US"/>
        </w:rPr>
        <w:t>For Category B limits, narrower reference bandwidth are specified close to the carrier for fixed and land mobile services.</w:t>
      </w:r>
    </w:p>
    <w:p w:rsidR="00922B8B" w:rsidRDefault="00922B8B" w:rsidP="00922B8B">
      <w:pPr>
        <w:rPr>
          <w:lang w:val="en-US"/>
        </w:rPr>
      </w:pPr>
      <w:r>
        <w:rPr>
          <w:lang w:val="en-US"/>
        </w:rPr>
        <w:t>The reference bandwidths required for proper measurement of radar spurious domain emissions must be calculated for each particular radar system, and the measurement methods should be guided by Recommendation ITU-R M.1177.</w:t>
      </w:r>
      <w:bookmarkStart w:id="32" w:name="_Toc393687554"/>
      <w:bookmarkStart w:id="33" w:name="_Toc394112270"/>
    </w:p>
    <w:p w:rsidR="00922B8B" w:rsidRDefault="00922B8B" w:rsidP="00922B8B">
      <w:pPr>
        <w:pStyle w:val="Note"/>
        <w:rPr>
          <w:lang w:val="en-US"/>
        </w:rPr>
      </w:pPr>
      <w:r>
        <w:rPr>
          <w:lang w:val="en-US"/>
        </w:rPr>
        <w:t xml:space="preserve">NOTE 1 – The reference bandwidth is a bandwidth in which the spurious domain emission limit is specified, but does not mean a bandwidth in which spurious domain emissions should be measured. Annex 2 describes the resolution bandwidth in which spurious domain emissions should be measured. As a general guideline, the resolution bandwidth should be equal to the reference bandwidth. However, to improve measurement </w:t>
      </w:r>
      <w:r>
        <w:rPr>
          <w:lang w:val="en-US"/>
        </w:rPr>
        <w:lastRenderedPageBreak/>
        <w:t>accuracy, sensitivity and efficiency, the resolution bandwidth can be different from the reference bandwidth as described in Annex 2.</w:t>
      </w:r>
    </w:p>
    <w:p w:rsidR="00922B8B" w:rsidRDefault="00922B8B" w:rsidP="00922B8B">
      <w:pPr>
        <w:pStyle w:val="Heading2"/>
        <w:rPr>
          <w:lang w:val="en-US"/>
        </w:rPr>
      </w:pPr>
      <w:r>
        <w:rPr>
          <w:lang w:val="en-US"/>
        </w:rPr>
        <w:t>4.2</w:t>
      </w:r>
      <w:r>
        <w:rPr>
          <w:lang w:val="en-US"/>
        </w:rPr>
        <w:tab/>
        <w:t>Category A limits</w:t>
      </w:r>
      <w:bookmarkEnd w:id="32"/>
      <w:bookmarkEnd w:id="33"/>
    </w:p>
    <w:p w:rsidR="00922B8B" w:rsidRDefault="00922B8B" w:rsidP="00922B8B">
      <w:pPr>
        <w:rPr>
          <w:lang w:val="en-US"/>
        </w:rPr>
      </w:pPr>
      <w:r>
        <w:rPr>
          <w:lang w:val="en-US"/>
        </w:rPr>
        <w:t>Table 2 indicates the maximum permitted levels of spurious domain emissions, appearing in RR Appendix 3, in terms of power of any unwanted component supplied by a transmitter to the antenna transmission line, except for space services which are currently shown as design limits; for the implementation date for the radiodetermination service; for deep space stations and for amateur stations. Some notes to Appendix 3 give specific direction on the application of the limits.</w:t>
      </w:r>
    </w:p>
    <w:p w:rsidR="00922B8B" w:rsidRDefault="00922B8B" w:rsidP="00922B8B">
      <w:pPr>
        <w:rPr>
          <w:lang w:val="en-US"/>
        </w:rPr>
      </w:pPr>
      <w:r>
        <w:rPr>
          <w:lang w:val="en-US"/>
        </w:rPr>
        <w:t>Spurious domain emission from any part of the installation other than the antenna and its transmission line should not have an effect greater than would occur if this antenna system were supplied with the maximum permitted power at that spurious domain emission frequency.</w:t>
      </w:r>
    </w:p>
    <w:p w:rsidR="00922B8B" w:rsidRDefault="00922B8B" w:rsidP="00922B8B">
      <w:pPr>
        <w:rPr>
          <w:lang w:val="en-US"/>
        </w:rPr>
      </w:pPr>
      <w:r>
        <w:rPr>
          <w:lang w:val="en-US"/>
        </w:rPr>
        <w:t>For technical or operational reasons, more stringent levels than those specified in Table 2 may be applied to protect specific services in certain frequency bands. The levels applied to protect these services should be those agreed upon by the appropriate WRC. More stringent levels may also be fixed by specific agreements between the administrations concerned. Additionally, special consideration of transmitter spurious domain emissions is required for protection of radio astronomy and other passive services.</w:t>
      </w:r>
    </w:p>
    <w:p w:rsidR="00922B8B" w:rsidRDefault="00922B8B" w:rsidP="00922B8B">
      <w:pPr>
        <w:rPr>
          <w:lang w:val="en-US"/>
        </w:rPr>
      </w:pPr>
      <w:r>
        <w:rPr>
          <w:lang w:val="en-US"/>
        </w:rPr>
        <w:t>Sample calculations and Category A maximum absolute spurious domain power levels, derived from Table 2 values, can be found in Annex 5.</w:t>
      </w:r>
    </w:p>
    <w:p w:rsidR="00922B8B" w:rsidRDefault="00922B8B" w:rsidP="005F2D19">
      <w:pPr>
        <w:pStyle w:val="TableNo"/>
        <w:rPr>
          <w:lang w:val="en-US"/>
        </w:rPr>
      </w:pPr>
      <w:r>
        <w:rPr>
          <w:lang w:val="en-US"/>
        </w:rPr>
        <w:t>TABLE 2</w:t>
      </w:r>
    </w:p>
    <w:p w:rsidR="00922B8B" w:rsidRDefault="00922B8B" w:rsidP="00922B8B">
      <w:pPr>
        <w:pStyle w:val="Tabletitle"/>
        <w:rPr>
          <w:lang w:val="en-US"/>
        </w:rPr>
      </w:pPr>
      <w:r>
        <w:rPr>
          <w:lang w:val="en-US"/>
        </w:rPr>
        <w:t>Spurious domain emission limits – Category A</w:t>
      </w:r>
    </w:p>
    <w:p w:rsidR="00922B8B" w:rsidRDefault="00922B8B" w:rsidP="00922B8B">
      <w:pPr>
        <w:pStyle w:val="Tabletitle"/>
        <w:rPr>
          <w:b w:val="0"/>
          <w:bCs/>
          <w:lang w:val="en-US"/>
        </w:rPr>
      </w:pPr>
      <w:r>
        <w:rPr>
          <w:b w:val="0"/>
          <w:bCs/>
          <w:lang w:val="en-US"/>
        </w:rPr>
        <w:t>(Recommended attenuation values used to calculate maximum permitted</w:t>
      </w:r>
      <w:r>
        <w:rPr>
          <w:b w:val="0"/>
          <w:bCs/>
          <w:lang w:val="en-US"/>
        </w:rPr>
        <w:br/>
        <w:t>spurious domain emission power levels intended for use</w:t>
      </w:r>
      <w:r>
        <w:rPr>
          <w:b w:val="0"/>
          <w:bCs/>
          <w:lang w:val="en-US"/>
        </w:rPr>
        <w:br/>
        <w:t>with radio equipment by all countries)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4253"/>
        <w:gridCol w:w="5387"/>
      </w:tblGrid>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position w:val="6"/>
                <w:sz w:val="18"/>
                <w:lang w:val="en-US"/>
              </w:rPr>
              <w:t>(1), (2)</w:t>
            </w:r>
          </w:p>
        </w:tc>
        <w:tc>
          <w:tcPr>
            <w:tcW w:w="5387"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Attenuation (dB) below the power (W) supplied</w:t>
            </w:r>
            <w:r>
              <w:rPr>
                <w:lang w:val="en-US"/>
              </w:rPr>
              <w:br/>
              <w:t>to the antenna transmission line</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All services except those services quoted below</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D271DE">
            <w:pPr>
              <w:pStyle w:val="Tabletext"/>
              <w:jc w:val="left"/>
              <w:rPr>
                <w:lang w:val="en-GB"/>
              </w:rPr>
            </w:pPr>
            <w:r>
              <w:rPr>
                <w:lang w:val="en-GB"/>
              </w:rPr>
              <w:t xml:space="preserve">43 </w:t>
            </w:r>
            <w:r w:rsidR="00D271DE">
              <w:rPr>
                <w:lang w:val="en-GB"/>
              </w:rPr>
              <w:t>+</w:t>
            </w:r>
            <w:r>
              <w:rPr>
                <w:lang w:val="en-GB"/>
              </w:rPr>
              <w:t xml:space="preserve"> 10 log </w:t>
            </w:r>
            <w:r>
              <w:rPr>
                <w:i/>
                <w:lang w:val="en-GB"/>
              </w:rPr>
              <w:t>P</w:t>
            </w:r>
            <w:r>
              <w:rPr>
                <w:lang w:val="en-GB"/>
              </w:rPr>
              <w:t>, or 70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Space services (mobile earth stations)</w:t>
            </w:r>
            <w:r>
              <w:rPr>
                <w:vertAlign w:val="superscript"/>
                <w:lang w:val="en-GB"/>
              </w:rPr>
              <w:t>(3)</w:t>
            </w:r>
            <w:r>
              <w:rPr>
                <w:position w:val="6"/>
                <w:sz w:val="18"/>
                <w:lang w:val="en-GB"/>
              </w:rPr>
              <w:t>,</w:t>
            </w:r>
            <w:r>
              <w:rPr>
                <w:rFonts w:ascii="Tms Rmn" w:hAnsi="Tms Rmn"/>
                <w:position w:val="6"/>
                <w:sz w:val="12"/>
                <w:lang w:val="en-GB"/>
              </w:rPr>
              <w:t> </w:t>
            </w:r>
            <w:r>
              <w:rPr>
                <w:vertAlign w:val="superscript"/>
                <w:lang w:val="en-GB"/>
              </w:rPr>
              <w:t>(4)</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GB"/>
              </w:rPr>
            </w:pPr>
            <w:r>
              <w:rPr>
                <w:lang w:val="en-GB"/>
              </w:rPr>
              <w:t xml:space="preserve">43 </w:t>
            </w:r>
            <w:r w:rsidR="00D271DE">
              <w:rPr>
                <w:lang w:val="en-GB"/>
              </w:rPr>
              <w:t>+</w:t>
            </w:r>
            <w:r>
              <w:rPr>
                <w:lang w:val="en-GB"/>
              </w:rPr>
              <w:t xml:space="preserve"> 10 log </w:t>
            </w:r>
            <w:r>
              <w:rPr>
                <w:i/>
                <w:lang w:val="en-GB"/>
              </w:rPr>
              <w:t>P</w:t>
            </w:r>
            <w:r>
              <w:rPr>
                <w:lang w:val="en-GB"/>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Pr>
                <w:lang w:val="en-US"/>
              </w:rPr>
              <w:t>Space services (fixed earth stations)</w:t>
            </w:r>
            <w:r>
              <w:rPr>
                <w:vertAlign w:val="superscript"/>
                <w:lang w:val="en-GB"/>
              </w:rPr>
              <w:t>(3)</w:t>
            </w:r>
            <w:r>
              <w:rPr>
                <w:position w:val="6"/>
                <w:sz w:val="18"/>
                <w:lang w:val="en-US"/>
              </w:rPr>
              <w:t>,</w:t>
            </w:r>
            <w:r>
              <w:rPr>
                <w:rFonts w:ascii="Tms Rmn" w:hAnsi="Tms Rmn"/>
                <w:position w:val="6"/>
                <w:sz w:val="12"/>
                <w:lang w:val="en-US"/>
              </w:rPr>
              <w:t> </w:t>
            </w:r>
            <w:r>
              <w:rPr>
                <w:vertAlign w:val="superscript"/>
                <w:lang w:val="en-GB"/>
              </w:rPr>
              <w:t>(4)</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w:t>
            </w:r>
            <w:r>
              <w:rPr>
                <w:lang w:val="en-US"/>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Space services (space stations)</w:t>
            </w:r>
            <w:r>
              <w:rPr>
                <w:vertAlign w:val="superscript"/>
                <w:lang w:val="en-GB"/>
              </w:rPr>
              <w:t>(3)</w:t>
            </w:r>
            <w:r>
              <w:rPr>
                <w:position w:val="6"/>
                <w:sz w:val="18"/>
                <w:lang w:val="en-US"/>
              </w:rPr>
              <w:t>,</w:t>
            </w:r>
            <w:r>
              <w:rPr>
                <w:rFonts w:ascii="Tms Rmn" w:hAnsi="Tms Rmn"/>
                <w:position w:val="6"/>
                <w:sz w:val="12"/>
                <w:lang w:val="en-US"/>
              </w:rPr>
              <w:t> </w:t>
            </w:r>
            <w:r>
              <w:rPr>
                <w:vertAlign w:val="superscript"/>
                <w:lang w:val="en-GB"/>
              </w:rPr>
              <w:t>(5)</w:t>
            </w:r>
            <w:r>
              <w:rPr>
                <w:position w:val="6"/>
                <w:sz w:val="18"/>
                <w:lang w:val="en-US"/>
              </w:rPr>
              <w:t>,</w:t>
            </w:r>
            <w:r>
              <w:rPr>
                <w:rFonts w:ascii="Tms Rmn" w:hAnsi="Tms Rmn"/>
                <w:position w:val="6"/>
                <w:sz w:val="12"/>
                <w:lang w:val="en-US"/>
              </w:rPr>
              <w:t> </w:t>
            </w:r>
            <w:r>
              <w:rPr>
                <w:vertAlign w:val="superscript"/>
                <w:lang w:val="en-GB"/>
              </w:rPr>
              <w:t>(6)</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w:t>
            </w:r>
            <w:r>
              <w:rPr>
                <w:lang w:val="en-US"/>
              </w:rPr>
              <w:t>, or 60 dBc,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Pr>
                <w:lang w:val="en-US"/>
              </w:rPr>
              <w:t>Radiodetermination</w:t>
            </w:r>
            <w:r>
              <w:rPr>
                <w:vertAlign w:val="superscript"/>
                <w:lang w:val="en-GB"/>
              </w:rPr>
              <w:t>(7)</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PEP</w:t>
            </w:r>
            <w:r>
              <w:rPr>
                <w:lang w:val="en-US"/>
              </w:rPr>
              <w:t>, or 60 dB, whichever is less stringent</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television</w:t>
            </w:r>
            <w:r>
              <w:rPr>
                <w:vertAlign w:val="superscript"/>
                <w:lang w:val="en-GB"/>
              </w:rPr>
              <w:t>(8)</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46 </w:t>
            </w:r>
            <w:r w:rsidR="00D271DE">
              <w:rPr>
                <w:lang w:val="en-GB"/>
              </w:rPr>
              <w:t>+</w:t>
            </w:r>
            <w:r>
              <w:rPr>
                <w:lang w:val="en-US"/>
              </w:rPr>
              <w:t xml:space="preserve"> 10 log </w:t>
            </w:r>
            <w:r>
              <w:rPr>
                <w:i/>
                <w:lang w:val="en-US"/>
              </w:rPr>
              <w:t>P</w:t>
            </w:r>
            <w:r>
              <w:rPr>
                <w:lang w:val="en-US"/>
              </w:rPr>
              <w:t>, or 60 dBc, whichever is less stringent, without exceeding the absolute mean power level of 1 mW for VHF stations or 12 mW for UHF stations. However greater attenuation may be necessary on a case</w:t>
            </w:r>
            <w:r>
              <w:rPr>
                <w:lang w:val="en-US"/>
              </w:rPr>
              <w:noBreakHyphen/>
              <w:t>by</w:t>
            </w:r>
            <w:r>
              <w:rPr>
                <w:lang w:val="en-US"/>
              </w:rPr>
              <w:noBreakHyphen/>
              <w:t>case basis</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FM</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46 </w:t>
            </w:r>
            <w:r w:rsidR="00D271DE">
              <w:rPr>
                <w:lang w:val="en-GB"/>
              </w:rPr>
              <w:t>+</w:t>
            </w:r>
            <w:r>
              <w:rPr>
                <w:lang w:val="en-US"/>
              </w:rPr>
              <w:t xml:space="preserve"> 10 log </w:t>
            </w:r>
            <w:r>
              <w:rPr>
                <w:i/>
                <w:lang w:val="en-US"/>
              </w:rPr>
              <w:t>P</w:t>
            </w:r>
            <w:r>
              <w:rPr>
                <w:lang w:val="en-US"/>
              </w:rPr>
              <w:t>, or 70 dBc, whichever is less stringent; the absolute mean power level of 1 mW should not be exceeded</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Broadcasting at MF/HF</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50 dBc and the absolute mean power level of 50 mW should not be exceeded</w:t>
            </w:r>
          </w:p>
        </w:tc>
      </w:tr>
    </w:tbl>
    <w:p w:rsidR="00922B8B" w:rsidRDefault="00922B8B" w:rsidP="00922B8B">
      <w:pPr>
        <w:pStyle w:val="Tablefin"/>
      </w:pPr>
    </w:p>
    <w:p w:rsidR="00922B8B" w:rsidRDefault="005F2D19" w:rsidP="00922B8B">
      <w:pPr>
        <w:pStyle w:val="TableNo"/>
        <w:rPr>
          <w:lang w:val="en-US"/>
        </w:rPr>
      </w:pPr>
      <w:r>
        <w:rPr>
          <w:lang w:val="en-US"/>
        </w:rPr>
        <w:lastRenderedPageBreak/>
        <w:t xml:space="preserve">TABLE </w:t>
      </w:r>
      <w:r w:rsidR="00922B8B">
        <w:rPr>
          <w:lang w:val="en-US"/>
        </w:rPr>
        <w:t>2 (</w:t>
      </w:r>
      <w:r w:rsidR="00922B8B" w:rsidRPr="00FA1536">
        <w:rPr>
          <w:i/>
          <w:iCs/>
          <w:lang w:val="en-US"/>
        </w:rPr>
        <w:t>end</w:t>
      </w:r>
      <w:r w:rsidR="00922B8B">
        <w:rPr>
          <w:lang w:val="en-US"/>
        </w:rPr>
        <w: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4253"/>
        <w:gridCol w:w="5387"/>
      </w:tblGrid>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position w:val="6"/>
                <w:sz w:val="18"/>
                <w:lang w:val="en-US"/>
              </w:rPr>
              <w:t>(1), (2)</w:t>
            </w:r>
          </w:p>
        </w:tc>
        <w:tc>
          <w:tcPr>
            <w:tcW w:w="5387"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Attenuation (dB) below the power (W) supplied</w:t>
            </w:r>
            <w:r>
              <w:rPr>
                <w:lang w:val="en-US"/>
              </w:rPr>
              <w:br/>
              <w:t>to the antenna transmission line</w:t>
            </w:r>
          </w:p>
        </w:tc>
      </w:tr>
      <w:tr w:rsidR="00922B8B"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SSB from mobile stations</w:t>
            </w:r>
            <w:r>
              <w:rPr>
                <w:vertAlign w:val="superscript"/>
                <w:lang w:val="en-GB"/>
              </w:rPr>
              <w:t>(9)</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43 dB below PEP</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Amateur services operating below 30 MHz (including with SSB)</w:t>
            </w:r>
            <w:r>
              <w:rPr>
                <w:vertAlign w:val="superscript"/>
                <w:lang w:val="en-GB"/>
              </w:rPr>
              <w:t>(9)</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+ 10 log </w:t>
            </w:r>
            <w:r>
              <w:rPr>
                <w:i/>
                <w:lang w:val="en-US"/>
              </w:rPr>
              <w:t>PEP</w:t>
            </w:r>
            <w:r>
              <w:rPr>
                <w:lang w:val="en-US"/>
              </w:rPr>
              <w:t>, or 50 dB, whichever is less stringent</w:t>
            </w:r>
          </w:p>
        </w:tc>
      </w:tr>
      <w:tr w:rsidR="00922B8B" w:rsidRPr="00EB70C7" w:rsidTr="004D27B4">
        <w:trPr>
          <w:jc w:val="center"/>
        </w:trPr>
        <w:tc>
          <w:tcPr>
            <w:tcW w:w="4253" w:type="dxa"/>
            <w:tcBorders>
              <w:top w:val="nil"/>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Services operating below 30 MHz, except space, radiodetermination, broadcast, those using SSB from mobile stations, and amateur</w:t>
            </w:r>
            <w:r>
              <w:rPr>
                <w:vertAlign w:val="superscript"/>
                <w:lang w:val="en-GB"/>
              </w:rPr>
              <w:t>(9)</w:t>
            </w:r>
          </w:p>
        </w:tc>
        <w:tc>
          <w:tcPr>
            <w:tcW w:w="5387" w:type="dxa"/>
            <w:tcBorders>
              <w:top w:val="nil"/>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43 </w:t>
            </w:r>
            <w:r w:rsidR="00D271DE">
              <w:rPr>
                <w:lang w:val="en-GB"/>
              </w:rPr>
              <w:t>+</w:t>
            </w:r>
            <w:r>
              <w:rPr>
                <w:lang w:val="en-US"/>
              </w:rPr>
              <w:t xml:space="preserve"> 10 log </w:t>
            </w:r>
            <w:r>
              <w:rPr>
                <w:i/>
                <w:lang w:val="en-US"/>
              </w:rPr>
              <w:t>X</w:t>
            </w:r>
            <w:r>
              <w:rPr>
                <w:lang w:val="en-US"/>
              </w:rPr>
              <w:t>, or 60 dBc, whichever is less stringent</w:t>
            </w:r>
          </w:p>
          <w:p w:rsidR="00922B8B" w:rsidRDefault="00922B8B" w:rsidP="00D271DE">
            <w:pPr>
              <w:pStyle w:val="Tabletext"/>
              <w:jc w:val="left"/>
              <w:rPr>
                <w:lang w:val="en-US"/>
              </w:rPr>
            </w:pPr>
            <w:r>
              <w:rPr>
                <w:lang w:val="en-US"/>
              </w:rPr>
              <w:t>where:</w:t>
            </w:r>
            <w:r>
              <w:rPr>
                <w:lang w:val="en-US"/>
              </w:rPr>
              <w:br/>
            </w:r>
            <w:r>
              <w:rPr>
                <w:lang w:val="en-US"/>
              </w:rPr>
              <w:tab/>
            </w:r>
            <w:r>
              <w:rPr>
                <w:i/>
                <w:lang w:val="en-US"/>
              </w:rPr>
              <w:t>X</w:t>
            </w:r>
            <w:r>
              <w:rPr>
                <w:lang w:val="en-US"/>
              </w:rPr>
              <w:t xml:space="preserve"> </w:t>
            </w:r>
            <w:r w:rsidR="00D271DE">
              <w:rPr>
                <w:lang w:val="en-US"/>
              </w:rPr>
              <w:t>=</w:t>
            </w:r>
            <w:r>
              <w:rPr>
                <w:lang w:val="en-US"/>
              </w:rPr>
              <w:t xml:space="preserve"> </w:t>
            </w:r>
            <w:r>
              <w:rPr>
                <w:i/>
                <w:lang w:val="en-US"/>
              </w:rPr>
              <w:t>PEP</w:t>
            </w:r>
            <w:r>
              <w:rPr>
                <w:lang w:val="en-US"/>
              </w:rPr>
              <w:t xml:space="preserve"> for SSB modulation,</w:t>
            </w:r>
            <w:r>
              <w:rPr>
                <w:lang w:val="en-US"/>
              </w:rPr>
              <w:br/>
            </w:r>
            <w:r>
              <w:rPr>
                <w:lang w:val="en-US"/>
              </w:rPr>
              <w:tab/>
            </w:r>
            <w:r>
              <w:rPr>
                <w:i/>
                <w:lang w:val="en-US"/>
              </w:rPr>
              <w:t>X</w:t>
            </w:r>
            <w:r>
              <w:rPr>
                <w:lang w:val="en-US"/>
              </w:rPr>
              <w:t xml:space="preserve"> </w:t>
            </w:r>
            <w:r w:rsidR="00D271DE">
              <w:rPr>
                <w:lang w:val="en-US"/>
              </w:rPr>
              <w:t>=</w:t>
            </w:r>
            <w:r>
              <w:rPr>
                <w:lang w:val="en-US"/>
              </w:rPr>
              <w:t xml:space="preserve"> </w:t>
            </w:r>
            <w:r>
              <w:rPr>
                <w:i/>
                <w:lang w:val="en-US"/>
              </w:rPr>
              <w:t>P</w:t>
            </w:r>
            <w:r>
              <w:rPr>
                <w:lang w:val="en-US"/>
              </w:rPr>
              <w:t xml:space="preserve"> for other modulation</w:t>
            </w:r>
          </w:p>
        </w:tc>
      </w:tr>
      <w:tr w:rsidR="00922B8B" w:rsidRPr="00EB70C7"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Low power device radio equipment</w:t>
            </w:r>
            <w:r>
              <w:rPr>
                <w:vertAlign w:val="superscript"/>
                <w:lang w:val="en-GB"/>
              </w:rPr>
              <w:t>(10)</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56 </w:t>
            </w:r>
            <w:r w:rsidR="00D271DE">
              <w:rPr>
                <w:lang w:val="en-GB"/>
              </w:rPr>
              <w:t>+</w:t>
            </w:r>
            <w:r>
              <w:rPr>
                <w:lang w:val="en-US"/>
              </w:rPr>
              <w:t xml:space="preserve"> 10 log </w:t>
            </w:r>
            <w:r>
              <w:rPr>
                <w:i/>
                <w:lang w:val="en-US"/>
              </w:rPr>
              <w:t>P</w:t>
            </w:r>
            <w:r>
              <w:rPr>
                <w:lang w:val="en-US"/>
              </w:rPr>
              <w:t>, or 40 dBc, whichever is less stringent</w:t>
            </w:r>
          </w:p>
        </w:tc>
      </w:tr>
      <w:tr w:rsidR="00922B8B" w:rsidTr="004D27B4">
        <w:trPr>
          <w:jc w:val="center"/>
        </w:trPr>
        <w:tc>
          <w:tcPr>
            <w:tcW w:w="4253"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Emergency position-indicating radio beacon (EPIRB), emergency locator transmitter (ELT), personal location beacon (PLB), search and rescue transponder (SART), ship emergency, lifeboat, and survival craft transmitters, land, aeronautical or maritime transmitters when used in emergency</w:t>
            </w:r>
          </w:p>
        </w:tc>
        <w:tc>
          <w:tcPr>
            <w:tcW w:w="5387"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No limit</w:t>
            </w:r>
          </w:p>
        </w:tc>
      </w:tr>
      <w:tr w:rsidR="00922B8B" w:rsidRPr="00EB70C7" w:rsidTr="004D27B4">
        <w:trPr>
          <w:jc w:val="center"/>
        </w:trPr>
        <w:tc>
          <w:tcPr>
            <w:tcW w:w="9640" w:type="dxa"/>
            <w:gridSpan w:val="2"/>
            <w:tcBorders>
              <w:top w:val="single" w:sz="6" w:space="0" w:color="auto"/>
              <w:left w:val="nil"/>
              <w:bottom w:val="nil"/>
              <w:right w:val="nil"/>
            </w:tcBorders>
          </w:tcPr>
          <w:p w:rsidR="00922B8B" w:rsidRPr="002B7B9D" w:rsidRDefault="00922B8B" w:rsidP="004D27B4">
            <w:pPr>
              <w:pStyle w:val="Tablelegend"/>
              <w:spacing w:before="160"/>
              <w:rPr>
                <w:i/>
                <w:iCs/>
                <w:lang w:val="en-US"/>
              </w:rPr>
            </w:pPr>
            <w:r w:rsidRPr="002B7B9D">
              <w:rPr>
                <w:i/>
                <w:iCs/>
                <w:lang w:val="en-US"/>
              </w:rPr>
              <w:t>Notes to Table 2:</w:t>
            </w:r>
          </w:p>
          <w:p w:rsidR="00922B8B" w:rsidRDefault="00922B8B" w:rsidP="004D27B4">
            <w:pPr>
              <w:pStyle w:val="Tablelegend"/>
              <w:tabs>
                <w:tab w:val="clear" w:pos="284"/>
              </w:tabs>
              <w:ind w:left="567" w:hanging="567"/>
              <w:rPr>
                <w:lang w:val="en-US"/>
              </w:rPr>
            </w:pPr>
            <w:r>
              <w:rPr>
                <w:i/>
                <w:iCs/>
                <w:lang w:val="en-US"/>
              </w:rPr>
              <w:t>P</w:t>
            </w:r>
            <w:r>
              <w:rPr>
                <w:lang w:val="en-US"/>
              </w:rPr>
              <w:t>:</w:t>
            </w:r>
            <w:r>
              <w:rPr>
                <w:lang w:val="en-US"/>
              </w:rPr>
              <w:tab/>
              <w:t>mean power (W) at the antenna transmission line, in accordance with RR No. 1.158. When burst transmission is used, the mean power P and the mean power of any spurious domain emissions are measured using power averaging over the burst duration.</w:t>
            </w:r>
          </w:p>
          <w:p w:rsidR="00922B8B" w:rsidRPr="002B7B9D" w:rsidRDefault="00922B8B" w:rsidP="004D27B4">
            <w:pPr>
              <w:pStyle w:val="Tablelegend"/>
              <w:ind w:left="567" w:hanging="567"/>
              <w:rPr>
                <w:lang w:val="en-US"/>
              </w:rPr>
            </w:pPr>
            <w:r>
              <w:rPr>
                <w:i/>
                <w:iCs/>
                <w:lang w:val="en-US"/>
              </w:rPr>
              <w:t>PEP</w:t>
            </w:r>
            <w:r w:rsidRPr="002B7B9D">
              <w:rPr>
                <w:lang w:val="en-US"/>
              </w:rPr>
              <w:t>:</w:t>
            </w:r>
            <w:r w:rsidRPr="002B7B9D">
              <w:rPr>
                <w:lang w:val="en-US"/>
              </w:rPr>
              <w:tab/>
              <w:t>peak envelope power (W) at the antenna transmission line, in accordance with RR No. 1.157.</w:t>
            </w:r>
          </w:p>
          <w:p w:rsidR="00922B8B" w:rsidRDefault="00922B8B" w:rsidP="004D27B4">
            <w:pPr>
              <w:pStyle w:val="Tablelegend"/>
              <w:tabs>
                <w:tab w:val="clear" w:pos="284"/>
              </w:tabs>
              <w:ind w:left="567" w:hanging="567"/>
              <w:rPr>
                <w:lang w:val="en-US"/>
              </w:rPr>
            </w:pPr>
            <w:r>
              <w:rPr>
                <w:lang w:val="en-US"/>
              </w:rPr>
              <w:tab/>
              <w:t>When the term P is used, both the power supplied to the antenna transmission line and spurious domain emissions should be evaluated in terms of mean power and mean power in the reference bandwidth respectively. When the term PEP is used, both the power supplied to the antenna transmission line and spurious domain emissions should be evaluated in terms of peak envelope power and peak envelope power in the reference bandwidth respectively.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tabs>
                <w:tab w:val="clear" w:pos="284"/>
              </w:tabs>
              <w:ind w:left="567" w:hanging="567"/>
              <w:rPr>
                <w:lang w:val="en-US"/>
              </w:rPr>
            </w:pPr>
            <w:r>
              <w:rPr>
                <w:lang w:val="en-US"/>
              </w:rPr>
              <w:t>dBc:</w:t>
            </w:r>
            <w:r>
              <w:rPr>
                <w:lang w:val="en-US"/>
              </w:rPr>
              <w:tab/>
              <w:t>decibels relative to the unmodulated carrier power of the emission. In the cases which do not have a carrier, for example in some digital modulation schemes where the carrier is not accessible for measurement, the reference level equivalent to dBc is decibels relative to the mean power P.</w:t>
            </w:r>
          </w:p>
          <w:p w:rsidR="00922B8B" w:rsidRDefault="00922B8B" w:rsidP="00D271DE">
            <w:pPr>
              <w:pStyle w:val="Tablelegend"/>
              <w:tabs>
                <w:tab w:val="clear" w:pos="284"/>
              </w:tabs>
              <w:ind w:left="567" w:hanging="567"/>
              <w:rPr>
                <w:lang w:val="en-US"/>
              </w:rPr>
            </w:pPr>
            <w:r>
              <w:rPr>
                <w:vertAlign w:val="superscript"/>
                <w:lang w:val="en-GB"/>
              </w:rPr>
              <w:t>(1)</w:t>
            </w:r>
            <w:r>
              <w:rPr>
                <w:lang w:val="en-US"/>
              </w:rPr>
              <w:tab/>
              <w:t xml:space="preserve">In some cases of digital modulation and narrow-band high power transmitters for all categories of services, there may be difficulties in meeting limits close to </w:t>
            </w:r>
            <w:r w:rsidR="00D271DE">
              <w:rPr>
                <w:lang w:val="en-US"/>
              </w:rPr>
              <w:t>±</w:t>
            </w:r>
            <w:r>
              <w:rPr>
                <w:lang w:val="en-US"/>
              </w:rPr>
              <w:t>250% of the necessary bandwidth.</w:t>
            </w:r>
          </w:p>
          <w:p w:rsidR="00922B8B" w:rsidRDefault="00922B8B" w:rsidP="004D27B4">
            <w:pPr>
              <w:pStyle w:val="Tablelegend"/>
              <w:tabs>
                <w:tab w:val="clear" w:pos="284"/>
              </w:tabs>
              <w:ind w:left="567" w:hanging="567"/>
              <w:rPr>
                <w:lang w:val="en-US"/>
              </w:rPr>
            </w:pPr>
            <w:r>
              <w:rPr>
                <w:vertAlign w:val="superscript"/>
                <w:lang w:val="en-GB"/>
              </w:rPr>
              <w:t>(2)</w:t>
            </w:r>
            <w:r>
              <w:rPr>
                <w:lang w:val="en-US"/>
              </w:rPr>
              <w:tab/>
              <w:t>Use the e.i.r.p. method shown in Annex 2, § 3.3, when it is not practical to access the transition between the transmitter and the antenna transmission line.</w:t>
            </w:r>
          </w:p>
          <w:p w:rsidR="00922B8B" w:rsidRDefault="00922B8B" w:rsidP="004D27B4">
            <w:pPr>
              <w:pStyle w:val="Tablelegend"/>
              <w:tabs>
                <w:tab w:val="clear" w:pos="284"/>
              </w:tabs>
              <w:ind w:left="567" w:hanging="567"/>
              <w:rPr>
                <w:lang w:val="en-US"/>
              </w:rPr>
            </w:pPr>
            <w:r>
              <w:rPr>
                <w:vertAlign w:val="superscript"/>
                <w:lang w:val="en-GB"/>
              </w:rPr>
              <w:t>(3)</w:t>
            </w:r>
            <w:r>
              <w:rPr>
                <w:lang w:val="en-US"/>
              </w:rPr>
              <w:tab/>
              <w:t>Spurious domain emission limits for all space services are stated in a 4 kHz reference bandwidth.</w:t>
            </w:r>
          </w:p>
          <w:p w:rsidR="00922B8B" w:rsidRDefault="00922B8B" w:rsidP="004D27B4">
            <w:pPr>
              <w:pStyle w:val="Tablelegend"/>
              <w:tabs>
                <w:tab w:val="clear" w:pos="284"/>
              </w:tabs>
              <w:ind w:left="567" w:hanging="567"/>
              <w:rPr>
                <w:lang w:val="en-US"/>
              </w:rPr>
            </w:pPr>
            <w:r>
              <w:rPr>
                <w:vertAlign w:val="superscript"/>
                <w:lang w:val="en-GB"/>
              </w:rPr>
              <w:t>(4)</w:t>
            </w:r>
            <w:r>
              <w:rPr>
                <w:vertAlign w:val="superscript"/>
                <w:lang w:val="en-US"/>
              </w:rPr>
              <w:tab/>
            </w:r>
            <w:r>
              <w:rPr>
                <w:lang w:val="en-US"/>
              </w:rPr>
              <w:t>Earth stations in the amateur-satellite service operating below 30 MHz are in the service category “Amateur services operating below 30 MHz (including with SSB)”.</w:t>
            </w:r>
          </w:p>
          <w:p w:rsidR="00922B8B" w:rsidRPr="002B7B9D" w:rsidRDefault="00922B8B" w:rsidP="004D27B4">
            <w:pPr>
              <w:pStyle w:val="Tablelegend"/>
              <w:tabs>
                <w:tab w:val="clear" w:pos="284"/>
              </w:tabs>
              <w:ind w:left="567" w:hanging="567"/>
              <w:rPr>
                <w:lang w:val="en-US"/>
              </w:rPr>
            </w:pPr>
          </w:p>
        </w:tc>
      </w:tr>
    </w:tbl>
    <w:p w:rsidR="00922B8B" w:rsidRDefault="00922B8B" w:rsidP="00922B8B">
      <w:pPr>
        <w:pStyle w:val="Tablelegend"/>
        <w:keepNext/>
        <w:keepLines/>
        <w:rPr>
          <w:i/>
          <w:iCs/>
          <w:lang w:val="en-US"/>
        </w:rPr>
      </w:pPr>
      <w:bookmarkStart w:id="34" w:name="_Toc393687555"/>
      <w:bookmarkStart w:id="35" w:name="_Toc394112271"/>
      <w:r>
        <w:rPr>
          <w:i/>
          <w:iCs/>
          <w:lang w:val="en-US"/>
        </w:rPr>
        <w:lastRenderedPageBreak/>
        <w:t xml:space="preserve">Notes to Table 2 </w:t>
      </w:r>
      <w:r>
        <w:rPr>
          <w:lang w:val="en-US"/>
        </w:rPr>
        <w:t>(</w:t>
      </w:r>
      <w:r>
        <w:rPr>
          <w:i/>
          <w:iCs/>
          <w:lang w:val="en-US"/>
        </w:rPr>
        <w:t>continued</w:t>
      </w:r>
      <w:r>
        <w:rPr>
          <w:rFonts w:ascii="Tms Rmn" w:hAnsi="Tms Rmn"/>
          <w:sz w:val="12"/>
          <w:lang w:val="en-US"/>
        </w:rPr>
        <w:t> </w:t>
      </w:r>
      <w:r>
        <w:rPr>
          <w:lang w:val="en-US"/>
        </w:rPr>
        <w:t>)</w:t>
      </w:r>
      <w:r>
        <w:rPr>
          <w:i/>
          <w:iCs/>
          <w:lang w:val="en-US"/>
        </w:rPr>
        <w:t>:</w:t>
      </w:r>
    </w:p>
    <w:p w:rsidR="00922B8B" w:rsidRDefault="00922B8B" w:rsidP="00922B8B">
      <w:pPr>
        <w:pStyle w:val="Tablelegend"/>
        <w:keepNext/>
        <w:keepLines/>
        <w:tabs>
          <w:tab w:val="clear" w:pos="284"/>
        </w:tabs>
        <w:ind w:left="567" w:hanging="567"/>
        <w:rPr>
          <w:lang w:val="en-US"/>
        </w:rPr>
      </w:pPr>
      <w:r>
        <w:rPr>
          <w:vertAlign w:val="superscript"/>
          <w:lang w:val="en-GB"/>
        </w:rPr>
        <w:t>(5)</w:t>
      </w:r>
      <w:r>
        <w:rPr>
          <w:lang w:val="en-US"/>
        </w:rPr>
        <w:tab/>
        <w:t>For the case of a single satellite operating with more than one transponder in the same service area, and when considering the limits for spurious domain emissions as indicated in Table 2, spurious domain emissions from one transponder may fall on a frequency at which a second, companion transponder is transmitting. In these situations, the level of spurious domain emissions from the first transponder is well exceeded by the fundamental or out-of-band domain emissions of the second transponder. Therefore, the limits should not apply to those spurious domain emissions of a satellite that fall within either the necessary bandwidth or the out-of-band domain of another transponder on the same satellite, in the same service area (see RR Appendix 3).</w:t>
      </w:r>
    </w:p>
    <w:p w:rsidR="00922B8B" w:rsidRDefault="00922B8B" w:rsidP="00922B8B">
      <w:pPr>
        <w:pStyle w:val="Tablelegend"/>
        <w:tabs>
          <w:tab w:val="clear" w:pos="284"/>
        </w:tabs>
        <w:ind w:left="567" w:hanging="567"/>
        <w:rPr>
          <w:lang w:val="en-US"/>
        </w:rPr>
      </w:pPr>
      <w:r>
        <w:rPr>
          <w:vertAlign w:val="superscript"/>
          <w:lang w:val="en-GB"/>
        </w:rPr>
        <w:t>(6)</w:t>
      </w:r>
      <w:r>
        <w:rPr>
          <w:vertAlign w:val="superscript"/>
          <w:lang w:val="en-US"/>
        </w:rPr>
        <w:tab/>
      </w:r>
      <w:r>
        <w:rPr>
          <w:lang w:val="en-US"/>
        </w:rPr>
        <w:t>Space stations in the space research service intended for operation in deep space as defined by RR No. 1.177 are exempt from spurious domain emission limits.</w:t>
      </w:r>
    </w:p>
    <w:p w:rsidR="00922B8B" w:rsidRDefault="00922B8B" w:rsidP="00922B8B">
      <w:pPr>
        <w:pStyle w:val="Tablelegend"/>
        <w:tabs>
          <w:tab w:val="clear" w:pos="284"/>
        </w:tabs>
        <w:ind w:left="567" w:hanging="567"/>
        <w:rPr>
          <w:lang w:val="en-US"/>
        </w:rPr>
      </w:pPr>
      <w:r>
        <w:rPr>
          <w:vertAlign w:val="superscript"/>
          <w:lang w:val="en-GB"/>
        </w:rPr>
        <w:t>(7)</w:t>
      </w:r>
      <w:r>
        <w:rPr>
          <w:vertAlign w:val="superscript"/>
          <w:lang w:val="en-US"/>
        </w:rPr>
        <w:tab/>
      </w:r>
      <w:r>
        <w:rPr>
          <w:lang w:val="en-US"/>
        </w:rPr>
        <w:t>For radiodetermination systems (radar as defined by RR No. 1.100), spurious domain emission attenuation (dB) shall be determined for radiated emission levels, and not at the antenna transmission line. The measurement method for determining the radiated spurious domain emission levels from radar systems should be guided by Recommendation ITU</w:t>
      </w:r>
      <w:r>
        <w:rPr>
          <w:lang w:val="en-US"/>
        </w:rPr>
        <w:noBreakHyphen/>
        <w:t>R M.1177.</w:t>
      </w:r>
    </w:p>
    <w:p w:rsidR="00922B8B" w:rsidRDefault="00922B8B" w:rsidP="00922B8B">
      <w:pPr>
        <w:pStyle w:val="Tablelegend"/>
        <w:tabs>
          <w:tab w:val="clear" w:pos="284"/>
        </w:tabs>
        <w:ind w:left="567" w:hanging="567"/>
        <w:rPr>
          <w:lang w:val="en-US"/>
        </w:rPr>
      </w:pPr>
      <w:r>
        <w:rPr>
          <w:vertAlign w:val="superscript"/>
          <w:lang w:val="en-GB"/>
        </w:rPr>
        <w:t>(8)</w:t>
      </w:r>
      <w:r>
        <w:rPr>
          <w:lang w:val="en-US"/>
        </w:rPr>
        <w:tab/>
        <w:t>For analogue television transmissions, the mean power level is defined with a specified video signal modulation. This video signal has to be chosen in such a way that the</w:t>
      </w:r>
      <w:r w:rsidR="009E2486">
        <w:rPr>
          <w:lang w:val="en-US"/>
        </w:rPr>
        <w:t xml:space="preserve"> maximum mean power level (e.g.</w:t>
      </w:r>
      <w:r>
        <w:rPr>
          <w:lang w:val="en-US"/>
        </w:rPr>
        <w:t xml:space="preserve"> at the video signal blanking level for negatively modulated television signals) is provided to the antenna transmission line.</w:t>
      </w:r>
    </w:p>
    <w:p w:rsidR="00922B8B" w:rsidRDefault="00922B8B" w:rsidP="00922B8B">
      <w:pPr>
        <w:pStyle w:val="Tablelegend"/>
        <w:tabs>
          <w:tab w:val="clear" w:pos="284"/>
        </w:tabs>
        <w:ind w:left="567" w:hanging="567"/>
        <w:rPr>
          <w:lang w:val="en-US"/>
        </w:rPr>
      </w:pPr>
      <w:r>
        <w:rPr>
          <w:vertAlign w:val="superscript"/>
          <w:lang w:val="en-GB"/>
        </w:rPr>
        <w:t xml:space="preserve"> (9)</w:t>
      </w:r>
      <w:r>
        <w:rPr>
          <w:lang w:val="en-US"/>
        </w:rPr>
        <w:tab/>
        <w:t>All classes of emission using SSB are included in the category “SSB”.</w:t>
      </w:r>
    </w:p>
    <w:p w:rsidR="00922B8B" w:rsidRDefault="00922B8B" w:rsidP="00922B8B">
      <w:pPr>
        <w:pStyle w:val="Tablelegend"/>
        <w:tabs>
          <w:tab w:val="clear" w:pos="284"/>
        </w:tabs>
        <w:ind w:left="567" w:hanging="567"/>
        <w:rPr>
          <w:lang w:val="en-US"/>
        </w:rPr>
      </w:pPr>
      <w:r>
        <w:rPr>
          <w:vertAlign w:val="superscript"/>
          <w:lang w:val="en-GB"/>
        </w:rPr>
        <w:t>(10)</w:t>
      </w:r>
      <w:r>
        <w:rPr>
          <w:lang w:val="en-US"/>
        </w:rPr>
        <w:tab/>
        <w:t>Low power radio device having a maximum output power of less than 100 mW and intended for short range communication or control purposes. (Such equipment is in general exempt from individual licensing.)</w:t>
      </w:r>
    </w:p>
    <w:p w:rsidR="00922B8B" w:rsidRDefault="00922B8B" w:rsidP="00922B8B">
      <w:pPr>
        <w:spacing w:before="0"/>
        <w:rPr>
          <w:lang w:val="en-US"/>
        </w:rPr>
      </w:pPr>
    </w:p>
    <w:p w:rsidR="00922B8B" w:rsidRDefault="00922B8B" w:rsidP="00922B8B">
      <w:pPr>
        <w:pStyle w:val="Heading2"/>
        <w:rPr>
          <w:lang w:val="en-US"/>
        </w:rPr>
      </w:pPr>
      <w:r>
        <w:rPr>
          <w:lang w:val="en-US"/>
        </w:rPr>
        <w:t>4.3</w:t>
      </w:r>
      <w:r>
        <w:rPr>
          <w:lang w:val="en-US"/>
        </w:rPr>
        <w:tab/>
        <w:t>Category B limits</w:t>
      </w:r>
      <w:bookmarkEnd w:id="34"/>
      <w:bookmarkEnd w:id="35"/>
    </w:p>
    <w:p w:rsidR="00922B8B" w:rsidRDefault="00922B8B" w:rsidP="00922B8B">
      <w:pPr>
        <w:rPr>
          <w:lang w:val="en-US"/>
        </w:rPr>
      </w:pPr>
      <w:r>
        <w:rPr>
          <w:lang w:val="en-US"/>
        </w:rPr>
        <w:t>Table 3 indicates the maximum permitted levels of spurious domain emissions, in terms of power level, of any unwanted component supplied by a transmitter to the antenna transmission line for Category B equipment. For all services/systems not quoted in this Table, Category A limits are applicable.</w:t>
      </w:r>
    </w:p>
    <w:p w:rsidR="00922B8B" w:rsidRDefault="00922B8B" w:rsidP="005F2D19">
      <w:pPr>
        <w:pStyle w:val="TableNo"/>
        <w:keepLines/>
        <w:rPr>
          <w:lang w:val="en-US"/>
        </w:rPr>
      </w:pPr>
      <w:r>
        <w:rPr>
          <w:lang w:val="en-US"/>
        </w:rPr>
        <w:lastRenderedPageBreak/>
        <w:t>TABLE 3</w:t>
      </w:r>
    </w:p>
    <w:p w:rsidR="00922B8B" w:rsidRDefault="00922B8B" w:rsidP="00922B8B">
      <w:pPr>
        <w:pStyle w:val="Tabletitle"/>
        <w:keepLines/>
        <w:rPr>
          <w:lang w:val="en-US"/>
        </w:rPr>
      </w:pPr>
      <w:r>
        <w:rPr>
          <w:lang w:val="en-US"/>
        </w:rPr>
        <w:t>Category B limits</w:t>
      </w:r>
    </w:p>
    <w:p w:rsidR="00922B8B" w:rsidRDefault="00922B8B" w:rsidP="00922B8B">
      <w:pPr>
        <w:pStyle w:val="Tabletitle"/>
        <w:keepLines/>
        <w:rPr>
          <w:b w:val="0"/>
          <w:bCs/>
          <w:lang w:val="en-US"/>
        </w:rPr>
      </w:pPr>
      <w:r>
        <w:rPr>
          <w:b w:val="0"/>
          <w:bCs/>
          <w:lang w:val="en-US"/>
        </w:rPr>
        <w:t xml:space="preserve">(See definitions in </w:t>
      </w:r>
      <w:r>
        <w:rPr>
          <w:b w:val="0"/>
          <w:bCs/>
          <w:i/>
          <w:iCs/>
          <w:lang w:val="en-US"/>
        </w:rPr>
        <w:t>recommends</w:t>
      </w:r>
      <w:r>
        <w:rPr>
          <w:b w:val="0"/>
          <w:bCs/>
          <w:lang w:val="en-US"/>
        </w:rPr>
        <w:t xml:space="preserve"> 3.3)</w:t>
      </w:r>
    </w:p>
    <w:tbl>
      <w:tblPr>
        <w:tblW w:w="9639"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3150"/>
        <w:gridCol w:w="6489"/>
      </w:tblGrid>
      <w:tr w:rsidR="00922B8B" w:rsidTr="004D27B4">
        <w:trPr>
          <w:jc w:val="center"/>
        </w:trPr>
        <w:tc>
          <w:tcPr>
            <w:tcW w:w="3150" w:type="dxa"/>
            <w:tcBorders>
              <w:top w:val="single" w:sz="6" w:space="0" w:color="auto"/>
              <w:left w:val="single" w:sz="6" w:space="0" w:color="auto"/>
              <w:bottom w:val="single" w:sz="6" w:space="0" w:color="auto"/>
              <w:right w:val="single" w:sz="6" w:space="0" w:color="auto"/>
            </w:tcBorders>
            <w:tcMar>
              <w:left w:w="57" w:type="dxa"/>
              <w:right w:w="57" w:type="dxa"/>
            </w:tcMar>
          </w:tcPr>
          <w:p w:rsidR="00922B8B" w:rsidRDefault="00922B8B" w:rsidP="004D27B4">
            <w:pPr>
              <w:pStyle w:val="Tablehead"/>
              <w:keepLines/>
              <w:rPr>
                <w:lang w:val="en-US"/>
              </w:rPr>
            </w:pPr>
            <w:r>
              <w:rPr>
                <w:lang w:val="en-US"/>
              </w:rPr>
              <w:t>Type of equipment</w:t>
            </w:r>
          </w:p>
        </w:tc>
        <w:tc>
          <w:tcPr>
            <w:tcW w:w="6489" w:type="dxa"/>
            <w:tcBorders>
              <w:top w:val="single" w:sz="6" w:space="0" w:color="auto"/>
              <w:left w:val="single" w:sz="6" w:space="0" w:color="auto"/>
              <w:bottom w:val="single" w:sz="6" w:space="0" w:color="auto"/>
              <w:right w:val="single" w:sz="6" w:space="0" w:color="auto"/>
            </w:tcBorders>
            <w:tcMar>
              <w:left w:w="57" w:type="dxa"/>
              <w:right w:w="57" w:type="dxa"/>
            </w:tcMar>
          </w:tcPr>
          <w:p w:rsidR="00922B8B" w:rsidRDefault="00922B8B" w:rsidP="004D27B4">
            <w:pPr>
              <w:pStyle w:val="Tablehead"/>
              <w:keepLines/>
              <w:rPr>
                <w:lang w:val="en-US"/>
              </w:rPr>
            </w:pPr>
            <w:r>
              <w:rPr>
                <w:lang w:val="en-US"/>
              </w:rPr>
              <w:t>Limits</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vertAlign w:val="superscript"/>
                <w:lang w:val="en-US"/>
              </w:rPr>
            </w:pPr>
            <w:r>
              <w:rPr>
                <w:lang w:val="en-US"/>
              </w:rPr>
              <w:t>Fixed service</w:t>
            </w:r>
            <w:r>
              <w:rPr>
                <w:vertAlign w:val="superscript"/>
                <w:lang w:val="en-US"/>
              </w:rPr>
              <w:t>(1)</w:t>
            </w:r>
            <w:r>
              <w:rPr>
                <w:position w:val="6"/>
                <w:sz w:val="18"/>
                <w:lang w:val="en-US"/>
              </w:rPr>
              <w:t>,</w:t>
            </w:r>
            <w:r>
              <w:rPr>
                <w:rFonts w:ascii="Tms Rmn" w:hAnsi="Tms Rmn"/>
                <w:position w:val="6"/>
                <w:sz w:val="12"/>
                <w:lang w:val="en-US"/>
              </w:rPr>
              <w:t> </w:t>
            </w:r>
            <w:r>
              <w:rPr>
                <w:vertAlign w:val="superscript"/>
                <w:lang w:val="en-US"/>
              </w:rPr>
              <w:t>(2)</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keepNext/>
              <w:keepLines/>
              <w:tabs>
                <w:tab w:val="clear" w:pos="284"/>
                <w:tab w:val="clear" w:pos="567"/>
                <w:tab w:val="clear" w:pos="851"/>
                <w:tab w:val="clear" w:pos="1134"/>
                <w:tab w:val="left" w:pos="990"/>
              </w:tabs>
              <w:jc w:val="left"/>
              <w:rPr>
                <w:lang w:val="en-US"/>
              </w:rPr>
            </w:pPr>
            <w:r>
              <w:rPr>
                <w:lang w:val="en-US"/>
              </w:rPr>
              <w:t>–50 dBm</w:t>
            </w:r>
            <w:r>
              <w:rPr>
                <w:lang w:val="en-US"/>
              </w:rPr>
              <w:tab/>
              <w:t>for</w:t>
            </w:r>
            <w:r>
              <w:rPr>
                <w:lang w:val="en-US"/>
              </w:rPr>
              <w:tab/>
              <w:t>30 MHz   </w:t>
            </w:r>
            <w:r w:rsidR="00D271DE">
              <w:rPr>
                <w:lang w:val="en-US"/>
              </w:rPr>
              <w:t>≤</w:t>
            </w:r>
            <w:r>
              <w:rPr>
                <w:lang w:val="en-US"/>
              </w:rPr>
              <w:t> </w:t>
            </w:r>
            <w:r>
              <w:rPr>
                <w:i/>
                <w:lang w:val="en-US"/>
              </w:rPr>
              <w:t>f</w:t>
            </w:r>
            <w:r>
              <w:rPr>
                <w:lang w:val="en-US"/>
              </w:rPr>
              <w:t> </w:t>
            </w:r>
            <w:r w:rsidR="004865C3">
              <w:rPr>
                <w:lang w:val="en-US"/>
              </w:rPr>
              <w:t>&lt;</w:t>
            </w:r>
            <w:r>
              <w:rPr>
                <w:lang w:val="en-US"/>
              </w:rPr>
              <w:t> 21.2 GHz</w:t>
            </w:r>
            <w:r>
              <w:rPr>
                <w:vertAlign w:val="superscript"/>
                <w:lang w:val="en-US"/>
              </w:rPr>
              <w:t>(3)</w:t>
            </w:r>
            <w:r>
              <w:rPr>
                <w:position w:val="6"/>
                <w:sz w:val="18"/>
                <w:lang w:val="en-US"/>
              </w:rPr>
              <w:br/>
            </w:r>
            <w:r>
              <w:rPr>
                <w:lang w:val="en-US"/>
              </w:rPr>
              <w:t>–30 dBm</w:t>
            </w:r>
            <w:r>
              <w:rPr>
                <w:lang w:val="en-US"/>
              </w:rPr>
              <w:tab/>
              <w:t>for</w:t>
            </w:r>
            <w:r>
              <w:rPr>
                <w:lang w:val="en-US"/>
              </w:rPr>
              <w:tab/>
              <w:t>21.2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r>
              <w:rPr>
                <w:vertAlign w:val="superscript"/>
                <w:lang w:val="en-US"/>
              </w:rPr>
              <w:t>(3)</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vertAlign w:val="superscript"/>
                <w:lang w:val="en-US"/>
              </w:rPr>
            </w:pPr>
            <w:r>
              <w:rPr>
                <w:lang w:val="en-US"/>
              </w:rPr>
              <w:t>Fixed service – Terminal station (out station with subscriber equipment interfaces)</w:t>
            </w:r>
            <w:r>
              <w:rPr>
                <w:vertAlign w:val="superscript"/>
                <w:lang w:val="en-US"/>
              </w:rPr>
              <w:t>(1)</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left" w:pos="990"/>
              </w:tabs>
              <w:jc w:val="left"/>
              <w:rPr>
                <w:lang w:val="en-US"/>
              </w:rPr>
            </w:pPr>
            <w:r>
              <w:rPr>
                <w:lang w:val="en-US"/>
              </w:rPr>
              <w:t>–</w:t>
            </w:r>
            <w:r>
              <w:rPr>
                <w:rFonts w:ascii="Tms Rmn" w:hAnsi="Tms Rmn"/>
                <w:sz w:val="12"/>
                <w:lang w:val="en-US"/>
              </w:rPr>
              <w:t> </w:t>
            </w:r>
            <w:r>
              <w:rPr>
                <w:lang w:val="en-US"/>
              </w:rPr>
              <w:t>40 dBm</w:t>
            </w:r>
            <w:r>
              <w:rPr>
                <w:lang w:val="en-US"/>
              </w:rPr>
              <w:tab/>
              <w:t>for</w:t>
            </w:r>
            <w:r>
              <w:rPr>
                <w:lang w:val="en-US"/>
              </w:rPr>
              <w:tab/>
              <w:t>30 MHz   </w:t>
            </w:r>
            <w:r w:rsidR="00D271DE">
              <w:rPr>
                <w:lang w:val="en-US"/>
              </w:rPr>
              <w:t>≤</w:t>
            </w:r>
            <w:r>
              <w:rPr>
                <w:lang w:val="en-US"/>
              </w:rPr>
              <w:t> </w:t>
            </w:r>
            <w:r>
              <w:rPr>
                <w:i/>
                <w:lang w:val="en-US"/>
              </w:rPr>
              <w:t>f</w:t>
            </w:r>
            <w:r>
              <w:rPr>
                <w:lang w:val="en-US"/>
              </w:rPr>
              <w:t> </w:t>
            </w:r>
            <w:r>
              <w:rPr>
                <w:szCs w:val="18"/>
                <w:lang w:val="es-ES"/>
              </w:rPr>
              <w:sym w:font="Symbol" w:char="F03C"/>
            </w:r>
            <w:r>
              <w:rPr>
                <w:szCs w:val="18"/>
                <w:lang w:val="en-US"/>
              </w:rPr>
              <w:t> </w:t>
            </w:r>
            <w:r>
              <w:rPr>
                <w:lang w:val="en-US"/>
              </w:rPr>
              <w:t>21.2 GHz</w:t>
            </w:r>
            <w:r>
              <w:rPr>
                <w:vertAlign w:val="superscript"/>
                <w:lang w:val="en-US"/>
              </w:rPr>
              <w:t>(3)</w:t>
            </w:r>
            <w:r>
              <w:rPr>
                <w:position w:val="6"/>
                <w:sz w:val="18"/>
                <w:lang w:val="en-US"/>
              </w:rPr>
              <w:br/>
            </w:r>
            <w:r>
              <w:rPr>
                <w:lang w:val="en-US"/>
              </w:rPr>
              <w:t>–30 dBm</w:t>
            </w:r>
            <w:r>
              <w:rPr>
                <w:lang w:val="en-US"/>
              </w:rPr>
              <w:tab/>
              <w:t>for</w:t>
            </w:r>
            <w:r>
              <w:rPr>
                <w:lang w:val="en-US"/>
              </w:rPr>
              <w:tab/>
              <w:t>21.2 GHz </w:t>
            </w:r>
            <w:r w:rsidR="00D271DE">
              <w:rPr>
                <w:lang w:val="en-US"/>
              </w:rPr>
              <w:t>≤</w:t>
            </w:r>
            <w:r>
              <w:rPr>
                <w:lang w:val="en-US"/>
              </w:rPr>
              <w:t> </w:t>
            </w:r>
            <w:r>
              <w:rPr>
                <w:i/>
                <w:lang w:val="en-US"/>
              </w:rPr>
              <w:t>f</w:t>
            </w:r>
            <w:r>
              <w:rPr>
                <w:lang w:val="en-US"/>
              </w:rPr>
              <w:t> </w:t>
            </w:r>
            <w:r w:rsidR="00D271DE">
              <w:rPr>
                <w:lang w:val="en-US"/>
              </w:rPr>
              <w:t>&lt;</w:t>
            </w:r>
            <w:r>
              <w:rPr>
                <w:lang w:val="en-US"/>
              </w:rPr>
              <w:t xml:space="preserve"> (see </w:t>
            </w:r>
            <w:r>
              <w:rPr>
                <w:i/>
                <w:lang w:val="en-US"/>
              </w:rPr>
              <w:t>recommends</w:t>
            </w:r>
            <w:r>
              <w:rPr>
                <w:lang w:val="en-US"/>
              </w:rPr>
              <w:t> 2.5)</w:t>
            </w:r>
            <w:r>
              <w:rPr>
                <w:vertAlign w:val="superscript"/>
                <w:lang w:val="en-US"/>
              </w:rPr>
              <w:t>(3)</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sidRPr="00041661">
              <w:rPr>
                <w:lang w:val="en-US"/>
              </w:rPr>
              <w:t>Broadband wireless access (BWA)</w:t>
            </w:r>
            <w:r w:rsidRPr="00041661">
              <w:rPr>
                <w:sz w:val="20"/>
                <w:vertAlign w:val="superscript"/>
                <w:lang w:val="en-US"/>
              </w:rPr>
              <w:t xml:space="preserve">(10) </w:t>
            </w:r>
            <w:r w:rsidRPr="00041661">
              <w:rPr>
                <w:lang w:val="en-US"/>
              </w:rPr>
              <w:t>systems operating between 1 GHz and 6 GHz</w:t>
            </w:r>
            <w:r w:rsidRPr="00041661">
              <w:rPr>
                <w:lang w:val="en-US"/>
              </w:rPr>
              <w:br/>
              <w:t>(all transmitting stations)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clear" w:pos="1134"/>
                <w:tab w:val="left" w:pos="990"/>
              </w:tabs>
              <w:jc w:val="left"/>
              <w:rPr>
                <w:lang w:val="en-US"/>
              </w:rPr>
            </w:pPr>
            <w:r w:rsidRPr="00953284">
              <w:rPr>
                <w:lang w:val="en-US"/>
              </w:rPr>
              <w:t>–36 dBm</w:t>
            </w:r>
            <w:r w:rsidRPr="00953284">
              <w:rPr>
                <w:lang w:val="en-US"/>
              </w:rPr>
              <w:tab/>
              <w:t>for</w:t>
            </w:r>
            <w:r w:rsidRPr="00953284">
              <w:rPr>
                <w:lang w:val="en-US"/>
              </w:rPr>
              <w:tab/>
              <w:t>9 kHz   </w:t>
            </w:r>
            <w:r w:rsidR="00D271DE">
              <w:rPr>
                <w:lang w:val="en-US"/>
              </w:rPr>
              <w:t>≤</w:t>
            </w:r>
            <w:r w:rsidRPr="00953284">
              <w:rPr>
                <w:lang w:val="en-US"/>
              </w:rPr>
              <w:t> </w:t>
            </w:r>
            <w:r w:rsidRPr="00953284">
              <w:rPr>
                <w:i/>
                <w:lang w:val="en-US"/>
              </w:rPr>
              <w:t>f</w:t>
            </w:r>
            <w:r w:rsidRPr="00953284">
              <w:rPr>
                <w:lang w:val="en-US"/>
              </w:rPr>
              <w:t> </w:t>
            </w:r>
            <w:r w:rsidR="00D271DE">
              <w:rPr>
                <w:lang w:val="en-US"/>
              </w:rPr>
              <w:t>&lt;</w:t>
            </w:r>
            <w:r w:rsidRPr="00953284">
              <w:rPr>
                <w:lang w:val="en-US"/>
              </w:rPr>
              <w:t> 1 GHz</w:t>
            </w:r>
            <w:r w:rsidRPr="00953284">
              <w:rPr>
                <w:vertAlign w:val="superscript"/>
                <w:lang w:val="en-US"/>
              </w:rPr>
              <w:t>(4)</w:t>
            </w:r>
            <w:r w:rsidRPr="00953284">
              <w:rPr>
                <w:position w:val="6"/>
                <w:lang w:val="en-US"/>
              </w:rPr>
              <w:br/>
            </w:r>
            <w:r w:rsidRPr="00953284">
              <w:rPr>
                <w:lang w:val="en-US"/>
              </w:rPr>
              <w:t>–30 dBm</w:t>
            </w:r>
            <w:r w:rsidRPr="00953284">
              <w:rPr>
                <w:lang w:val="en-US"/>
              </w:rPr>
              <w:tab/>
              <w:t>for</w:t>
            </w:r>
            <w:r w:rsidRPr="00953284">
              <w:rPr>
                <w:lang w:val="en-US"/>
              </w:rPr>
              <w:tab/>
              <w:t>1 GHz    </w:t>
            </w:r>
            <w:r w:rsidR="00D271DE">
              <w:rPr>
                <w:lang w:val="en-US"/>
              </w:rPr>
              <w:t>≤</w:t>
            </w:r>
            <w:r w:rsidRPr="00953284">
              <w:rPr>
                <w:lang w:val="en-US"/>
              </w:rPr>
              <w:t> </w:t>
            </w:r>
            <w:r w:rsidRPr="00953284">
              <w:rPr>
                <w:i/>
                <w:lang w:val="en-US"/>
              </w:rPr>
              <w:t>f</w:t>
            </w:r>
            <w:r w:rsidRPr="00953284">
              <w:rPr>
                <w:lang w:val="en-US"/>
              </w:rPr>
              <w:t> </w:t>
            </w:r>
            <w:r w:rsidR="00D271DE">
              <w:rPr>
                <w:lang w:val="en-US"/>
              </w:rPr>
              <w:t>&lt;</w:t>
            </w:r>
            <w:r w:rsidRPr="00953284">
              <w:rPr>
                <w:lang w:val="en-US"/>
              </w:rPr>
              <w:t xml:space="preserve"> (see </w:t>
            </w:r>
            <w:r w:rsidRPr="00953284">
              <w:rPr>
                <w:i/>
                <w:lang w:val="en-US"/>
              </w:rPr>
              <w:t>recommends</w:t>
            </w:r>
            <w:r w:rsidRPr="00953284">
              <w:rPr>
                <w:lang w:val="en-US"/>
              </w:rPr>
              <w:t> 2.5)</w:t>
            </w:r>
            <w:r w:rsidRPr="00953284">
              <w:rPr>
                <w:vertAlign w:val="superscript"/>
                <w:lang w:val="en-US"/>
              </w:rPr>
              <w:t>(4)</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Land mobile service (mobiles and base stations)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D271DE">
            <w:pPr>
              <w:pStyle w:val="Tabletext"/>
              <w:keepNext/>
              <w:keepLines/>
              <w:tabs>
                <w:tab w:val="clear" w:pos="284"/>
                <w:tab w:val="clear" w:pos="567"/>
                <w:tab w:val="clear" w:pos="851"/>
                <w:tab w:val="clear" w:pos="1134"/>
                <w:tab w:val="left" w:pos="990"/>
              </w:tabs>
              <w:jc w:val="left"/>
              <w:rPr>
                <w:lang w:val="en-US"/>
              </w:rPr>
            </w:pPr>
            <w:r>
              <w:rPr>
                <w:lang w:val="en-US"/>
              </w:rPr>
              <w:t>–36 dBm</w:t>
            </w:r>
            <w:r>
              <w:rPr>
                <w:lang w:val="en-US"/>
              </w:rPr>
              <w:tab/>
              <w:t>for</w:t>
            </w:r>
            <w:r>
              <w:rPr>
                <w:lang w:val="en-US"/>
              </w:rPr>
              <w:tab/>
            </w:r>
            <w:r>
              <w:rPr>
                <w:lang w:val="es-ES"/>
              </w:rPr>
              <w:t> </w:t>
            </w:r>
            <w:r>
              <w:rPr>
                <w:lang w:val="en-US"/>
              </w:rPr>
              <w:t>9 kHz</w:t>
            </w:r>
            <w:r>
              <w:rPr>
                <w:lang w:val="es-ES"/>
              </w:rPr>
              <w:t> </w:t>
            </w:r>
            <w:r>
              <w:rPr>
                <w:lang w:val="en-US"/>
              </w:rPr>
              <w:t xml:space="preserve"> </w:t>
            </w:r>
            <w:r w:rsidR="00D271DE">
              <w:rPr>
                <w:lang w:val="en-US"/>
              </w:rPr>
              <w:t>≤</w:t>
            </w:r>
            <w:r>
              <w:rPr>
                <w:lang w:val="en-US"/>
              </w:rPr>
              <w:t> </w:t>
            </w:r>
            <w:r>
              <w:rPr>
                <w:i/>
                <w:lang w:val="en-US"/>
              </w:rPr>
              <w:t>f</w:t>
            </w:r>
            <w:r>
              <w:rPr>
                <w:lang w:val="en-US"/>
              </w:rPr>
              <w:t> </w:t>
            </w:r>
            <w:r w:rsidR="00D271DE" w:rsidRPr="00D271DE">
              <w:rPr>
                <w:szCs w:val="18"/>
                <w:lang w:val="en-US"/>
              </w:rPr>
              <w:t>&lt;</w:t>
            </w:r>
            <w:r>
              <w:rPr>
                <w:lang w:val="en-US"/>
              </w:rPr>
              <w:t> 30 MHz</w:t>
            </w:r>
            <w:r>
              <w:rPr>
                <w:lang w:val="en-US"/>
              </w:rPr>
              <w:br/>
              <w:t>–36 dBm</w:t>
            </w:r>
            <w:r>
              <w:rPr>
                <w:lang w:val="en-US"/>
              </w:rPr>
              <w:tab/>
              <w:t>for</w:t>
            </w:r>
            <w:r>
              <w:rPr>
                <w:lang w:val="en-US"/>
              </w:rPr>
              <w:tab/>
              <w:t>30 MHz   </w:t>
            </w:r>
            <w:r w:rsidR="00D271DE">
              <w:rPr>
                <w:lang w:val="en-US"/>
              </w:rPr>
              <w:t>≤</w:t>
            </w:r>
            <w:r>
              <w:rPr>
                <w:lang w:val="en-US"/>
              </w:rPr>
              <w:t> </w:t>
            </w:r>
            <w:r>
              <w:rPr>
                <w:i/>
                <w:lang w:val="en-US"/>
              </w:rPr>
              <w:t>f</w:t>
            </w:r>
            <w:r>
              <w:rPr>
                <w:lang w:val="en-US"/>
              </w:rPr>
              <w:t> </w:t>
            </w:r>
            <w:r w:rsidR="00D271DE">
              <w:rPr>
                <w:lang w:val="en-US"/>
              </w:rPr>
              <w:t>&lt;</w:t>
            </w:r>
            <w:r>
              <w:rPr>
                <w:szCs w:val="18"/>
                <w:lang w:val="en-US"/>
              </w:rPr>
              <w:t> </w:t>
            </w:r>
            <w:r>
              <w:rPr>
                <w:lang w:val="en-US"/>
              </w:rPr>
              <w:t>1 GHz</w:t>
            </w:r>
            <w:r>
              <w:rPr>
                <w:vertAlign w:val="superscript"/>
                <w:lang w:val="en-US"/>
              </w:rPr>
              <w:t>(4)</w:t>
            </w:r>
            <w:r>
              <w:rPr>
                <w:position w:val="6"/>
                <w:sz w:val="14"/>
                <w:lang w:val="en-US"/>
              </w:rPr>
              <w:br/>
            </w:r>
            <w:r>
              <w:rPr>
                <w:lang w:val="en-US"/>
              </w:rPr>
              <w:t>–30 dBm</w:t>
            </w:r>
            <w:r>
              <w:rPr>
                <w:lang w:val="en-US"/>
              </w:rPr>
              <w:tab/>
              <w:t>for</w:t>
            </w:r>
            <w:r>
              <w:rPr>
                <w:lang w:val="en-US"/>
              </w:rPr>
              <w:tab/>
            </w:r>
            <w:r>
              <w:rPr>
                <w:lang w:val="es-ES"/>
              </w:rPr>
              <w:t> </w:t>
            </w:r>
            <w:r>
              <w:rPr>
                <w:lang w:val="en-US"/>
              </w:rPr>
              <w:t>1 GHz    </w:t>
            </w:r>
            <w:r w:rsidR="00D271DE">
              <w:rPr>
                <w:lang w:val="en-US"/>
              </w:rPr>
              <w:t>≤</w:t>
            </w:r>
            <w:r>
              <w:rPr>
                <w:lang w:val="en-US"/>
              </w:rPr>
              <w:t> </w:t>
            </w:r>
            <w:r>
              <w:rPr>
                <w:i/>
                <w:lang w:val="en-US"/>
              </w:rPr>
              <w:t>f</w:t>
            </w:r>
            <w:r>
              <w:rPr>
                <w:lang w:val="en-US"/>
              </w:rPr>
              <w:t> </w:t>
            </w:r>
            <w:r w:rsidR="00D271DE">
              <w:rPr>
                <w:lang w:val="en-US"/>
              </w:rPr>
              <w:t>&lt;</w:t>
            </w:r>
            <w:r>
              <w:rPr>
                <w:lang w:val="en-US"/>
              </w:rPr>
              <w:t xml:space="preserve"> (see </w:t>
            </w:r>
            <w:r>
              <w:rPr>
                <w:i/>
                <w:lang w:val="en-US"/>
              </w:rPr>
              <w:t>recommends</w:t>
            </w:r>
            <w:r>
              <w:rPr>
                <w:lang w:val="en-US"/>
              </w:rPr>
              <w:t> 2.5)</w:t>
            </w:r>
            <w:r>
              <w:rPr>
                <w:vertAlign w:val="superscript"/>
                <w:lang w:val="en-US"/>
              </w:rPr>
              <w:t>(4)</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VSAT (very small aperture terminal)</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sidRPr="002B7B9D">
              <w:rPr>
                <w:lang w:val="en-US"/>
              </w:rPr>
              <w:t>See limits in Recommendation ITU-R S.726</w:t>
            </w:r>
          </w:p>
        </w:tc>
      </w:tr>
      <w:tr w:rsidR="00922B8B" w:rsidRPr="00D271DE"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FM broadcasting</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keepNext/>
              <w:keepLines/>
              <w:jc w:val="left"/>
              <w:rPr>
                <w:lang w:val="en-US"/>
              </w:rPr>
            </w:pPr>
            <w:r>
              <w:rPr>
                <w:lang w:val="en-US"/>
              </w:rPr>
              <w:t xml:space="preserve">87.5 MHz </w:t>
            </w:r>
            <w:r w:rsidR="00D271DE">
              <w:rPr>
                <w:lang w:val="en-US"/>
              </w:rPr>
              <w:t>≤</w:t>
            </w:r>
            <w:r>
              <w:rPr>
                <w:lang w:val="en-US"/>
              </w:rPr>
              <w:t> </w:t>
            </w:r>
            <w:r>
              <w:rPr>
                <w:i/>
                <w:lang w:val="en-US"/>
              </w:rPr>
              <w:t>f</w:t>
            </w:r>
            <w:r>
              <w:rPr>
                <w:lang w:val="en-US"/>
              </w:rPr>
              <w:t> </w:t>
            </w:r>
            <w:r w:rsidR="00D271DE">
              <w:rPr>
                <w:lang w:val="en-US"/>
              </w:rPr>
              <w:t>≤</w:t>
            </w:r>
            <w:r>
              <w:rPr>
                <w:lang w:val="en-US"/>
              </w:rPr>
              <w:t xml:space="preserve"> 137 MHz:</w:t>
            </w:r>
          </w:p>
          <w:p w:rsidR="00922B8B" w:rsidRDefault="00922B8B" w:rsidP="003C0A65">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left" w:pos="270"/>
                <w:tab w:val="left" w:pos="1350"/>
                <w:tab w:val="left" w:pos="2747"/>
              </w:tabs>
              <w:jc w:val="left"/>
              <w:rPr>
                <w:lang w:val="en-US"/>
              </w:rPr>
            </w:pPr>
            <w:r>
              <w:rPr>
                <w:lang w:val="en-US"/>
              </w:rPr>
              <w:tab/>
              <w:t>–36 dBm</w:t>
            </w:r>
            <w:r>
              <w:rPr>
                <w:lang w:val="en-US"/>
              </w:rPr>
              <w:tab/>
              <w:t>for</w:t>
            </w:r>
            <w:r>
              <w:rPr>
                <w:lang w:val="en-US"/>
              </w:rPr>
              <w:tab/>
              <w:t xml:space="preserve"> </w:t>
            </w:r>
            <w:r>
              <w:rPr>
                <w:sz w:val="6"/>
                <w:lang w:val="en-US"/>
              </w:rPr>
              <w:t xml:space="preserve"> </w:t>
            </w:r>
            <w:r>
              <w:rPr>
                <w:i/>
                <w:lang w:val="en-US"/>
              </w:rPr>
              <w:t>P</w:t>
            </w:r>
            <w:r>
              <w:rPr>
                <w:lang w:val="en-US"/>
              </w:rPr>
              <w:t> </w:t>
            </w:r>
            <w:r w:rsidR="004865C3">
              <w:rPr>
                <w:lang w:val="en-US"/>
              </w:rPr>
              <w:t>&lt;</w:t>
            </w:r>
            <w:r>
              <w:rPr>
                <w:lang w:val="en-US"/>
              </w:rPr>
              <w:t> 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75 dBc</w:t>
            </w:r>
            <w:r>
              <w:rPr>
                <w:lang w:val="en-US"/>
              </w:rPr>
              <w:tab/>
              <w:t xml:space="preserve">for </w:t>
            </w:r>
            <w:r>
              <w:rPr>
                <w:lang w:val="en-US"/>
              </w:rPr>
              <w:tab/>
              <w:t xml:space="preserve">  9 dBW </w:t>
            </w:r>
            <w:r w:rsidR="00D271DE">
              <w:rPr>
                <w:lang w:val="en-US"/>
              </w:rPr>
              <w:t>≤</w:t>
            </w:r>
            <w:r>
              <w:rPr>
                <w:lang w:val="en-US"/>
              </w:rPr>
              <w:t> </w:t>
            </w:r>
            <w:r>
              <w:rPr>
                <w:i/>
                <w:lang w:val="en-US"/>
              </w:rPr>
              <w:t>P</w:t>
            </w:r>
            <w:r>
              <w:rPr>
                <w:lang w:val="en-US"/>
              </w:rPr>
              <w:t> </w:t>
            </w:r>
            <w:r w:rsidR="004865C3">
              <w:rPr>
                <w:lang w:val="en-US"/>
              </w:rPr>
              <w:t>&lt;</w:t>
            </w:r>
            <w:r>
              <w:rPr>
                <w:lang w:val="en-US"/>
              </w:rPr>
              <w:t> 29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–16 dBm</w:t>
            </w:r>
            <w:r>
              <w:rPr>
                <w:lang w:val="en-US"/>
              </w:rPr>
              <w:tab/>
              <w:t>for</w:t>
            </w:r>
            <w:r>
              <w:rPr>
                <w:lang w:val="en-US"/>
              </w:rPr>
              <w:tab/>
              <w:t>29 dBW </w:t>
            </w:r>
            <w:r w:rsidR="00D271DE">
              <w:rPr>
                <w:lang w:val="en-US"/>
              </w:rPr>
              <w:t>≤</w:t>
            </w:r>
            <w:r>
              <w:rPr>
                <w:lang w:val="en-US"/>
              </w:rPr>
              <w:t> </w:t>
            </w:r>
            <w:r>
              <w:rPr>
                <w:i/>
                <w:lang w:val="en-US"/>
              </w:rPr>
              <w:t>P</w:t>
            </w:r>
            <w:r>
              <w:rPr>
                <w:lang w:val="en-US"/>
              </w:rPr>
              <w:t> </w:t>
            </w:r>
            <w:r w:rsidR="004865C3">
              <w:rPr>
                <w:lang w:val="en-US"/>
              </w:rPr>
              <w:t>&lt;</w:t>
            </w:r>
            <w:r>
              <w:rPr>
                <w:lang w:val="en-US"/>
              </w:rPr>
              <w:t> 39 dBW</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85 dBc</w:t>
            </w:r>
            <w:r>
              <w:rPr>
                <w:lang w:val="en-US"/>
              </w:rPr>
              <w:tab/>
              <w:t>for</w:t>
            </w:r>
            <w:r>
              <w:rPr>
                <w:lang w:val="en-US"/>
              </w:rPr>
              <w:tab/>
              <w:t>39 dBW </w:t>
            </w:r>
            <w:r w:rsidR="00D271DE">
              <w:rPr>
                <w:lang w:val="en-US"/>
              </w:rPr>
              <w:t>≤</w:t>
            </w:r>
            <w:r>
              <w:rPr>
                <w:lang w:val="en-US"/>
              </w:rPr>
              <w:t> </w:t>
            </w:r>
            <w:r>
              <w:rPr>
                <w:i/>
                <w:lang w:val="en-US"/>
              </w:rPr>
              <w:t>P</w:t>
            </w:r>
            <w:r>
              <w:rPr>
                <w:lang w:val="en-US"/>
              </w:rPr>
              <w:t> </w:t>
            </w:r>
            <w:r w:rsidR="004865C3">
              <w:rPr>
                <w:lang w:val="en-US"/>
              </w:rPr>
              <w:t>&lt;</w:t>
            </w:r>
            <w:r>
              <w:rPr>
                <w:lang w:val="en-US"/>
              </w:rPr>
              <w:t> 50 dBW</w:t>
            </w:r>
          </w:p>
          <w:p w:rsidR="00922B8B" w:rsidRDefault="00922B8B" w:rsidP="004D27B4">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–5 dBm</w:t>
            </w:r>
            <w:r>
              <w:rPr>
                <w:lang w:val="en-US"/>
              </w:rPr>
              <w:tab/>
              <w:t>for</w:t>
            </w:r>
            <w:r>
              <w:rPr>
                <w:lang w:val="en-US"/>
              </w:rPr>
              <w:tab/>
              <w:t>50 dBW </w:t>
            </w:r>
            <w:r w:rsidR="00D271DE">
              <w:rPr>
                <w:lang w:val="en-US"/>
              </w:rPr>
              <w:t>≤</w:t>
            </w:r>
            <w:r>
              <w:rPr>
                <w:lang w:val="en-US"/>
              </w:rPr>
              <w:t> </w:t>
            </w:r>
            <w:r>
              <w:rPr>
                <w:i/>
                <w:lang w:val="en-US"/>
              </w:rPr>
              <w:t>P</w:t>
            </w:r>
          </w:p>
          <w:p w:rsidR="00922B8B" w:rsidRDefault="00922B8B" w:rsidP="004865C3">
            <w:pPr>
              <w:pStyle w:val="Tabletext"/>
              <w:keepNext/>
              <w:keepLines/>
              <w:jc w:val="left"/>
              <w:rPr>
                <w:lang w:val="en-US"/>
              </w:rPr>
            </w:pPr>
            <w:r>
              <w:rPr>
                <w:lang w:val="en-US"/>
              </w:rPr>
              <w:t>30 MHz </w:t>
            </w:r>
            <w:r w:rsidR="004865C3">
              <w:rPr>
                <w:lang w:val="en-US"/>
              </w:rPr>
              <w:t>&lt;</w:t>
            </w:r>
            <w:r>
              <w:rPr>
                <w:lang w:val="en-US"/>
              </w:rPr>
              <w:t> </w:t>
            </w:r>
            <w:r>
              <w:rPr>
                <w:i/>
                <w:lang w:val="en-US"/>
              </w:rPr>
              <w:t>f</w:t>
            </w:r>
            <w:r>
              <w:rPr>
                <w:lang w:val="en-US"/>
              </w:rPr>
              <w:t> </w:t>
            </w:r>
            <w:r w:rsidR="004865C3">
              <w:rPr>
                <w:lang w:val="en-US"/>
              </w:rPr>
              <w:t>&lt;</w:t>
            </w:r>
            <w:r>
              <w:rPr>
                <w:lang w:val="en-US"/>
              </w:rPr>
              <w:t> 87.5 MHz and 137 MHz </w:t>
            </w:r>
            <w:r w:rsidR="004865C3">
              <w:rPr>
                <w:lang w:val="en-US"/>
              </w:rPr>
              <w:t>&lt;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p w:rsidR="00922B8B" w:rsidRDefault="00922B8B" w:rsidP="003C0A65">
            <w:pPr>
              <w:pStyle w:val="Tabletext"/>
              <w:keepNext/>
              <w:keepLines/>
              <w:tabs>
                <w:tab w:val="clear" w:pos="284"/>
                <w:tab w:val="clear" w:pos="567"/>
                <w:tab w:val="clear" w:pos="851"/>
                <w:tab w:val="clear" w:pos="1134"/>
                <w:tab w:val="clear" w:pos="1418"/>
                <w:tab w:val="clear" w:pos="1701"/>
                <w:tab w:val="clear" w:pos="1985"/>
                <w:tab w:val="clear" w:pos="2268"/>
                <w:tab w:val="clear" w:pos="2552"/>
                <w:tab w:val="left" w:pos="270"/>
                <w:tab w:val="left" w:pos="1350"/>
                <w:tab w:val="left" w:pos="2747"/>
              </w:tabs>
              <w:jc w:val="left"/>
              <w:rPr>
                <w:lang w:val="en-US"/>
              </w:rPr>
            </w:pPr>
            <w:r>
              <w:rPr>
                <w:lang w:val="en-US"/>
              </w:rPr>
              <w:tab/>
              <w:t>–36 dBm</w:t>
            </w:r>
            <w:r>
              <w:rPr>
                <w:lang w:val="en-US"/>
              </w:rPr>
              <w:tab/>
              <w:t>for</w:t>
            </w:r>
            <w:r>
              <w:rPr>
                <w:lang w:val="en-US"/>
              </w:rPr>
              <w:tab/>
            </w:r>
            <w:r w:rsidR="003C0A65">
              <w:rPr>
                <w:lang w:val="en-US"/>
              </w:rPr>
              <w:t> </w:t>
            </w:r>
            <w:r w:rsidR="005F2D19">
              <w:rPr>
                <w:lang w:val="en-US"/>
              </w:rPr>
              <w:t> </w:t>
            </w:r>
            <w:r>
              <w:rPr>
                <w:i/>
                <w:lang w:val="en-US"/>
              </w:rPr>
              <w:t>P</w:t>
            </w:r>
            <w:r>
              <w:rPr>
                <w:lang w:val="en-US"/>
              </w:rPr>
              <w:t> </w:t>
            </w:r>
            <w:r w:rsidR="004865C3">
              <w:rPr>
                <w:lang w:val="en-US"/>
              </w:rPr>
              <w:t>&lt;</w:t>
            </w:r>
            <w:r>
              <w:rPr>
                <w:lang w:val="en-US"/>
              </w:rPr>
              <w:t> 4 dBW</w:t>
            </w:r>
            <w:r>
              <w:rPr>
                <w:lang w:val="es-ES"/>
              </w:rPr>
              <w:t> </w:t>
            </w:r>
          </w:p>
          <w:p w:rsidR="00922B8B" w:rsidRDefault="00922B8B" w:rsidP="004865C3">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70 dBc</w:t>
            </w:r>
            <w:r>
              <w:rPr>
                <w:lang w:val="en-US"/>
              </w:rPr>
              <w:tab/>
              <w:t>for</w:t>
            </w:r>
            <w:r>
              <w:rPr>
                <w:lang w:val="en-US"/>
              </w:rPr>
              <w:tab/>
            </w:r>
            <w:r>
              <w:rPr>
                <w:lang w:val="es-ES"/>
              </w:rPr>
              <w:t> </w:t>
            </w:r>
            <w:r>
              <w:rPr>
                <w:lang w:val="en-US"/>
              </w:rPr>
              <w:t>4 dBW </w:t>
            </w:r>
            <w:r w:rsidR="00D271DE">
              <w:rPr>
                <w:lang w:val="en-US"/>
              </w:rPr>
              <w:t>≤</w:t>
            </w:r>
            <w:r>
              <w:rPr>
                <w:lang w:val="en-US"/>
              </w:rPr>
              <w:t> </w:t>
            </w:r>
            <w:r>
              <w:rPr>
                <w:i/>
                <w:lang w:val="en-US"/>
              </w:rPr>
              <w:t>P</w:t>
            </w:r>
            <w:r>
              <w:rPr>
                <w:lang w:val="en-US"/>
              </w:rPr>
              <w:t> </w:t>
            </w:r>
            <w:r w:rsidR="004865C3">
              <w:rPr>
                <w:lang w:val="en-US"/>
              </w:rPr>
              <w:t>&lt;</w:t>
            </w:r>
            <w:r>
              <w:rPr>
                <w:lang w:val="en-US"/>
              </w:rPr>
              <w:t> 40 dBW</w:t>
            </w:r>
          </w:p>
          <w:p w:rsidR="00922B8B" w:rsidRDefault="00922B8B" w:rsidP="004D27B4">
            <w:pPr>
              <w:pStyle w:val="Tabletext"/>
              <w:keepNext/>
              <w:keepLines/>
              <w:tabs>
                <w:tab w:val="clear" w:pos="284"/>
                <w:tab w:val="clear" w:pos="567"/>
                <w:tab w:val="clear" w:pos="851"/>
                <w:tab w:val="clear" w:pos="1134"/>
                <w:tab w:val="clear" w:pos="1701"/>
                <w:tab w:val="left" w:pos="270"/>
                <w:tab w:val="left" w:pos="1350"/>
                <w:tab w:val="left" w:pos="1890"/>
              </w:tabs>
              <w:jc w:val="left"/>
              <w:rPr>
                <w:lang w:val="en-US"/>
              </w:rPr>
            </w:pPr>
            <w:r>
              <w:rPr>
                <w:lang w:val="en-US"/>
              </w:rPr>
              <w:tab/>
              <w:t>     0 dBm</w:t>
            </w:r>
            <w:r>
              <w:rPr>
                <w:lang w:val="en-US"/>
              </w:rPr>
              <w:tab/>
              <w:t>for</w:t>
            </w:r>
            <w:r>
              <w:rPr>
                <w:lang w:val="en-US"/>
              </w:rPr>
              <w:tab/>
              <w:t>40 dBW </w:t>
            </w:r>
            <w:r w:rsidR="00D271DE">
              <w:rPr>
                <w:lang w:val="en-US"/>
              </w:rPr>
              <w:t>≤</w:t>
            </w:r>
            <w:r>
              <w:rPr>
                <w:lang w:val="en-US"/>
              </w:rPr>
              <w:t> </w:t>
            </w:r>
            <w:r>
              <w:rPr>
                <w:i/>
                <w:lang w:val="en-US"/>
              </w:rPr>
              <w:t>P</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sidRPr="002B7B9D">
              <w:rPr>
                <w:lang w:val="en-US"/>
              </w:rPr>
              <w:t>Radar systems in the radiodetermination service</w:t>
            </w:r>
            <w:r>
              <w:rPr>
                <w:vertAlign w:val="superscript"/>
                <w:lang w:val="en-US"/>
              </w:rPr>
              <w:t>(5)</w:t>
            </w:r>
            <w:r>
              <w:rPr>
                <w:position w:val="6"/>
                <w:sz w:val="18"/>
                <w:lang w:val="en-US"/>
              </w:rPr>
              <w:t>,</w:t>
            </w:r>
            <w:r>
              <w:rPr>
                <w:rFonts w:ascii="Tms Rmn" w:hAnsi="Tms Rmn"/>
                <w:position w:val="6"/>
                <w:sz w:val="12"/>
                <w:lang w:val="en-US"/>
              </w:rPr>
              <w:t> </w:t>
            </w:r>
            <w:r>
              <w:rPr>
                <w:vertAlign w:val="superscript"/>
                <w:lang w:val="en-US"/>
              </w:rPr>
              <w:t>(6)</w:t>
            </w:r>
            <w:r w:rsidRPr="002B7B9D">
              <w:rPr>
                <w:lang w:val="en-US"/>
              </w:rPr>
              <w:t>:</w:t>
            </w:r>
          </w:p>
          <w:p w:rsidR="00922B8B" w:rsidRDefault="00922B8B" w:rsidP="005F2D19">
            <w:pPr>
              <w:pStyle w:val="Tabletext"/>
              <w:jc w:val="left"/>
              <w:rPr>
                <w:i/>
                <w:lang w:val="en-US"/>
              </w:rPr>
            </w:pPr>
            <w:r>
              <w:rPr>
                <w:lang w:val="en-US"/>
              </w:rPr>
              <w:t>Fixed radiodetermination stations</w:t>
            </w:r>
            <w:r>
              <w:rPr>
                <w:vertAlign w:val="superscript"/>
                <w:lang w:val="en-US"/>
              </w:rPr>
              <w:t>(7)</w:t>
            </w:r>
            <w:r w:rsidDel="00164596">
              <w:rPr>
                <w:vertAlign w:val="superscript"/>
                <w:lang w:val="en-US"/>
              </w:rPr>
              <w:t xml:space="preserve"> </w:t>
            </w:r>
            <w:r>
              <w:rPr>
                <w:position w:val="6"/>
                <w:sz w:val="18"/>
                <w:lang w:val="en-US"/>
              </w:rPr>
              <w:br/>
            </w:r>
            <w:r>
              <w:rPr>
                <w:lang w:val="en-US"/>
              </w:rPr>
              <w:t>(except multifrequency, active array radars</w:t>
            </w:r>
            <w:r>
              <w:rPr>
                <w:vertAlign w:val="superscript"/>
                <w:lang w:val="en-US"/>
              </w:rPr>
              <w:t>(8)</w:t>
            </w:r>
            <w:r>
              <w:rPr>
                <w:lang w:val="en-US"/>
              </w:rPr>
              <w:t xml:space="preserve"> and meteorological radars)</w:t>
            </w:r>
          </w:p>
          <w:p w:rsidR="00922B8B" w:rsidRDefault="00922B8B" w:rsidP="004D27B4">
            <w:pPr>
              <w:pStyle w:val="Tabletext"/>
              <w:jc w:val="left"/>
              <w:rPr>
                <w:lang w:val="en-US"/>
              </w:rPr>
            </w:pPr>
            <w:r w:rsidRPr="00953284">
              <w:rPr>
                <w:lang w:val="en-US"/>
              </w:rPr>
              <w:t>Meteorological radars</w:t>
            </w:r>
            <w:r w:rsidRPr="00953284">
              <w:rPr>
                <w:lang w:val="en-US"/>
              </w:rPr>
              <w:br/>
              <w:t>(except wind profiler radars)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Pr="00041661" w:rsidRDefault="00922B8B" w:rsidP="004D27B4">
            <w:pPr>
              <w:pStyle w:val="Tabletext"/>
              <w:keepNext/>
              <w:keepLines/>
              <w:tabs>
                <w:tab w:val="right" w:pos="9611"/>
              </w:tabs>
              <w:jc w:val="left"/>
              <w:rPr>
                <w:lang w:val="en-US"/>
              </w:rPr>
            </w:pPr>
            <w:r w:rsidRPr="00041661">
              <w:rPr>
                <w:lang w:val="en-US"/>
              </w:rPr>
              <w:t>Absolute levels (dBm in PEP in the reference bandwidth) or attenuation (dB) below the power (PEP) (whichever is less stringent):</w:t>
            </w:r>
          </w:p>
          <w:p w:rsidR="005F2D19" w:rsidRDefault="00922B8B" w:rsidP="004D27B4">
            <w:pPr>
              <w:pStyle w:val="Tabletext"/>
              <w:jc w:val="left"/>
              <w:rPr>
                <w:lang w:val="en-US"/>
              </w:rPr>
            </w:pPr>
            <w:r>
              <w:rPr>
                <w:lang w:val="en-US"/>
              </w:rPr>
              <w:t xml:space="preserve">–30 dBm or 100 dB </w:t>
            </w:r>
            <w:r>
              <w:rPr>
                <w:lang w:val="en-US"/>
              </w:rPr>
              <w:br/>
            </w:r>
            <w:r>
              <w:rPr>
                <w:lang w:val="en-US"/>
              </w:rPr>
              <w:br/>
            </w:r>
            <w:r>
              <w:rPr>
                <w:lang w:val="en-US"/>
              </w:rPr>
              <w:br/>
            </w:r>
          </w:p>
          <w:p w:rsidR="00922B8B" w:rsidRDefault="00922B8B" w:rsidP="00D271DE">
            <w:pPr>
              <w:pStyle w:val="Tabletext"/>
              <w:jc w:val="left"/>
              <w:rPr>
                <w:lang w:val="en-US"/>
              </w:rPr>
            </w:pPr>
            <w:r>
              <w:rPr>
                <w:lang w:val="en-US"/>
              </w:rPr>
              <w:br/>
            </w:r>
            <w:r w:rsidRPr="00953284">
              <w:rPr>
                <w:lang w:val="en-US"/>
              </w:rPr>
              <w:t xml:space="preserve">–30 dBm or 100 dB, for PEP </w:t>
            </w:r>
            <w:r w:rsidR="00D271DE">
              <w:rPr>
                <w:lang w:val="en-US"/>
              </w:rPr>
              <w:t>≤</w:t>
            </w:r>
            <w:r w:rsidRPr="00953284">
              <w:rPr>
                <w:lang w:val="en-US"/>
              </w:rPr>
              <w:t xml:space="preserve"> 150 kW;</w:t>
            </w:r>
            <w:r w:rsidRPr="00953284">
              <w:rPr>
                <w:lang w:val="en-US"/>
              </w:rPr>
              <w:br/>
              <w:t>–</w:t>
            </w:r>
            <w:r w:rsidR="00D271DE">
              <w:rPr>
                <w:lang w:val="en-US"/>
              </w:rPr>
              <w:t>30 dBm or 90 dB, for PEP &gt;</w:t>
            </w:r>
            <w:r w:rsidRPr="00953284">
              <w:rPr>
                <w:lang w:val="en-US"/>
              </w:rPr>
              <w:t xml:space="preserve"> 150 kW</w:t>
            </w:r>
            <w:r w:rsidRPr="00041661">
              <w:rPr>
                <w:sz w:val="20"/>
                <w:vertAlign w:val="superscript"/>
                <w:lang w:val="en-US"/>
              </w:rPr>
              <w:t>(9)</w:t>
            </w:r>
          </w:p>
        </w:tc>
      </w:tr>
      <w:tr w:rsidR="00922B8B" w:rsidRPr="00EB70C7" w:rsidTr="004D27B4">
        <w:tblPrEx>
          <w:tblCellMar>
            <w:left w:w="108" w:type="dxa"/>
            <w:right w:w="108" w:type="dxa"/>
          </w:tblCellMar>
        </w:tblPrEx>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sidRPr="002B7B9D">
              <w:rPr>
                <w:lang w:val="en-US"/>
              </w:rPr>
              <w:t>Short range devices operating below 30 MHz</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jc w:val="left"/>
              <w:rPr>
                <w:lang w:val="en-US"/>
              </w:rPr>
            </w:pPr>
            <w:r>
              <w:rPr>
                <w:lang w:val="en-US"/>
              </w:rPr>
              <w:t>29 – 10 log(</w:t>
            </w:r>
            <w:r>
              <w:rPr>
                <w:sz w:val="20"/>
                <w:lang w:val="en-US"/>
              </w:rPr>
              <w:t xml:space="preserve"> </w:t>
            </w:r>
            <w:r>
              <w:rPr>
                <w:i/>
                <w:lang w:val="en-US"/>
              </w:rPr>
              <w:t>f</w:t>
            </w:r>
            <w:r>
              <w:rPr>
                <w:lang w:val="en-US"/>
              </w:rPr>
              <w:t> (kHz)/9) dB(</w:t>
            </w:r>
            <w:r w:rsidR="004865C3">
              <w:rPr>
                <w:lang w:val="en-US"/>
              </w:rPr>
              <w:t>μ</w:t>
            </w:r>
            <w:r>
              <w:rPr>
                <w:lang w:val="en-US"/>
              </w:rPr>
              <w:t>A/m) at 10 m for 9 kHz</w:t>
            </w:r>
            <w:r w:rsidR="004865C3">
              <w:rPr>
                <w:lang w:val="en-US"/>
              </w:rPr>
              <w:t xml:space="preserve"> &lt;</w:t>
            </w:r>
            <w:r>
              <w:rPr>
                <w:lang w:val="en-US"/>
              </w:rPr>
              <w:t> </w:t>
            </w:r>
            <w:r>
              <w:rPr>
                <w:i/>
                <w:lang w:val="en-US"/>
              </w:rPr>
              <w:t>f</w:t>
            </w:r>
            <w:r>
              <w:rPr>
                <w:lang w:val="en-US"/>
              </w:rPr>
              <w:t> </w:t>
            </w:r>
            <w:r w:rsidR="004865C3">
              <w:rPr>
                <w:lang w:val="en-US"/>
              </w:rPr>
              <w:t>&lt;</w:t>
            </w:r>
            <w:r>
              <w:rPr>
                <w:lang w:val="en-US"/>
              </w:rPr>
              <w:t xml:space="preserve"> 10 MHz</w:t>
            </w:r>
          </w:p>
          <w:p w:rsidR="00922B8B" w:rsidRDefault="00922B8B" w:rsidP="00D271DE">
            <w:pPr>
              <w:pStyle w:val="Tabletext"/>
              <w:tabs>
                <w:tab w:val="clear" w:pos="1985"/>
                <w:tab w:val="left" w:pos="2055"/>
              </w:tabs>
              <w:jc w:val="left"/>
              <w:rPr>
                <w:lang w:val="en-US"/>
              </w:rPr>
            </w:pPr>
            <w:r>
              <w:rPr>
                <w:lang w:val="en-US"/>
              </w:rPr>
              <w:t>–1 dB</w:t>
            </w:r>
            <w:r>
              <w:rPr>
                <w:rFonts w:ascii="Symbol" w:hAnsi="Symbol"/>
                <w:lang w:val="fr-CH"/>
              </w:rPr>
              <w:t></w:t>
            </w:r>
            <w:r w:rsidR="004865C3">
              <w:rPr>
                <w:lang w:val="en-US"/>
              </w:rPr>
              <w:t>μ</w:t>
            </w:r>
            <w:r>
              <w:rPr>
                <w:lang w:val="en-US"/>
              </w:rPr>
              <w:t>A/m) at 10 m</w:t>
            </w:r>
            <w:r>
              <w:rPr>
                <w:lang w:val="en-US"/>
              </w:rPr>
              <w:tab/>
              <w:t xml:space="preserve">for 10 MHz </w:t>
            </w:r>
            <w:r w:rsidR="00D271DE">
              <w:rPr>
                <w:lang w:val="en-US"/>
              </w:rPr>
              <w:t>&lt;</w:t>
            </w:r>
            <w:r>
              <w:rPr>
                <w:lang w:val="en-US"/>
              </w:rPr>
              <w:t> </w:t>
            </w:r>
            <w:r>
              <w:rPr>
                <w:i/>
                <w:lang w:val="en-US"/>
              </w:rPr>
              <w:t>f</w:t>
            </w:r>
            <w:r>
              <w:rPr>
                <w:lang w:val="en-US"/>
              </w:rPr>
              <w:t> </w:t>
            </w:r>
            <w:r w:rsidR="00D271DE">
              <w:rPr>
                <w:lang w:val="en-US"/>
              </w:rPr>
              <w:t>&lt;</w:t>
            </w:r>
            <w:r>
              <w:rPr>
                <w:lang w:val="en-US"/>
              </w:rPr>
              <w:t> 30 MHz</w:t>
            </w:r>
          </w:p>
          <w:p w:rsidR="00922B8B" w:rsidRDefault="00922B8B" w:rsidP="00D271DE">
            <w:pPr>
              <w:pStyle w:val="Tabletext"/>
              <w:tabs>
                <w:tab w:val="clear" w:pos="851"/>
                <w:tab w:val="clear" w:pos="1134"/>
                <w:tab w:val="clear" w:pos="1418"/>
                <w:tab w:val="clear" w:pos="1701"/>
                <w:tab w:val="clear" w:pos="1985"/>
                <w:tab w:val="left" w:pos="2055"/>
              </w:tabs>
              <w:jc w:val="left"/>
              <w:rPr>
                <w:lang w:val="en-US"/>
              </w:rPr>
            </w:pPr>
            <w:r>
              <w:rPr>
                <w:lang w:val="en-US"/>
              </w:rPr>
              <w:t>–36 dBm</w:t>
            </w:r>
            <w:r>
              <w:rPr>
                <w:lang w:val="en-US"/>
              </w:rPr>
              <w:tab/>
              <w:t>for 30 MHz </w:t>
            </w:r>
            <w:r w:rsidR="00D271DE">
              <w:rPr>
                <w:lang w:val="en-US"/>
              </w:rPr>
              <w:t>≤</w:t>
            </w:r>
            <w:r>
              <w:rPr>
                <w:lang w:val="en-US"/>
              </w:rPr>
              <w:t> except</w:t>
            </w:r>
            <w:r w:rsidRPr="002B7B9D">
              <w:rPr>
                <w:lang w:val="en-US"/>
              </w:rPr>
              <w:t xml:space="preserve"> frequencies below</w:t>
            </w:r>
            <w:r>
              <w:rPr>
                <w:lang w:val="en-US"/>
              </w:rPr>
              <w:t> </w:t>
            </w:r>
            <w:r w:rsidR="00D271DE" w:rsidRPr="00D271DE">
              <w:rPr>
                <w:lang w:val="en-US"/>
              </w:rPr>
              <w:t>&lt;</w:t>
            </w:r>
            <w:r>
              <w:rPr>
                <w:lang w:val="en-US"/>
              </w:rPr>
              <w:t> 1 GHz</w:t>
            </w:r>
          </w:p>
          <w:p w:rsidR="00922B8B" w:rsidRDefault="00922B8B" w:rsidP="004D27B4">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–54 dBm</w:t>
            </w:r>
            <w:r>
              <w:rPr>
                <w:lang w:val="en-US"/>
              </w:rPr>
              <w:tab/>
              <w:t xml:space="preserve">for </w:t>
            </w:r>
            <w:r>
              <w:rPr>
                <w:lang w:val="fr-CH"/>
              </w:rPr>
              <w:sym w:font="Symbol" w:char="00A6"/>
            </w:r>
            <w:r>
              <w:rPr>
                <w:lang w:val="en-US"/>
              </w:rPr>
              <w:t xml:space="preserve"> within the bands 47-74 MHz,</w:t>
            </w:r>
            <w:r>
              <w:rPr>
                <w:lang w:val="en-US"/>
              </w:rPr>
              <w:br/>
            </w:r>
            <w:r>
              <w:rPr>
                <w:lang w:val="en-US"/>
              </w:rPr>
              <w:tab/>
              <w:t>87.5</w:t>
            </w:r>
            <w:r>
              <w:rPr>
                <w:lang w:val="en-US"/>
              </w:rPr>
              <w:noBreakHyphen/>
              <w:t>118 MHz, 174-230 MHz, 470-862 MHz</w:t>
            </w:r>
          </w:p>
          <w:p w:rsidR="00922B8B" w:rsidRDefault="00922B8B" w:rsidP="004865C3">
            <w:pPr>
              <w:pStyle w:val="Tabletext"/>
              <w:tabs>
                <w:tab w:val="clear" w:pos="567"/>
                <w:tab w:val="clear" w:pos="851"/>
                <w:tab w:val="clear" w:pos="1134"/>
                <w:tab w:val="clear" w:pos="1418"/>
                <w:tab w:val="clear" w:pos="1701"/>
                <w:tab w:val="clear" w:pos="1985"/>
                <w:tab w:val="left" w:pos="2055"/>
              </w:tabs>
              <w:jc w:val="left"/>
              <w:rPr>
                <w:lang w:val="en-US"/>
              </w:rPr>
            </w:pPr>
            <w:r>
              <w:rPr>
                <w:lang w:val="en-US"/>
              </w:rPr>
              <w:t>–30 dBm</w:t>
            </w:r>
            <w:r>
              <w:rPr>
                <w:lang w:val="en-US"/>
              </w:rPr>
              <w:tab/>
              <w:t xml:space="preserve">for 1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tc>
      </w:tr>
    </w:tbl>
    <w:p w:rsidR="00922B8B" w:rsidRPr="00922B8B" w:rsidRDefault="00922B8B" w:rsidP="00922B8B">
      <w:pPr>
        <w:rPr>
          <w:lang w:val="en-US"/>
        </w:rPr>
      </w:pPr>
      <w:r w:rsidRPr="00922B8B">
        <w:rPr>
          <w:lang w:val="en-US"/>
        </w:rPr>
        <w:br w:type="page"/>
      </w:r>
    </w:p>
    <w:p w:rsidR="005F2D19" w:rsidRPr="00041661" w:rsidRDefault="00922B8B" w:rsidP="00922B8B">
      <w:pPr>
        <w:jc w:val="center"/>
        <w:rPr>
          <w:i/>
          <w:iCs/>
        </w:rPr>
      </w:pPr>
      <w:r>
        <w:lastRenderedPageBreak/>
        <w:t xml:space="preserve">TABLE </w:t>
      </w:r>
      <w:r w:rsidR="005F2D19">
        <w:t xml:space="preserve">3 </w:t>
      </w:r>
      <w:r>
        <w:t>(</w:t>
      </w:r>
      <w:r>
        <w:rPr>
          <w:i/>
          <w:iCs/>
        </w:rPr>
        <w:t>end)</w:t>
      </w:r>
      <w:r>
        <w:rPr>
          <w:i/>
          <w:iCs/>
        </w:rPr>
        <w:br/>
      </w:r>
    </w:p>
    <w:tbl>
      <w:tblPr>
        <w:tblW w:w="9639" w:type="dxa"/>
        <w:jc w:val="center"/>
        <w:tblBorders>
          <w:top w:val="single" w:sz="6" w:space="0" w:color="auto"/>
          <w:left w:val="single" w:sz="6" w:space="0" w:color="auto"/>
          <w:bottom w:val="single" w:sz="6" w:space="0" w:color="auto"/>
          <w:right w:val="single" w:sz="6" w:space="0" w:color="auto"/>
        </w:tblBorders>
        <w:tblLayout w:type="fixed"/>
        <w:tblLook w:val="0000"/>
      </w:tblPr>
      <w:tblGrid>
        <w:gridCol w:w="3150"/>
        <w:gridCol w:w="6489"/>
      </w:tblGrid>
      <w:tr w:rsidR="005F2D19" w:rsidTr="005F2D19">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5F2D19" w:rsidRDefault="005F2D19" w:rsidP="005F2D19">
            <w:pPr>
              <w:pStyle w:val="Tablehead"/>
              <w:rPr>
                <w:lang w:val="en-US"/>
              </w:rPr>
            </w:pPr>
            <w:r>
              <w:rPr>
                <w:lang w:val="en-US"/>
              </w:rPr>
              <w:t>Type of equipment</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5F2D19" w:rsidRDefault="005F2D19" w:rsidP="005F2D19">
            <w:pPr>
              <w:pStyle w:val="Tablehead"/>
              <w:rPr>
                <w:lang w:val="en-US"/>
              </w:rPr>
            </w:pPr>
            <w:r>
              <w:rPr>
                <w:lang w:val="en-US"/>
              </w:rPr>
              <w:t>Limits</w:t>
            </w:r>
          </w:p>
        </w:tc>
      </w:tr>
      <w:tr w:rsidR="00922B8B" w:rsidRPr="00EB70C7" w:rsidTr="004D27B4">
        <w:trPr>
          <w:jc w:val="center"/>
        </w:trPr>
        <w:tc>
          <w:tcPr>
            <w:tcW w:w="3150"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D27B4">
            <w:pPr>
              <w:pStyle w:val="Tabletext"/>
              <w:jc w:val="left"/>
              <w:rPr>
                <w:lang w:val="en-US"/>
              </w:rPr>
            </w:pPr>
            <w:r>
              <w:rPr>
                <w:lang w:val="en-US"/>
              </w:rPr>
              <w:t>Short range device above 30 MHz, Radio local area networks (RLAN), Citizens band (CB), cordless telephones, and radio microphones</w:t>
            </w:r>
          </w:p>
        </w:tc>
        <w:tc>
          <w:tcPr>
            <w:tcW w:w="6489" w:type="dxa"/>
            <w:tcBorders>
              <w:top w:val="single" w:sz="6" w:space="0" w:color="auto"/>
              <w:left w:val="single" w:sz="6" w:space="0" w:color="auto"/>
              <w:bottom w:val="single" w:sz="6" w:space="0" w:color="auto"/>
              <w:right w:val="single" w:sz="6" w:space="0" w:color="auto"/>
            </w:tcBorders>
            <w:noWrap/>
            <w:tcMar>
              <w:left w:w="57" w:type="dxa"/>
              <w:right w:w="57" w:type="dxa"/>
            </w:tcMar>
          </w:tcPr>
          <w:p w:rsidR="00922B8B" w:rsidRDefault="00922B8B" w:rsidP="004865C3">
            <w:pPr>
              <w:pStyle w:val="Tabletext"/>
              <w:tabs>
                <w:tab w:val="clear" w:pos="567"/>
                <w:tab w:val="clear" w:pos="851"/>
                <w:tab w:val="clear" w:pos="1134"/>
                <w:tab w:val="clear" w:pos="1418"/>
                <w:tab w:val="clear" w:pos="1701"/>
                <w:tab w:val="clear" w:pos="1985"/>
                <w:tab w:val="left" w:pos="2055"/>
              </w:tabs>
              <w:jc w:val="left"/>
              <w:rPr>
                <w:lang w:val="en-US"/>
              </w:rPr>
            </w:pPr>
            <w:r>
              <w:rPr>
                <w:lang w:val="en-US"/>
              </w:rPr>
              <w:t>–36 dBm</w:t>
            </w:r>
            <w:r>
              <w:rPr>
                <w:lang w:val="en-US"/>
              </w:rPr>
              <w:tab/>
              <w:t xml:space="preserve">for 9 kHz </w:t>
            </w:r>
            <w:r w:rsidR="00D271DE">
              <w:rPr>
                <w:lang w:val="en-US"/>
              </w:rPr>
              <w:t>≤</w:t>
            </w:r>
            <w:r>
              <w:rPr>
                <w:lang w:val="en-US"/>
              </w:rPr>
              <w:t xml:space="preserve"> except frequencies below</w:t>
            </w:r>
            <w:r w:rsidR="004865C3">
              <w:rPr>
                <w:lang w:val="en-US"/>
              </w:rPr>
              <w:t>&lt;</w:t>
            </w:r>
            <w:r>
              <w:rPr>
                <w:lang w:val="en-US"/>
              </w:rPr>
              <w:t> 1 GHz</w:t>
            </w:r>
          </w:p>
          <w:p w:rsidR="00922B8B" w:rsidRDefault="00922B8B" w:rsidP="004D27B4">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–54 dBm</w:t>
            </w:r>
            <w:r>
              <w:rPr>
                <w:lang w:val="en-US"/>
              </w:rPr>
              <w:tab/>
              <w:t xml:space="preserve">for </w:t>
            </w:r>
            <w:r>
              <w:rPr>
                <w:i/>
                <w:lang w:val="en-US"/>
              </w:rPr>
              <w:t>f</w:t>
            </w:r>
            <w:r>
              <w:rPr>
                <w:lang w:val="en-US"/>
              </w:rPr>
              <w:t xml:space="preserve"> within the bands 47-74 MHz, </w:t>
            </w:r>
            <w:r>
              <w:rPr>
                <w:lang w:val="en-US"/>
              </w:rPr>
              <w:tab/>
              <w:t>87.5</w:t>
            </w:r>
            <w:r>
              <w:rPr>
                <w:lang w:val="en-US"/>
              </w:rPr>
              <w:noBreakHyphen/>
              <w:t>118 MHz, 174-230 MHz, 470-862 MHz</w:t>
            </w:r>
          </w:p>
          <w:p w:rsidR="00922B8B" w:rsidRDefault="00922B8B" w:rsidP="004865C3">
            <w:pPr>
              <w:pStyle w:val="Tabletext"/>
              <w:tabs>
                <w:tab w:val="clear" w:pos="284"/>
                <w:tab w:val="clear" w:pos="567"/>
                <w:tab w:val="clear" w:pos="851"/>
                <w:tab w:val="clear" w:pos="1134"/>
                <w:tab w:val="clear" w:pos="1418"/>
                <w:tab w:val="clear" w:pos="1701"/>
                <w:tab w:val="clear" w:pos="1985"/>
                <w:tab w:val="left" w:pos="2055"/>
              </w:tabs>
              <w:jc w:val="left"/>
              <w:rPr>
                <w:lang w:val="en-US"/>
              </w:rPr>
            </w:pPr>
            <w:r>
              <w:rPr>
                <w:lang w:val="en-US"/>
              </w:rPr>
              <w:t>–30 dBm</w:t>
            </w:r>
            <w:r>
              <w:rPr>
                <w:lang w:val="en-US"/>
              </w:rPr>
              <w:tab/>
              <w:t xml:space="preserve">for 1 GHz </w:t>
            </w:r>
            <w:r w:rsidR="00D271DE">
              <w:rPr>
                <w:lang w:val="en-US"/>
              </w:rPr>
              <w:t>≤</w:t>
            </w:r>
            <w:r>
              <w:rPr>
                <w:lang w:val="en-US"/>
              </w:rPr>
              <w:t> </w:t>
            </w:r>
            <w:r>
              <w:rPr>
                <w:i/>
                <w:lang w:val="en-US"/>
              </w:rPr>
              <w:t>f</w:t>
            </w:r>
            <w:r>
              <w:rPr>
                <w:lang w:val="en-US"/>
              </w:rPr>
              <w:t> </w:t>
            </w:r>
            <w:r w:rsidR="004865C3">
              <w:rPr>
                <w:lang w:val="en-US"/>
              </w:rPr>
              <w:t>&lt;</w:t>
            </w:r>
            <w:r>
              <w:rPr>
                <w:lang w:val="en-US"/>
              </w:rPr>
              <w:t xml:space="preserve"> (see </w:t>
            </w:r>
            <w:r>
              <w:rPr>
                <w:i/>
                <w:lang w:val="en-US"/>
              </w:rPr>
              <w:t>recommends</w:t>
            </w:r>
            <w:r>
              <w:rPr>
                <w:lang w:val="en-US"/>
              </w:rPr>
              <w:t> 2.5)</w:t>
            </w:r>
          </w:p>
        </w:tc>
      </w:tr>
    </w:tbl>
    <w:p w:rsidR="00922B8B" w:rsidRDefault="00922B8B" w:rsidP="00922B8B">
      <w:pPr>
        <w:pStyle w:val="Tablefin"/>
      </w:pPr>
    </w:p>
    <w:tbl>
      <w:tblPr>
        <w:tblW w:w="9639" w:type="dxa"/>
        <w:jc w:val="center"/>
        <w:tblLayout w:type="fixed"/>
        <w:tblLook w:val="0000"/>
      </w:tblPr>
      <w:tblGrid>
        <w:gridCol w:w="9639"/>
      </w:tblGrid>
      <w:tr w:rsidR="00922B8B" w:rsidRPr="00EB70C7" w:rsidTr="004D27B4">
        <w:trPr>
          <w:cantSplit/>
          <w:jc w:val="center"/>
        </w:trPr>
        <w:tc>
          <w:tcPr>
            <w:tcW w:w="9639" w:type="dxa"/>
            <w:noWrap/>
            <w:tcMar>
              <w:left w:w="57" w:type="dxa"/>
              <w:right w:w="57" w:type="dxa"/>
            </w:tcMar>
          </w:tcPr>
          <w:p w:rsidR="00922B8B" w:rsidRDefault="00922B8B" w:rsidP="004D27B4">
            <w:pPr>
              <w:pStyle w:val="Tablelegend"/>
              <w:spacing w:before="200" w:after="100"/>
              <w:ind w:left="312" w:right="-57"/>
              <w:rPr>
                <w:i/>
                <w:lang w:val="en-US"/>
              </w:rPr>
            </w:pPr>
            <w:r>
              <w:rPr>
                <w:i/>
                <w:lang w:val="en-US"/>
              </w:rPr>
              <w:t>Notes to Table 3</w:t>
            </w:r>
          </w:p>
          <w:p w:rsidR="00922B8B" w:rsidRDefault="00922B8B" w:rsidP="004D27B4">
            <w:pPr>
              <w:pStyle w:val="Tablelegend"/>
              <w:spacing w:before="200" w:after="100"/>
              <w:ind w:left="312" w:right="-57"/>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spacing w:before="100" w:after="100"/>
              <w:ind w:left="312" w:right="-57"/>
              <w:rPr>
                <w:lang w:val="en-US"/>
              </w:rPr>
            </w:pPr>
            <w:r>
              <w:rPr>
                <w:lang w:val="en-US"/>
              </w:rPr>
              <w:tab/>
              <w:t>Spurious domain emissions should be evaluated in terms of mean power except for the radiodetermination service where spurious domain emission should be evaluated in terms of PEP.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spacing w:before="100" w:after="100"/>
              <w:ind w:left="369" w:right="-57"/>
              <w:rPr>
                <w:lang w:val="en-US"/>
              </w:rPr>
            </w:pPr>
            <w:r w:rsidRPr="002B7B9D">
              <w:rPr>
                <w:i/>
                <w:iCs/>
                <w:lang w:val="en-US"/>
              </w:rPr>
              <w:t>f</w:t>
            </w:r>
            <w:r>
              <w:rPr>
                <w:i/>
                <w:sz w:val="8"/>
                <w:lang w:val="en-US"/>
              </w:rPr>
              <w:t> </w:t>
            </w:r>
            <w:r>
              <w:rPr>
                <w:lang w:val="en-US"/>
              </w:rPr>
              <w:t>:</w:t>
            </w:r>
            <w:r>
              <w:rPr>
                <w:lang w:val="en-US"/>
              </w:rPr>
              <w:tab/>
              <w:t>frequency of the spurious domain emissions.</w:t>
            </w:r>
          </w:p>
          <w:p w:rsidR="00922B8B" w:rsidRDefault="00922B8B" w:rsidP="004D27B4">
            <w:pPr>
              <w:pStyle w:val="Tablelegend"/>
              <w:spacing w:before="100" w:after="100"/>
              <w:ind w:left="312" w:right="-57"/>
              <w:rPr>
                <w:lang w:val="en-US"/>
              </w:rPr>
            </w:pPr>
            <w:r>
              <w:rPr>
                <w:vertAlign w:val="superscript"/>
                <w:lang w:val="en-US"/>
              </w:rPr>
              <w:t>(1)</w:t>
            </w:r>
            <w:r>
              <w:rPr>
                <w:lang w:val="en-US"/>
              </w:rPr>
              <w:tab/>
              <w:t>Fixed wireless access (FWA) systems using cellular type mobile technologies, described in Recommendation ITU-R F.757, when administrations allows their usage in the same bands locally assigned to land mobile systems or to FWA using a specific land mobile technology, should be subjected to the land mobile service spurious domain emission limits.</w:t>
            </w:r>
          </w:p>
          <w:p w:rsidR="00922B8B" w:rsidRDefault="00922B8B" w:rsidP="004D27B4">
            <w:pPr>
              <w:pStyle w:val="Tablelegend"/>
              <w:spacing w:before="100" w:after="100"/>
              <w:ind w:left="312" w:right="-57"/>
              <w:rPr>
                <w:lang w:val="en-US"/>
              </w:rPr>
            </w:pPr>
            <w:r w:rsidRPr="002B7B9D">
              <w:rPr>
                <w:vertAlign w:val="superscript"/>
                <w:lang w:val="en-US"/>
              </w:rPr>
              <w:t>(2)</w:t>
            </w:r>
            <w:r>
              <w:rPr>
                <w:vertAlign w:val="superscript"/>
                <w:lang w:val="en-US"/>
              </w:rPr>
              <w:tab/>
            </w:r>
            <w:r>
              <w:rPr>
                <w:lang w:val="en-US"/>
              </w:rPr>
              <w:t>Category A limits apply to HF fixed service.</w:t>
            </w:r>
          </w:p>
          <w:p w:rsidR="00922B8B" w:rsidRDefault="00922B8B" w:rsidP="004D27B4">
            <w:pPr>
              <w:pStyle w:val="Tablelegend"/>
              <w:spacing w:before="100" w:after="100"/>
              <w:ind w:left="312" w:right="-57"/>
              <w:rPr>
                <w:lang w:val="en-US"/>
              </w:rPr>
            </w:pPr>
            <w:r>
              <w:rPr>
                <w:vertAlign w:val="superscript"/>
                <w:lang w:val="en-US"/>
              </w:rPr>
              <w:t>(3)</w:t>
            </w:r>
            <w:r>
              <w:rPr>
                <w:lang w:val="en-US"/>
              </w:rPr>
              <w:tab/>
              <w:t>A reduced reference bandwidth is allowed on both sides of the emission from 250% of the necessary bandwidth (see Annex 6).</w:t>
            </w:r>
          </w:p>
          <w:p w:rsidR="00922B8B" w:rsidRDefault="00922B8B" w:rsidP="004D27B4">
            <w:pPr>
              <w:pStyle w:val="Tablelegend"/>
              <w:spacing w:before="100" w:after="100"/>
              <w:ind w:left="312" w:right="-57"/>
              <w:rPr>
                <w:lang w:val="en-US"/>
              </w:rPr>
            </w:pPr>
            <w:r>
              <w:rPr>
                <w:vertAlign w:val="superscript"/>
                <w:lang w:val="en-US"/>
              </w:rPr>
              <w:t>(4)</w:t>
            </w:r>
            <w:r>
              <w:rPr>
                <w:lang w:val="en-US"/>
              </w:rPr>
              <w:tab/>
              <w:t>A reduced reference bandwidth is allowed on both sides of the emission from 250% of the necessary bandwidth (see Annex 7).</w:t>
            </w:r>
          </w:p>
          <w:p w:rsidR="00922B8B" w:rsidRDefault="00922B8B" w:rsidP="004D27B4">
            <w:pPr>
              <w:pStyle w:val="Tablelegend"/>
              <w:spacing w:before="100" w:after="100"/>
              <w:ind w:left="312" w:right="-57"/>
              <w:rPr>
                <w:lang w:val="en-US"/>
              </w:rPr>
            </w:pPr>
            <w:r w:rsidRPr="002B7B9D">
              <w:rPr>
                <w:vertAlign w:val="superscript"/>
                <w:lang w:val="en-US"/>
              </w:rPr>
              <w:t>(5)</w:t>
            </w:r>
            <w:r>
              <w:rPr>
                <w:lang w:val="en-US"/>
              </w:rPr>
              <w:tab/>
              <w:t>For radiodetermination systems (radar as defined by RR No. 1.100), spurious domain emission attenuation (dB) shall be determined for radiated emission levels, and not at the antenna transmission line. The measurement method for determining the radiated spurious domain emission levels from radar systems should be guided by Recommendation ITU-R M.1177.</w:t>
            </w:r>
          </w:p>
          <w:p w:rsidR="00922B8B" w:rsidRDefault="00922B8B" w:rsidP="004D27B4">
            <w:pPr>
              <w:pStyle w:val="Tablelegend"/>
              <w:spacing w:before="100" w:after="100"/>
              <w:ind w:left="312" w:right="-57"/>
              <w:rPr>
                <w:lang w:val="en-US"/>
              </w:rPr>
            </w:pPr>
            <w:r>
              <w:rPr>
                <w:vertAlign w:val="superscript"/>
                <w:lang w:val="en-US"/>
              </w:rPr>
              <w:t>(6)</w:t>
            </w:r>
            <w:r>
              <w:rPr>
                <w:lang w:val="en-US"/>
              </w:rPr>
              <w:tab/>
              <w:t xml:space="preserve">European and some other countries have determined that insofar as they are concerned, Category B spurious domain emission limits for radar systems should apply to transmitters used in those countries and installed after 1 January 2006 </w:t>
            </w:r>
            <w:r w:rsidRPr="00041661">
              <w:rPr>
                <w:lang w:val="en-US"/>
              </w:rPr>
              <w:t xml:space="preserve">except for the limits </w:t>
            </w:r>
            <w:r w:rsidRPr="00F077A4">
              <w:rPr>
                <w:lang w:val="en-US"/>
              </w:rPr>
              <w:t>for meteorological radars</w:t>
            </w:r>
            <w:r w:rsidRPr="00041661">
              <w:rPr>
                <w:lang w:val="en-US"/>
              </w:rPr>
              <w:t xml:space="preserve"> for which an application date is 1</w:t>
            </w:r>
            <w:r w:rsidRPr="00A7091A">
              <w:rPr>
                <w:vertAlign w:val="superscript"/>
                <w:lang w:val="en-US"/>
              </w:rPr>
              <w:t>st</w:t>
            </w:r>
            <w:r w:rsidRPr="00041661">
              <w:rPr>
                <w:lang w:val="en-US"/>
              </w:rPr>
              <w:t xml:space="preserve"> January 2012</w:t>
            </w:r>
            <w:r>
              <w:rPr>
                <w:lang w:val="en-US"/>
              </w:rPr>
              <w:t>.</w:t>
            </w:r>
          </w:p>
          <w:p w:rsidR="00922B8B" w:rsidRDefault="00922B8B" w:rsidP="004D27B4">
            <w:pPr>
              <w:pStyle w:val="Tablelegend"/>
              <w:spacing w:before="100" w:after="100"/>
              <w:ind w:left="312" w:right="-57"/>
              <w:rPr>
                <w:lang w:val="en-US"/>
              </w:rPr>
            </w:pPr>
            <w:r w:rsidRPr="002B7B9D">
              <w:rPr>
                <w:vertAlign w:val="superscript"/>
                <w:lang w:val="en-US"/>
              </w:rPr>
              <w:t>(7)</w:t>
            </w:r>
            <w:r>
              <w:rPr>
                <w:lang w:val="en-US"/>
              </w:rPr>
              <w:tab/>
              <w:t>On a site-by-site basis, administrations may permit the use of maritime mobile radar equipment in fixed installations (e.g. vessel traffic services radar), using the appropriate limits for mobile radars.</w:t>
            </w:r>
          </w:p>
          <w:p w:rsidR="00922B8B" w:rsidRDefault="00922B8B" w:rsidP="004D27B4">
            <w:pPr>
              <w:pStyle w:val="Tablelegend"/>
              <w:spacing w:before="100" w:after="100"/>
              <w:ind w:left="312" w:right="-57"/>
              <w:rPr>
                <w:lang w:val="en-US"/>
              </w:rPr>
            </w:pPr>
            <w:r w:rsidRPr="002B7B9D">
              <w:rPr>
                <w:vertAlign w:val="superscript"/>
                <w:lang w:val="en-US"/>
              </w:rPr>
              <w:t>(8)</w:t>
            </w:r>
            <w:r>
              <w:rPr>
                <w:lang w:val="en-US"/>
              </w:rPr>
              <w:tab/>
              <w:t>Further study is to be undertaken by the relevant regional body, any interference will be handled on a case-by-case basis.</w:t>
            </w:r>
          </w:p>
          <w:p w:rsidR="00A7091A" w:rsidRDefault="00AC6C65" w:rsidP="004D27B4">
            <w:pPr>
              <w:pStyle w:val="Tablelegend"/>
              <w:spacing w:before="100" w:after="100"/>
              <w:ind w:left="312" w:right="-57"/>
              <w:rPr>
                <w:lang w:val="en-US"/>
              </w:rPr>
            </w:pPr>
            <w:r>
              <w:rPr>
                <w:vertAlign w:val="superscript"/>
                <w:lang w:val="en-US"/>
              </w:rPr>
              <w:t>(</w:t>
            </w:r>
            <w:r w:rsidR="00A7091A" w:rsidRPr="00041661">
              <w:rPr>
                <w:vertAlign w:val="superscript"/>
                <w:lang w:val="en-US"/>
              </w:rPr>
              <w:t>9)</w:t>
            </w:r>
            <w:r w:rsidR="00A7091A" w:rsidRPr="00F077A4">
              <w:rPr>
                <w:lang w:val="en-US"/>
              </w:rPr>
              <w:tab/>
            </w:r>
            <w:r w:rsidR="00A7091A" w:rsidRPr="00041661">
              <w:rPr>
                <w:lang w:val="en-US"/>
              </w:rPr>
              <w:t>On a site by site basis, an administration may decide, taking into account potential cross</w:t>
            </w:r>
            <w:r w:rsidR="00A7091A" w:rsidRPr="00041661">
              <w:rPr>
                <w:lang w:val="en-US"/>
              </w:rPr>
              <w:noBreakHyphen/>
              <w:t>border compatibility issues where relevant, to deploy meteorological radars in the band 2 700-2 900 MHz with a peak power above 750 kW with relaxed spurious emission limits. Further studies are required to determine the possible relaxation relative to the 90 dB spurious emission limit.</w:t>
            </w:r>
          </w:p>
          <w:p w:rsidR="00A7091A" w:rsidRDefault="00A7091A" w:rsidP="004D27B4">
            <w:pPr>
              <w:pStyle w:val="Tablelegend"/>
              <w:spacing w:before="100" w:after="100"/>
              <w:ind w:left="312" w:right="-57"/>
              <w:rPr>
                <w:lang w:val="en-US"/>
              </w:rPr>
            </w:pPr>
            <w:r w:rsidRPr="00041661">
              <w:rPr>
                <w:vertAlign w:val="superscript"/>
                <w:lang w:val="en-US"/>
              </w:rPr>
              <w:t>(10)</w:t>
            </w:r>
            <w:r w:rsidRPr="00041661">
              <w:rPr>
                <w:lang w:val="en-US"/>
              </w:rPr>
              <w:t xml:space="preserve"> </w:t>
            </w:r>
            <w:r w:rsidRPr="00041661">
              <w:rPr>
                <w:lang w:val="en-US"/>
              </w:rPr>
              <w:tab/>
              <w:t xml:space="preserve">Broadband wireless access (BWA) systems are used for the deployment of radio access networks in both the fixed service and the mobile service on the same platform. </w:t>
            </w:r>
            <w:r w:rsidRPr="00922B8B">
              <w:rPr>
                <w:lang w:val="en-US"/>
              </w:rPr>
              <w:t>They typically operate at frequencies up to 6 GHz and are considered to use terminal stations with antenna gain less than about 20 dBi.</w:t>
            </w:r>
          </w:p>
        </w:tc>
      </w:tr>
    </w:tbl>
    <w:p w:rsidR="00922B8B" w:rsidRDefault="00922B8B" w:rsidP="00922B8B">
      <w:pPr>
        <w:pStyle w:val="Heading2"/>
        <w:rPr>
          <w:lang w:val="en-US"/>
        </w:rPr>
      </w:pPr>
      <w:bookmarkStart w:id="36" w:name="_Toc393687556"/>
      <w:bookmarkStart w:id="37" w:name="_Toc394112272"/>
      <w:r>
        <w:rPr>
          <w:lang w:val="en-US"/>
        </w:rPr>
        <w:lastRenderedPageBreak/>
        <w:t>4.4</w:t>
      </w:r>
      <w:r>
        <w:rPr>
          <w:lang w:val="en-US"/>
        </w:rPr>
        <w:tab/>
        <w:t>Category C limits</w:t>
      </w:r>
    </w:p>
    <w:p w:rsidR="00922B8B" w:rsidRDefault="00922B8B" w:rsidP="00922B8B">
      <w:pPr>
        <w:rPr>
          <w:lang w:val="en-US"/>
        </w:rPr>
      </w:pPr>
      <w:r>
        <w:rPr>
          <w:lang w:val="en-US"/>
        </w:rPr>
        <w:t>Table 4 indicates the maximum permitted levels of spurious domain emissions, in terms of power level, of any spurious component supplied by a transmitter to the antenna transmission line for Category C equipment. For all services/systems not quoted in this Table, Category A limits are applicable.</w:t>
      </w:r>
    </w:p>
    <w:p w:rsidR="00922B8B" w:rsidRPr="002B7B9D" w:rsidRDefault="00922B8B" w:rsidP="00193BCD">
      <w:pPr>
        <w:pStyle w:val="TableNo"/>
        <w:rPr>
          <w:lang w:val="en-US"/>
        </w:rPr>
      </w:pPr>
      <w:r w:rsidRPr="002B7B9D">
        <w:rPr>
          <w:lang w:val="en-US"/>
        </w:rPr>
        <w:t>TABLE 4</w:t>
      </w:r>
    </w:p>
    <w:p w:rsidR="00922B8B" w:rsidRDefault="00922B8B" w:rsidP="00922B8B">
      <w:pPr>
        <w:pStyle w:val="Tabletitle"/>
        <w:rPr>
          <w:lang w:val="en-US"/>
        </w:rPr>
      </w:pPr>
      <w:r w:rsidRPr="002B7B9D">
        <w:rPr>
          <w:lang w:val="en-US"/>
        </w:rPr>
        <w:t>Category C limits</w:t>
      </w:r>
    </w:p>
    <w:p w:rsidR="00922B8B" w:rsidRDefault="00922B8B" w:rsidP="00922B8B">
      <w:pPr>
        <w:pStyle w:val="Tabletitle"/>
        <w:rPr>
          <w:b w:val="0"/>
          <w:bCs/>
          <w:lang w:val="en-US"/>
        </w:rPr>
      </w:pPr>
      <w:r>
        <w:rPr>
          <w:b w:val="0"/>
          <w:bCs/>
          <w:lang w:val="en-US"/>
        </w:rPr>
        <w:t xml:space="preserve">(See definitions in </w:t>
      </w:r>
      <w:r>
        <w:rPr>
          <w:b w:val="0"/>
          <w:bCs/>
          <w:i/>
          <w:lang w:val="en-US"/>
        </w:rPr>
        <w:t>recommends</w:t>
      </w:r>
      <w:r>
        <w:rPr>
          <w:b w:val="0"/>
          <w:bCs/>
          <w:lang w:val="en-US"/>
        </w:rPr>
        <w:t xml:space="preserve"> 3.3)</w:t>
      </w:r>
    </w:p>
    <w:p w:rsidR="00922B8B" w:rsidRDefault="00922B8B" w:rsidP="00922B8B">
      <w:pPr>
        <w:pStyle w:val="Blanc"/>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6237"/>
      </w:tblGrid>
      <w:tr w:rsidR="00922B8B" w:rsidRPr="00EB70C7" w:rsidTr="004D27B4">
        <w:trPr>
          <w:jc w:val="center"/>
        </w:trPr>
        <w:tc>
          <w:tcPr>
            <w:tcW w:w="3402" w:type="dxa"/>
            <w:vAlign w:val="center"/>
          </w:tcPr>
          <w:p w:rsidR="00922B8B" w:rsidRDefault="00922B8B" w:rsidP="004D27B4">
            <w:pPr>
              <w:pStyle w:val="Tablehead"/>
              <w:framePr w:hSpace="181" w:wrap="notBeside" w:vAnchor="text" w:hAnchor="text" w:xAlign="center" w:y="1"/>
              <w:rPr>
                <w:lang w:val="en-US"/>
              </w:rPr>
            </w:pPr>
            <w:r>
              <w:rPr>
                <w:lang w:val="en-US"/>
              </w:rPr>
              <w:t>Type of equipment</w:t>
            </w:r>
          </w:p>
        </w:tc>
        <w:tc>
          <w:tcPr>
            <w:tcW w:w="6237" w:type="dxa"/>
            <w:vAlign w:val="center"/>
          </w:tcPr>
          <w:p w:rsidR="00922B8B" w:rsidRDefault="00922B8B" w:rsidP="004D27B4">
            <w:pPr>
              <w:pStyle w:val="Tablehead"/>
              <w:framePr w:hSpace="181" w:wrap="notBeside" w:vAnchor="text" w:hAnchor="text" w:xAlign="center" w:y="1"/>
              <w:rPr>
                <w:vertAlign w:val="superscript"/>
                <w:lang w:val="en-US"/>
              </w:rPr>
            </w:pPr>
            <w:r>
              <w:rPr>
                <w:lang w:val="en-US"/>
              </w:rPr>
              <w:t>Attenuation below the power supplied</w:t>
            </w:r>
            <w:r>
              <w:rPr>
                <w:lang w:val="en-US"/>
              </w:rPr>
              <w:br/>
              <w:t>to the antenna transmission line</w:t>
            </w:r>
            <w:r>
              <w:rPr>
                <w:vertAlign w:val="superscript"/>
                <w:lang w:val="en-US"/>
              </w:rPr>
              <w:t>(1)</w:t>
            </w:r>
          </w:p>
        </w:tc>
      </w:tr>
      <w:tr w:rsidR="00922B8B" w:rsidRPr="00EB70C7" w:rsidTr="004D27B4">
        <w:trPr>
          <w:jc w:val="center"/>
        </w:trPr>
        <w:tc>
          <w:tcPr>
            <w:tcW w:w="3402" w:type="dxa"/>
          </w:tcPr>
          <w:p w:rsidR="00922B8B" w:rsidRDefault="00922B8B" w:rsidP="004D27B4">
            <w:pPr>
              <w:pStyle w:val="Tabletext"/>
              <w:framePr w:hSpace="181" w:wrap="notBeside" w:vAnchor="text" w:hAnchor="text" w:xAlign="center" w:y="1"/>
              <w:spacing w:before="60" w:after="60"/>
              <w:jc w:val="left"/>
              <w:rPr>
                <w:lang w:val="en-US"/>
              </w:rPr>
            </w:pPr>
            <w:r>
              <w:rPr>
                <w:lang w:val="en-US"/>
              </w:rPr>
              <w:t>Land mobile service (150-174 MHz and 421-512 MHz)</w:t>
            </w:r>
          </w:p>
        </w:tc>
        <w:tc>
          <w:tcPr>
            <w:tcW w:w="6237" w:type="dxa"/>
          </w:tcPr>
          <w:p w:rsidR="00922B8B" w:rsidRDefault="00922B8B" w:rsidP="00D271DE">
            <w:pPr>
              <w:pStyle w:val="Tabletext"/>
              <w:framePr w:hSpace="181" w:wrap="notBeside" w:vAnchor="text" w:hAnchor="text" w:xAlign="center" w:y="1"/>
              <w:spacing w:before="60" w:after="60"/>
              <w:jc w:val="left"/>
              <w:rPr>
                <w:lang w:val="en-US"/>
              </w:rPr>
            </w:pPr>
            <w:r>
              <w:rPr>
                <w:lang w:val="en-US"/>
              </w:rPr>
              <w:t xml:space="preserve">50 </w:t>
            </w:r>
            <w:r w:rsidR="00D271DE">
              <w:rPr>
                <w:lang w:val="en-US"/>
              </w:rPr>
              <w:t>+</w:t>
            </w:r>
            <w:r>
              <w:rPr>
                <w:lang w:val="en-US"/>
              </w:rPr>
              <w:t xml:space="preserve"> 10 log </w:t>
            </w:r>
            <w:r>
              <w:rPr>
                <w:i/>
                <w:iCs/>
                <w:lang w:val="en-US"/>
              </w:rPr>
              <w:t>P</w:t>
            </w:r>
            <w:r>
              <w:rPr>
                <w:lang w:val="en-US"/>
              </w:rPr>
              <w:t xml:space="preserve"> or 70 dBc for 12.5 kHz channels, whichever is less stringent</w:t>
            </w:r>
          </w:p>
          <w:p w:rsidR="00922B8B" w:rsidRDefault="00922B8B" w:rsidP="00D271DE">
            <w:pPr>
              <w:pStyle w:val="Tabletext"/>
              <w:framePr w:hSpace="181" w:wrap="notBeside" w:vAnchor="text" w:hAnchor="text" w:xAlign="center" w:y="1"/>
              <w:spacing w:before="60" w:after="60"/>
              <w:jc w:val="left"/>
              <w:rPr>
                <w:lang w:val="en-US"/>
              </w:rPr>
            </w:pPr>
            <w:r>
              <w:rPr>
                <w:lang w:val="en-US"/>
              </w:rPr>
              <w:t xml:space="preserve">55 </w:t>
            </w:r>
            <w:r w:rsidR="00D271DE">
              <w:rPr>
                <w:lang w:val="en-US"/>
              </w:rPr>
              <w:t>+</w:t>
            </w:r>
            <w:r>
              <w:rPr>
                <w:lang w:val="en-US"/>
              </w:rPr>
              <w:t xml:space="preserve"> 10 log </w:t>
            </w:r>
            <w:r>
              <w:rPr>
                <w:i/>
                <w:iCs/>
                <w:lang w:val="en-US"/>
              </w:rPr>
              <w:t>P</w:t>
            </w:r>
            <w:r>
              <w:rPr>
                <w:lang w:val="en-US"/>
              </w:rPr>
              <w:t xml:space="preserve"> or 65 dBc for 6.5 kHz channels, whichever is less stringent</w:t>
            </w:r>
          </w:p>
        </w:tc>
      </w:tr>
      <w:tr w:rsidR="00922B8B" w:rsidTr="004D27B4">
        <w:trPr>
          <w:jc w:val="center"/>
        </w:trPr>
        <w:tc>
          <w:tcPr>
            <w:tcW w:w="3402" w:type="dxa"/>
          </w:tcPr>
          <w:p w:rsidR="00922B8B" w:rsidRDefault="00922B8B" w:rsidP="004D27B4">
            <w:pPr>
              <w:pStyle w:val="Tabletext"/>
              <w:framePr w:hSpace="181" w:wrap="notBeside" w:vAnchor="text" w:hAnchor="text" w:xAlign="center" w:y="1"/>
              <w:spacing w:before="60" w:after="60"/>
              <w:rPr>
                <w:vertAlign w:val="superscript"/>
                <w:lang w:val="es-ES_tradnl"/>
              </w:rPr>
            </w:pPr>
            <w:r>
              <w:rPr>
                <w:lang w:val="es-ES_tradnl"/>
              </w:rPr>
              <w:t>Aeronautical telemetry</w:t>
            </w:r>
            <w:r>
              <w:rPr>
                <w:vertAlign w:val="superscript"/>
              </w:rPr>
              <w:t>(2)</w:t>
            </w:r>
          </w:p>
        </w:tc>
        <w:tc>
          <w:tcPr>
            <w:tcW w:w="6237" w:type="dxa"/>
          </w:tcPr>
          <w:p w:rsidR="00922B8B" w:rsidRDefault="00922B8B" w:rsidP="00D271DE">
            <w:pPr>
              <w:pStyle w:val="Tabletext"/>
              <w:framePr w:hSpace="181" w:wrap="notBeside" w:vAnchor="text" w:hAnchor="text" w:xAlign="center" w:y="1"/>
              <w:spacing w:before="60" w:after="60"/>
              <w:rPr>
                <w:lang w:val="es-ES_tradnl"/>
              </w:rPr>
            </w:pPr>
            <w:r>
              <w:rPr>
                <w:lang w:val="es-ES_tradnl"/>
              </w:rPr>
              <w:t xml:space="preserve">55 </w:t>
            </w:r>
            <w:r w:rsidR="00D271DE">
              <w:rPr>
                <w:lang w:val="es-ES_tradnl"/>
              </w:rPr>
              <w:t>+</w:t>
            </w:r>
            <w:r>
              <w:rPr>
                <w:lang w:val="es-ES_tradnl"/>
              </w:rPr>
              <w:t xml:space="preserve"> 10 log </w:t>
            </w:r>
            <w:r>
              <w:rPr>
                <w:i/>
                <w:lang w:val="es-ES_tradnl"/>
              </w:rPr>
              <w:t>P</w:t>
            </w:r>
          </w:p>
        </w:tc>
      </w:tr>
      <w:tr w:rsidR="00922B8B" w:rsidTr="004D27B4">
        <w:trPr>
          <w:jc w:val="center"/>
        </w:trPr>
        <w:tc>
          <w:tcPr>
            <w:tcW w:w="3402" w:type="dxa"/>
          </w:tcPr>
          <w:p w:rsidR="00922B8B" w:rsidRDefault="00922B8B" w:rsidP="004D27B4">
            <w:pPr>
              <w:pStyle w:val="Tabletext"/>
              <w:framePr w:hSpace="181" w:wrap="notBeside" w:vAnchor="text" w:hAnchor="text" w:xAlign="center" w:y="1"/>
              <w:spacing w:before="60" w:after="60"/>
              <w:rPr>
                <w:lang w:val="en-US"/>
              </w:rPr>
            </w:pPr>
            <w:r>
              <w:rPr>
                <w:lang w:val="en-US"/>
              </w:rPr>
              <w:t>HF broadcasting</w:t>
            </w:r>
          </w:p>
        </w:tc>
        <w:tc>
          <w:tcPr>
            <w:tcW w:w="6237" w:type="dxa"/>
          </w:tcPr>
          <w:p w:rsidR="00922B8B" w:rsidRDefault="00922B8B" w:rsidP="004D27B4">
            <w:pPr>
              <w:pStyle w:val="Tabletext"/>
              <w:framePr w:hSpace="181" w:wrap="notBeside" w:vAnchor="text" w:hAnchor="text" w:xAlign="center" w:y="1"/>
              <w:spacing w:before="60" w:after="60"/>
              <w:rPr>
                <w:lang w:val="en-US"/>
              </w:rPr>
            </w:pPr>
            <w:r>
              <w:rPr>
                <w:lang w:val="en-US"/>
              </w:rPr>
              <w:t>80 dBc</w:t>
            </w:r>
          </w:p>
        </w:tc>
      </w:tr>
      <w:tr w:rsidR="00922B8B" w:rsidRPr="00EB70C7" w:rsidTr="004D27B4">
        <w:trPr>
          <w:jc w:val="center"/>
        </w:trPr>
        <w:tc>
          <w:tcPr>
            <w:tcW w:w="3402" w:type="dxa"/>
          </w:tcPr>
          <w:p w:rsidR="00922B8B" w:rsidRDefault="00922B8B" w:rsidP="004D27B4">
            <w:pPr>
              <w:pStyle w:val="Tabletext"/>
              <w:framePr w:hSpace="181" w:wrap="notBeside" w:vAnchor="text" w:hAnchor="text" w:xAlign="center" w:y="1"/>
              <w:spacing w:before="60" w:after="60"/>
              <w:rPr>
                <w:lang w:val="en-US"/>
              </w:rPr>
            </w:pPr>
            <w:r>
              <w:rPr>
                <w:lang w:val="en-US"/>
              </w:rPr>
              <w:t>AM and FM broadcasting</w:t>
            </w:r>
          </w:p>
        </w:tc>
        <w:tc>
          <w:tcPr>
            <w:tcW w:w="6237" w:type="dxa"/>
          </w:tcPr>
          <w:p w:rsidR="00922B8B" w:rsidRDefault="00922B8B" w:rsidP="00D271DE">
            <w:pPr>
              <w:pStyle w:val="Tabletext"/>
              <w:framePr w:hSpace="181" w:wrap="notBeside" w:vAnchor="text" w:hAnchor="text" w:xAlign="center" w:y="1"/>
              <w:spacing w:before="60" w:after="60"/>
              <w:rPr>
                <w:lang w:val="en-US"/>
              </w:rPr>
            </w:pPr>
            <w:r>
              <w:rPr>
                <w:lang w:val="en-US"/>
              </w:rPr>
              <w:t xml:space="preserve">43 </w:t>
            </w:r>
            <w:r w:rsidR="00D271DE">
              <w:rPr>
                <w:lang w:val="en-US"/>
              </w:rPr>
              <w:t>+</w:t>
            </w:r>
            <w:r>
              <w:rPr>
                <w:lang w:val="en-US"/>
              </w:rPr>
              <w:t xml:space="preserve"> 10 log </w:t>
            </w:r>
            <w:r>
              <w:rPr>
                <w:i/>
                <w:lang w:val="en-US"/>
              </w:rPr>
              <w:t>P</w:t>
            </w:r>
            <w:r>
              <w:rPr>
                <w:lang w:val="en-US"/>
              </w:rPr>
              <w:t xml:space="preserve"> or 80 dBc, whichever is less stringent</w:t>
            </w:r>
          </w:p>
        </w:tc>
      </w:tr>
      <w:tr w:rsidR="00922B8B" w:rsidRPr="00EB70C7" w:rsidTr="004D27B4">
        <w:trPr>
          <w:jc w:val="center"/>
        </w:trPr>
        <w:tc>
          <w:tcPr>
            <w:tcW w:w="3402" w:type="dxa"/>
            <w:tcBorders>
              <w:bottom w:val="single" w:sz="4" w:space="0" w:color="auto"/>
            </w:tcBorders>
          </w:tcPr>
          <w:p w:rsidR="00922B8B" w:rsidRDefault="00922B8B" w:rsidP="004D27B4">
            <w:pPr>
              <w:pStyle w:val="Tabletext"/>
              <w:framePr w:hSpace="181" w:wrap="notBeside" w:vAnchor="text" w:hAnchor="text" w:xAlign="center" w:y="1"/>
              <w:spacing w:before="60" w:after="60"/>
              <w:jc w:val="left"/>
              <w:rPr>
                <w:vertAlign w:val="superscript"/>
                <w:lang w:val="en-US"/>
              </w:rPr>
            </w:pPr>
            <w:r>
              <w:rPr>
                <w:lang w:val="en-US"/>
              </w:rPr>
              <w:t>Non-GSO mobile earth terminals (mobile-satellite service,</w:t>
            </w:r>
            <w:r>
              <w:rPr>
                <w:lang w:val="en-US"/>
              </w:rPr>
              <w:br/>
              <w:t>1</w:t>
            </w:r>
            <w:r>
              <w:rPr>
                <w:rFonts w:ascii="Tms Rmn" w:hAnsi="Tms Rmn"/>
                <w:sz w:val="12"/>
                <w:lang w:val="en-US"/>
              </w:rPr>
              <w:t> </w:t>
            </w:r>
            <w:r>
              <w:rPr>
                <w:lang w:val="en-US"/>
              </w:rPr>
              <w:t>610-1</w:t>
            </w:r>
            <w:r>
              <w:rPr>
                <w:rFonts w:ascii="Tms Rmn" w:hAnsi="Tms Rmn"/>
                <w:sz w:val="12"/>
                <w:lang w:val="en-US"/>
              </w:rPr>
              <w:t> </w:t>
            </w:r>
            <w:r>
              <w:rPr>
                <w:lang w:val="en-US"/>
              </w:rPr>
              <w:t>660.5 MHz (limits apply to spurious domain emissions in the 1</w:t>
            </w:r>
            <w:r>
              <w:rPr>
                <w:rFonts w:ascii="Tms Rmn" w:hAnsi="Tms Rmn"/>
                <w:sz w:val="12"/>
                <w:lang w:val="en-US"/>
              </w:rPr>
              <w:t> </w:t>
            </w:r>
            <w:r>
              <w:rPr>
                <w:lang w:val="en-US"/>
              </w:rPr>
              <w:t>559</w:t>
            </w:r>
            <w:r>
              <w:rPr>
                <w:lang w:val="en-US"/>
              </w:rPr>
              <w:noBreakHyphen/>
              <w:t>1</w:t>
            </w:r>
            <w:r>
              <w:rPr>
                <w:rFonts w:ascii="Tms Rmn" w:hAnsi="Tms Rmn"/>
                <w:sz w:val="12"/>
                <w:lang w:val="en-US"/>
              </w:rPr>
              <w:t> </w:t>
            </w:r>
            <w:r>
              <w:rPr>
                <w:lang w:val="en-US"/>
              </w:rPr>
              <w:t>605 MHz band))</w:t>
            </w:r>
            <w:r w:rsidRPr="002B7B9D">
              <w:rPr>
                <w:vertAlign w:val="superscript"/>
                <w:lang w:val="en-US"/>
              </w:rPr>
              <w:t>(3)</w:t>
            </w:r>
          </w:p>
        </w:tc>
        <w:tc>
          <w:tcPr>
            <w:tcW w:w="6237" w:type="dxa"/>
            <w:tcBorders>
              <w:bottom w:val="single" w:sz="4" w:space="0" w:color="auto"/>
            </w:tcBorders>
          </w:tcPr>
          <w:p w:rsidR="00922B8B" w:rsidRDefault="00922B8B" w:rsidP="004D27B4">
            <w:pPr>
              <w:pStyle w:val="Tabletext"/>
              <w:framePr w:hSpace="181" w:wrap="notBeside" w:vAnchor="text" w:hAnchor="text" w:xAlign="center" w:y="1"/>
              <w:spacing w:before="60" w:after="60"/>
              <w:jc w:val="left"/>
              <w:rPr>
                <w:lang w:val="en-US"/>
              </w:rPr>
            </w:pPr>
            <w:r>
              <w:rPr>
                <w:lang w:val="en-US"/>
              </w:rPr>
              <w:t>–70 dB(W/MHz) e.i.r.p., and</w:t>
            </w:r>
            <w:r>
              <w:rPr>
                <w:lang w:val="en-US"/>
              </w:rPr>
              <w:br/>
            </w:r>
            <w:r>
              <w:rPr>
                <w:lang w:val="en-US"/>
              </w:rPr>
              <w:br/>
              <w:t>–80 dBW e.i.r.p. in any 300 Hz bandwidth</w:t>
            </w:r>
          </w:p>
        </w:tc>
      </w:tr>
      <w:tr w:rsidR="00922B8B" w:rsidTr="004D27B4">
        <w:trPr>
          <w:jc w:val="center"/>
        </w:trPr>
        <w:tc>
          <w:tcPr>
            <w:tcW w:w="9639" w:type="dxa"/>
            <w:gridSpan w:val="2"/>
            <w:tcBorders>
              <w:left w:val="nil"/>
              <w:bottom w:val="nil"/>
              <w:right w:val="nil"/>
            </w:tcBorders>
          </w:tcPr>
          <w:p w:rsidR="00922B8B" w:rsidRDefault="00922B8B" w:rsidP="004D27B4">
            <w:pPr>
              <w:pStyle w:val="Tablelegend"/>
              <w:framePr w:hSpace="181" w:wrap="notBeside" w:vAnchor="text" w:hAnchor="text" w:xAlign="center" w:y="1"/>
              <w:spacing w:before="200" w:after="60"/>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framePr w:hSpace="181" w:wrap="notBeside" w:vAnchor="text" w:hAnchor="text" w:xAlign="center" w:y="1"/>
              <w:spacing w:before="60" w:after="60"/>
              <w:rPr>
                <w:lang w:val="en-US"/>
              </w:rPr>
            </w:pPr>
            <w:r w:rsidRPr="002B7B9D">
              <w:rPr>
                <w:vertAlign w:val="superscript"/>
                <w:lang w:val="en-US"/>
              </w:rPr>
              <w:t>(1)</w:t>
            </w:r>
            <w:r>
              <w:rPr>
                <w:lang w:val="en-US"/>
              </w:rPr>
              <w:tab/>
              <w:t>For mobile earth terminals, the limits shown represent absolute e.i.r.p. levels rather than attenuation.</w:t>
            </w:r>
          </w:p>
          <w:p w:rsidR="00922B8B" w:rsidRDefault="00922B8B" w:rsidP="004D27B4">
            <w:pPr>
              <w:pStyle w:val="Tablelegend"/>
              <w:framePr w:hSpace="181" w:wrap="notBeside" w:vAnchor="text" w:hAnchor="text" w:xAlign="center" w:y="1"/>
              <w:spacing w:before="60" w:after="60"/>
              <w:rPr>
                <w:lang w:val="en-US"/>
              </w:rPr>
            </w:pPr>
            <w:r w:rsidRPr="002B7B9D">
              <w:rPr>
                <w:vertAlign w:val="superscript"/>
                <w:lang w:val="en-US"/>
              </w:rPr>
              <w:t>(2)</w:t>
            </w:r>
            <w:r>
              <w:rPr>
                <w:lang w:val="en-US"/>
              </w:rPr>
              <w:tab/>
              <w:t>As a special case, the reference bandwidth should be 3 kHz.</w:t>
            </w:r>
          </w:p>
          <w:p w:rsidR="00922B8B" w:rsidRDefault="00922B8B" w:rsidP="004D27B4">
            <w:pPr>
              <w:pStyle w:val="Tablelegend"/>
              <w:framePr w:hSpace="181" w:wrap="notBeside" w:vAnchor="text" w:hAnchor="text" w:xAlign="center" w:y="1"/>
              <w:spacing w:before="60" w:after="60"/>
              <w:rPr>
                <w:lang w:val="en-US"/>
              </w:rPr>
            </w:pPr>
            <w:r>
              <w:rPr>
                <w:vertAlign w:val="superscript"/>
              </w:rPr>
              <w:t>(3)</w:t>
            </w:r>
            <w:r>
              <w:rPr>
                <w:lang w:val="en-US"/>
              </w:rPr>
              <w:tab/>
              <w:t>Proposed.</w:t>
            </w:r>
          </w:p>
        </w:tc>
      </w:tr>
    </w:tbl>
    <w:p w:rsidR="00922B8B" w:rsidRDefault="00922B8B" w:rsidP="00922B8B">
      <w:pPr>
        <w:pStyle w:val="Tablefin"/>
      </w:pPr>
    </w:p>
    <w:p w:rsidR="00922B8B" w:rsidRDefault="00922B8B" w:rsidP="00922B8B">
      <w:pPr>
        <w:pStyle w:val="Heading2"/>
        <w:rPr>
          <w:lang w:val="en-US"/>
        </w:rPr>
      </w:pPr>
      <w:r>
        <w:rPr>
          <w:lang w:val="en-US"/>
        </w:rPr>
        <w:t>4.5</w:t>
      </w:r>
      <w:r>
        <w:rPr>
          <w:lang w:val="en-US"/>
        </w:rPr>
        <w:tab/>
        <w:t>Category D limits</w:t>
      </w:r>
    </w:p>
    <w:p w:rsidR="00922B8B" w:rsidRDefault="00922B8B" w:rsidP="00922B8B">
      <w:pPr>
        <w:rPr>
          <w:lang w:val="en-US"/>
        </w:rPr>
      </w:pPr>
      <w:r>
        <w:rPr>
          <w:lang w:val="en-US"/>
        </w:rPr>
        <w:t>Table 5 indicates the maximum permitted levels of spurious domain emissions, in terms of power level, of any unwanted component supplied by a transmitter to the antenna transmission line for Category D equipment. For all services/systems and output power range not quoted in the Table, Category A limits are applicable.</w:t>
      </w:r>
    </w:p>
    <w:p w:rsidR="00922B8B" w:rsidRPr="002B7B9D" w:rsidRDefault="00922B8B" w:rsidP="00193BCD">
      <w:pPr>
        <w:pStyle w:val="TableNo"/>
        <w:rPr>
          <w:lang w:val="en-US"/>
        </w:rPr>
      </w:pPr>
      <w:r w:rsidRPr="002B7B9D">
        <w:rPr>
          <w:lang w:val="en-US"/>
        </w:rPr>
        <w:lastRenderedPageBreak/>
        <w:t>TABLE 5</w:t>
      </w:r>
    </w:p>
    <w:p w:rsidR="00922B8B" w:rsidRPr="002B7B9D" w:rsidRDefault="00922B8B" w:rsidP="00922B8B">
      <w:pPr>
        <w:pStyle w:val="Tabletitle"/>
        <w:rPr>
          <w:lang w:val="en-US"/>
        </w:rPr>
      </w:pPr>
      <w:r w:rsidRPr="002B7B9D">
        <w:rPr>
          <w:lang w:val="en-US"/>
        </w:rPr>
        <w:t>Category D Limits</w:t>
      </w:r>
    </w:p>
    <w:p w:rsidR="00922B8B" w:rsidRDefault="00922B8B" w:rsidP="00922B8B">
      <w:pPr>
        <w:pStyle w:val="Tabletitle"/>
        <w:rPr>
          <w:b w:val="0"/>
          <w:bCs/>
          <w:lang w:val="en-US"/>
        </w:rPr>
      </w:pPr>
      <w:r>
        <w:rPr>
          <w:b w:val="0"/>
          <w:bCs/>
          <w:lang w:val="en-US"/>
        </w:rPr>
        <w:t xml:space="preserve">(See definitions in </w:t>
      </w:r>
      <w:r>
        <w:rPr>
          <w:b w:val="0"/>
          <w:bCs/>
          <w:i/>
          <w:lang w:val="en-US"/>
        </w:rPr>
        <w:t>recommends</w:t>
      </w:r>
      <w:r>
        <w:rPr>
          <w:b w:val="0"/>
          <w:bCs/>
          <w:lang w:val="en-US"/>
        </w:rPr>
        <w:t xml:space="preserve"> 3.3)</w:t>
      </w:r>
    </w:p>
    <w:p w:rsidR="00922B8B" w:rsidRDefault="00922B8B" w:rsidP="00922B8B">
      <w:pPr>
        <w:pStyle w:val="Blanc"/>
      </w:pPr>
    </w:p>
    <w:tbl>
      <w:tblPr>
        <w:tblW w:w="963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3720"/>
        <w:gridCol w:w="5919"/>
      </w:tblGrid>
      <w:tr w:rsidR="00922B8B" w:rsidTr="004D27B4">
        <w:trPr>
          <w:jc w:val="center"/>
        </w:trPr>
        <w:tc>
          <w:tcPr>
            <w:tcW w:w="3720" w:type="dxa"/>
            <w:vAlign w:val="center"/>
          </w:tcPr>
          <w:p w:rsidR="00922B8B" w:rsidRDefault="00922B8B" w:rsidP="004D27B4">
            <w:pPr>
              <w:pStyle w:val="Tablehead"/>
              <w:rPr>
                <w:lang w:val="en-US"/>
              </w:rPr>
            </w:pPr>
            <w:r>
              <w:rPr>
                <w:lang w:val="en-US"/>
              </w:rPr>
              <w:t>Type of equipment</w:t>
            </w:r>
          </w:p>
        </w:tc>
        <w:tc>
          <w:tcPr>
            <w:tcW w:w="5919" w:type="dxa"/>
            <w:vAlign w:val="center"/>
          </w:tcPr>
          <w:p w:rsidR="00922B8B" w:rsidRDefault="00922B8B" w:rsidP="004D27B4">
            <w:pPr>
              <w:pStyle w:val="Tablehead"/>
              <w:rPr>
                <w:lang w:val="en-US"/>
              </w:rPr>
            </w:pPr>
            <w:r>
              <w:rPr>
                <w:lang w:val="en-US"/>
              </w:rPr>
              <w:t>Limits</w:t>
            </w:r>
          </w:p>
        </w:tc>
      </w:tr>
      <w:tr w:rsidR="00922B8B" w:rsidRPr="00124482" w:rsidTr="004D27B4">
        <w:trPr>
          <w:jc w:val="center"/>
        </w:trPr>
        <w:tc>
          <w:tcPr>
            <w:tcW w:w="3720" w:type="dxa"/>
            <w:vAlign w:val="center"/>
          </w:tcPr>
          <w:p w:rsidR="00922B8B" w:rsidRPr="002B7B9D" w:rsidRDefault="00922B8B" w:rsidP="004D27B4">
            <w:pPr>
              <w:pStyle w:val="Tabletext"/>
              <w:keepNext/>
            </w:pPr>
            <w:r w:rsidRPr="002B7B9D">
              <w:t>Fixed service</w:t>
            </w:r>
          </w:p>
          <w:p w:rsidR="00922B8B" w:rsidRPr="002B7B9D" w:rsidRDefault="00922B8B" w:rsidP="00D271DE">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r w:rsidRPr="002B7B9D">
              <w:t>30 MHz </w:t>
            </w:r>
            <w:r w:rsidR="00D271DE">
              <w:t>&lt;</w:t>
            </w:r>
            <w:r w:rsidRPr="002B7B9D">
              <w:t> </w:t>
            </w:r>
            <w:r w:rsidRPr="002B7B9D">
              <w:rPr>
                <w:i/>
              </w:rPr>
              <w:t>f</w:t>
            </w:r>
            <w:r w:rsidRPr="002B7B9D">
              <w:rPr>
                <w:position w:val="-4"/>
                <w:sz w:val="18"/>
              </w:rPr>
              <w:t>0</w:t>
            </w:r>
            <w:r w:rsidRPr="002B7B9D">
              <w:rPr>
                <w:position w:val="-4"/>
              </w:rPr>
              <w:t> </w:t>
            </w:r>
            <w:r w:rsidR="00D271DE" w:rsidRPr="00124482">
              <w:t>≤</w:t>
            </w:r>
            <w:r w:rsidRPr="002B7B9D">
              <w:t> 335.4 MHz</w:t>
            </w:r>
          </w:p>
          <w:p w:rsidR="00922B8B" w:rsidRPr="002B7B9D" w:rsidRDefault="00922B8B" w:rsidP="004D27B4">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p>
          <w:p w:rsidR="00922B8B" w:rsidRPr="002B7B9D" w:rsidRDefault="00922B8B" w:rsidP="00124482">
            <w:pPr>
              <w:pStyle w:val="Tabletext"/>
              <w:keepNext/>
              <w:tabs>
                <w:tab w:val="clear" w:pos="851"/>
                <w:tab w:val="clear" w:pos="1134"/>
                <w:tab w:val="clear" w:pos="1418"/>
                <w:tab w:val="clear" w:pos="1701"/>
                <w:tab w:val="clear" w:pos="1985"/>
                <w:tab w:val="left" w:pos="1078"/>
                <w:tab w:val="left" w:pos="1106"/>
                <w:tab w:val="left" w:pos="1344"/>
                <w:tab w:val="left" w:pos="1610"/>
                <w:tab w:val="left" w:pos="1890"/>
              </w:tabs>
              <w:spacing w:before="30" w:after="30" w:line="240" w:lineRule="exact"/>
              <w:jc w:val="left"/>
            </w:pPr>
            <w:r w:rsidRPr="002B7B9D">
              <w:t>335.4 MHz </w:t>
            </w:r>
            <w:r w:rsidR="00124482">
              <w:t>&lt;</w:t>
            </w:r>
            <w:r w:rsidRPr="002B7B9D">
              <w:t> </w:t>
            </w:r>
            <w:r w:rsidRPr="002B7B9D">
              <w:rPr>
                <w:i/>
              </w:rPr>
              <w:t>f</w:t>
            </w:r>
            <w:r w:rsidRPr="002B7B9D">
              <w:rPr>
                <w:position w:val="-4"/>
                <w:sz w:val="18"/>
              </w:rPr>
              <w:t>0</w:t>
            </w:r>
            <w:r w:rsidRPr="002B7B9D">
              <w:rPr>
                <w:position w:val="-4"/>
              </w:rPr>
              <w:t> </w:t>
            </w:r>
            <w:r w:rsidR="00124482" w:rsidRPr="003C0A65">
              <w:t>≤</w:t>
            </w:r>
            <w:r w:rsidRPr="002B7B9D">
              <w:t> 470 MHz</w:t>
            </w:r>
          </w:p>
          <w:p w:rsidR="00922B8B" w:rsidRPr="002B7B9D" w:rsidRDefault="00922B8B" w:rsidP="004D27B4">
            <w:pPr>
              <w:pStyle w:val="Tabletext"/>
              <w:keepNext/>
              <w:tabs>
                <w:tab w:val="clear" w:pos="1134"/>
                <w:tab w:val="clear" w:pos="1418"/>
                <w:tab w:val="clear" w:pos="1701"/>
                <w:tab w:val="clear" w:pos="1985"/>
                <w:tab w:val="left" w:pos="1106"/>
                <w:tab w:val="left" w:pos="1344"/>
                <w:tab w:val="left" w:pos="1610"/>
                <w:tab w:val="left" w:pos="1890"/>
              </w:tabs>
              <w:spacing w:before="30" w:after="30" w:line="240" w:lineRule="exact"/>
              <w:jc w:val="left"/>
            </w:pPr>
          </w:p>
          <w:p w:rsidR="00922B8B" w:rsidRPr="002B7B9D" w:rsidRDefault="00922B8B" w:rsidP="004D27B4">
            <w:pPr>
              <w:keepNext/>
              <w:tabs>
                <w:tab w:val="clear" w:pos="1588"/>
                <w:tab w:val="clear" w:pos="1985"/>
                <w:tab w:val="left" w:pos="1106"/>
                <w:tab w:val="left" w:pos="1344"/>
                <w:tab w:val="left" w:pos="1610"/>
                <w:tab w:val="left" w:pos="1890"/>
              </w:tabs>
              <w:spacing w:before="30" w:after="30" w:line="240" w:lineRule="exact"/>
            </w:pPr>
          </w:p>
        </w:tc>
        <w:tc>
          <w:tcPr>
            <w:tcW w:w="5919" w:type="dxa"/>
          </w:tcPr>
          <w:p w:rsidR="00922B8B" w:rsidRPr="003C0A65"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left" w:pos="1222"/>
                <w:tab w:val="left" w:pos="2369"/>
              </w:tabs>
              <w:spacing w:before="30" w:after="30" w:line="240" w:lineRule="exact"/>
              <w:jc w:val="left"/>
            </w:pP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60 dBc</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50 W</w:t>
            </w:r>
          </w:p>
          <w:p w:rsidR="00922B8B"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0 dBm</w:t>
            </w:r>
            <w:r>
              <w:rPr>
                <w:lang w:val="en-US"/>
              </w:rPr>
              <w:tab/>
              <w:t>for 10 kW </w:t>
            </w:r>
            <w:r w:rsidR="00124482">
              <w:rPr>
                <w:lang w:val="en-US"/>
              </w:rPr>
              <w:t>≤</w:t>
            </w:r>
            <w:r>
              <w:rPr>
                <w:lang w:val="en-US"/>
              </w:rPr>
              <w:t> </w:t>
            </w:r>
            <w:r>
              <w:rPr>
                <w:i/>
                <w:lang w:val="en-US"/>
              </w:rPr>
              <w:t>P</w:t>
            </w: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rPr>
                <w:lang w:val="en-US"/>
              </w:rPr>
              <w:t>–26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25 W</w:t>
            </w:r>
          </w:p>
          <w:p w:rsidR="00922B8B" w:rsidRDefault="00922B8B" w:rsidP="00124482">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517"/>
                <w:tab w:val="left" w:pos="2747"/>
              </w:tabs>
              <w:spacing w:before="30" w:after="30" w:line="240" w:lineRule="exact"/>
              <w:jc w:val="left"/>
              <w:rPr>
                <w:lang w:val="en-US"/>
              </w:rPr>
            </w:pPr>
            <w:r>
              <w:t> </w:t>
            </w:r>
            <w:r>
              <w:rPr>
                <w:lang w:val="en-US"/>
              </w:rPr>
              <w:t>70 dBc</w:t>
            </w:r>
            <w:r>
              <w:rPr>
                <w:lang w:val="en-US"/>
              </w:rPr>
              <w:tab/>
              <w:t>for 25 W</w:t>
            </w:r>
            <w:r>
              <w:rPr>
                <w:lang w:val="es-ES"/>
              </w:rPr>
              <w:t> </w:t>
            </w:r>
            <w:r>
              <w:rPr>
                <w:lang w:val="en-US"/>
              </w:rPr>
              <w:t> </w:t>
            </w:r>
            <w:r w:rsidR="00124482">
              <w:rPr>
                <w:lang w:val="en-US"/>
              </w:rPr>
              <w:t>≤</w:t>
            </w:r>
            <w:r>
              <w:rPr>
                <w:lang w:val="en-US"/>
              </w:rPr>
              <w:t> </w:t>
            </w:r>
            <w:r>
              <w:rPr>
                <w:i/>
                <w:lang w:val="en-US"/>
              </w:rPr>
              <w:t>P</w:t>
            </w:r>
            <w:r>
              <w:rPr>
                <w:lang w:val="en-US"/>
              </w:rPr>
              <w:t> </w:t>
            </w:r>
            <w:r w:rsidR="00124482">
              <w:rPr>
                <w:lang w:val="en-US"/>
              </w:rPr>
              <w:t>&lt;</w:t>
            </w:r>
            <w:r>
              <w:rPr>
                <w:lang w:val="en-US"/>
              </w:rPr>
              <w:t> 10 kW</w:t>
            </w:r>
          </w:p>
          <w:p w:rsidR="00922B8B" w:rsidRDefault="00922B8B" w:rsidP="004D27B4">
            <w:pPr>
              <w:pStyle w:val="Tabletext"/>
              <w:keepNext/>
              <w:tabs>
                <w:tab w:val="clear" w:pos="567"/>
                <w:tab w:val="clear" w:pos="851"/>
                <w:tab w:val="clear" w:pos="1134"/>
                <w:tab w:val="clear" w:pos="1418"/>
                <w:tab w:val="clear" w:pos="1701"/>
                <w:tab w:val="clear" w:pos="1985"/>
                <w:tab w:val="clear" w:pos="2268"/>
                <w:tab w:val="clear" w:pos="2552"/>
                <w:tab w:val="clear" w:pos="2835"/>
                <w:tab w:val="left" w:pos="1383"/>
                <w:tab w:val="left" w:pos="2187"/>
                <w:tab w:val="left" w:pos="2481"/>
              </w:tabs>
              <w:spacing w:before="30" w:after="30" w:line="240" w:lineRule="exact"/>
              <w:jc w:val="left"/>
              <w:rPr>
                <w:lang w:val="en-US"/>
              </w:rPr>
            </w:pPr>
            <w:r>
              <w:t> </w:t>
            </w:r>
            <w:r>
              <w:rPr>
                <w:lang w:val="en-US"/>
              </w:rPr>
              <w:t>0 dBm</w:t>
            </w:r>
            <w:r>
              <w:rPr>
                <w:lang w:val="en-US"/>
              </w:rPr>
              <w:tab/>
              <w:t>for 10 kW </w:t>
            </w:r>
            <w:r w:rsidR="00124482">
              <w:rPr>
                <w:lang w:val="en-US"/>
              </w:rPr>
              <w:t>≤</w:t>
            </w:r>
            <w:r>
              <w:rPr>
                <w:lang w:val="en-US"/>
              </w:rPr>
              <w:t> </w:t>
            </w:r>
            <w:r>
              <w:rPr>
                <w:i/>
                <w:lang w:val="en-US"/>
              </w:rPr>
              <w:t>P</w:t>
            </w:r>
          </w:p>
        </w:tc>
      </w:tr>
      <w:tr w:rsidR="00922B8B" w:rsidRPr="00EB70C7" w:rsidTr="004D27B4">
        <w:trPr>
          <w:jc w:val="center"/>
        </w:trPr>
        <w:tc>
          <w:tcPr>
            <w:tcW w:w="3720" w:type="dxa"/>
          </w:tcPr>
          <w:p w:rsidR="00922B8B" w:rsidRDefault="00922B8B" w:rsidP="00124482">
            <w:pPr>
              <w:pStyle w:val="Tabletext"/>
              <w:spacing w:before="30" w:after="30" w:line="240" w:lineRule="exact"/>
              <w:jc w:val="left"/>
              <w:rPr>
                <w:lang w:val="fr-CH"/>
              </w:rPr>
            </w:pPr>
            <w:r>
              <w:t>Maritime mobile service</w:t>
            </w:r>
            <w:r>
              <w:rPr>
                <w:vertAlign w:val="superscript"/>
              </w:rPr>
              <w:t>(1)</w:t>
            </w:r>
            <w:r>
              <w:rPr>
                <w:lang w:val="fr-CH"/>
              </w:rPr>
              <w:br/>
              <w:t>30 MHz </w:t>
            </w:r>
            <w:r w:rsidR="00124482">
              <w:rPr>
                <w:lang w:val="fr-CH"/>
              </w:rPr>
              <w:t>&lt;</w:t>
            </w:r>
            <w:r>
              <w:rPr>
                <w:lang w:val="fr-CH"/>
              </w:rPr>
              <w:t> </w:t>
            </w:r>
            <w:r>
              <w:rPr>
                <w:i/>
                <w:lang w:val="fr-CH"/>
              </w:rPr>
              <w:t>f</w:t>
            </w:r>
            <w:r>
              <w:rPr>
                <w:position w:val="-4"/>
                <w:sz w:val="18"/>
                <w:lang w:val="fr-CH"/>
              </w:rPr>
              <w:t>0</w:t>
            </w:r>
            <w:r>
              <w:rPr>
                <w:lang w:val="fr-CH"/>
              </w:rPr>
              <w:t> </w:t>
            </w:r>
            <w:r w:rsidR="00124482" w:rsidRPr="00124482">
              <w:rPr>
                <w:lang w:val="fr-CH"/>
              </w:rPr>
              <w:t>≤</w:t>
            </w:r>
            <w:r>
              <w:rPr>
                <w:lang w:val="fr-CH"/>
              </w:rPr>
              <w:t> 335.4 MHz</w:t>
            </w:r>
          </w:p>
          <w:p w:rsidR="00922B8B" w:rsidRDefault="00922B8B" w:rsidP="004D27B4">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p w:rsidR="00922B8B" w:rsidRDefault="00922B8B" w:rsidP="004D27B4">
            <w:pPr>
              <w:spacing w:before="30" w:after="30" w:line="240" w:lineRule="exact"/>
              <w:rPr>
                <w:lang w:val="fr-CH"/>
              </w:rPr>
            </w:pPr>
          </w:p>
        </w:tc>
        <w:tc>
          <w:tcPr>
            <w:tcW w:w="5919" w:type="dxa"/>
            <w:vAlign w:val="center"/>
          </w:tcPr>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sidRPr="00EB70C7">
              <w:rPr>
                <w:lang w:val="en-US"/>
              </w:rPr>
              <w:br/>
            </w:r>
            <w:r>
              <w:rPr>
                <w:lang w:val="en-US"/>
              </w:rPr>
              <w:t>146 MHz </w:t>
            </w:r>
            <w:r w:rsidR="00124482">
              <w:rPr>
                <w:lang w:val="en-US"/>
              </w:rPr>
              <w:t>&lt;</w:t>
            </w:r>
            <w:r>
              <w:rPr>
                <w:lang w:val="en-US"/>
              </w:rPr>
              <w:t> </w:t>
            </w:r>
            <w:r>
              <w:rPr>
                <w:i/>
                <w:lang w:val="en-US"/>
              </w:rPr>
              <w:t>f</w:t>
            </w:r>
            <w:r>
              <w:rPr>
                <w:lang w:val="en-US"/>
              </w:rPr>
              <w:t> </w:t>
            </w:r>
            <w:r w:rsidR="00124482">
              <w:rPr>
                <w:lang w:val="en-US"/>
              </w:rPr>
              <w:t>≤</w:t>
            </w:r>
            <w:r>
              <w:rPr>
                <w:lang w:val="en-US"/>
              </w:rPr>
              <w:t> 162.0375 MHz</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t>–26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20 W</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r>
            <w:r>
              <w:t> </w:t>
            </w:r>
            <w:r>
              <w:rPr>
                <w:lang w:val="en-US"/>
              </w:rPr>
              <w:t>69 dBc</w:t>
            </w:r>
            <w:r>
              <w:rPr>
                <w:lang w:val="en-US"/>
              </w:rPr>
              <w:tab/>
              <w:t>for 20 W </w:t>
            </w:r>
            <w:r w:rsidR="00124482">
              <w:rPr>
                <w:lang w:val="en-US"/>
              </w:rPr>
              <w:t>≤</w:t>
            </w:r>
            <w:r>
              <w:rPr>
                <w:lang w:val="en-US"/>
              </w:rPr>
              <w:t> </w:t>
            </w:r>
            <w:r>
              <w:rPr>
                <w:i/>
                <w:lang w:val="en-US"/>
              </w:rPr>
              <w:t>P</w:t>
            </w:r>
            <w:r>
              <w:rPr>
                <w:lang w:val="en-US"/>
              </w:rPr>
              <w:t> </w:t>
            </w:r>
            <w:r w:rsidR="00124482">
              <w:rPr>
                <w:lang w:val="en-US"/>
              </w:rPr>
              <w:t>&lt;</w:t>
            </w:r>
            <w:r>
              <w:rPr>
                <w:lang w:val="en-US"/>
              </w:rPr>
              <w:t> 400 W</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i/>
                <w:lang w:val="en-US"/>
              </w:rPr>
              <w:t>f</w:t>
            </w:r>
            <w:r>
              <w:rPr>
                <w:lang w:val="en-US"/>
              </w:rPr>
              <w:t> </w:t>
            </w:r>
            <w:r w:rsidR="00124482">
              <w:rPr>
                <w:lang w:val="en-US"/>
              </w:rPr>
              <w:t>≤</w:t>
            </w:r>
            <w:r>
              <w:rPr>
                <w:lang w:val="en-US"/>
              </w:rPr>
              <w:t> 146 MHz and 162.0375 MHz </w:t>
            </w:r>
            <w:r w:rsidR="00124482">
              <w:rPr>
                <w:lang w:val="en-US"/>
              </w:rPr>
              <w:t>&lt;</w:t>
            </w:r>
            <w:r>
              <w:rPr>
                <w:lang w:val="en-US"/>
              </w:rPr>
              <w:t> </w:t>
            </w:r>
            <w:r>
              <w:rPr>
                <w:i/>
                <w:lang w:val="en-US"/>
              </w:rPr>
              <w:t>f</w:t>
            </w:r>
          </w:p>
          <w:p w:rsidR="00922B8B" w:rsidRDefault="00922B8B" w:rsidP="00124482">
            <w:pPr>
              <w:pStyle w:val="Tabletext"/>
              <w:tabs>
                <w:tab w:val="clear" w:pos="1134"/>
                <w:tab w:val="clear" w:pos="1418"/>
                <w:tab w:val="clear" w:pos="2268"/>
                <w:tab w:val="clear" w:pos="2552"/>
                <w:tab w:val="clear" w:pos="2835"/>
                <w:tab w:val="left" w:pos="1376"/>
                <w:tab w:val="left" w:pos="2369"/>
                <w:tab w:val="left" w:pos="2747"/>
              </w:tabs>
              <w:spacing w:before="30" w:after="30" w:line="240" w:lineRule="exact"/>
              <w:jc w:val="left"/>
              <w:rPr>
                <w:lang w:val="en-US"/>
              </w:rPr>
            </w:pPr>
            <w:r>
              <w:rPr>
                <w:lang w:val="en-US"/>
              </w:rPr>
              <w:tab/>
              <w:t>–20 dBm</w:t>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20 W</w:t>
            </w:r>
          </w:p>
          <w:p w:rsidR="00922B8B" w:rsidRDefault="00922B8B" w:rsidP="00124482">
            <w:pPr>
              <w:pStyle w:val="Tabletext"/>
              <w:tabs>
                <w:tab w:val="clear" w:pos="1134"/>
                <w:tab w:val="clear" w:pos="1418"/>
                <w:tab w:val="clear" w:pos="2268"/>
                <w:tab w:val="clear" w:pos="2552"/>
                <w:tab w:val="clear" w:pos="2835"/>
                <w:tab w:val="left" w:pos="1376"/>
                <w:tab w:val="left" w:pos="2201"/>
                <w:tab w:val="left" w:pos="2453"/>
              </w:tabs>
              <w:spacing w:before="30" w:after="30" w:line="240" w:lineRule="exact"/>
              <w:jc w:val="left"/>
              <w:rPr>
                <w:lang w:val="en-US"/>
              </w:rPr>
            </w:pPr>
            <w:r>
              <w:rPr>
                <w:lang w:val="en-US"/>
              </w:rPr>
              <w:tab/>
            </w:r>
            <w:r>
              <w:t> </w:t>
            </w:r>
            <w:r>
              <w:rPr>
                <w:lang w:val="en-US"/>
              </w:rPr>
              <w:t>63 dBc</w:t>
            </w:r>
            <w:r>
              <w:rPr>
                <w:lang w:val="en-US"/>
              </w:rPr>
              <w:tab/>
              <w:t>for 20 W </w:t>
            </w:r>
            <w:r w:rsidR="00124482">
              <w:rPr>
                <w:lang w:val="en-US"/>
              </w:rPr>
              <w:t>≤</w:t>
            </w:r>
            <w:r>
              <w:rPr>
                <w:lang w:val="en-US"/>
              </w:rPr>
              <w:t> </w:t>
            </w:r>
            <w:r>
              <w:rPr>
                <w:i/>
                <w:lang w:val="en-US"/>
              </w:rPr>
              <w:t>P</w:t>
            </w:r>
            <w:r>
              <w:rPr>
                <w:lang w:val="en-US"/>
              </w:rPr>
              <w:t> </w:t>
            </w:r>
            <w:r w:rsidR="00124482">
              <w:rPr>
                <w:lang w:val="en-US"/>
              </w:rPr>
              <w:t>&lt;</w:t>
            </w:r>
            <w:r>
              <w:rPr>
                <w:lang w:val="en-US"/>
              </w:rPr>
              <w:t> 100 W</w:t>
            </w:r>
          </w:p>
        </w:tc>
      </w:tr>
      <w:tr w:rsidR="00922B8B" w:rsidTr="004D27B4">
        <w:trPr>
          <w:jc w:val="center"/>
        </w:trPr>
        <w:tc>
          <w:tcPr>
            <w:tcW w:w="3720" w:type="dxa"/>
            <w:vAlign w:val="center"/>
          </w:tcPr>
          <w:p w:rsidR="00922B8B" w:rsidRDefault="00922B8B" w:rsidP="004D27B4">
            <w:pPr>
              <w:pStyle w:val="Tabletext"/>
              <w:spacing w:before="30" w:after="30" w:line="240" w:lineRule="exact"/>
              <w:jc w:val="left"/>
              <w:rPr>
                <w:lang w:val="en-US"/>
              </w:rPr>
            </w:pPr>
            <w:r>
              <w:rPr>
                <w:lang w:val="en-US"/>
              </w:rPr>
              <w:t>Aeronautical mobile service</w:t>
            </w:r>
            <w:r w:rsidRPr="002B7B9D">
              <w:rPr>
                <w:vertAlign w:val="superscript"/>
                <w:lang w:val="en-US"/>
              </w:rPr>
              <w:t>(2)</w:t>
            </w:r>
          </w:p>
          <w:p w:rsidR="00922B8B" w:rsidRDefault="00922B8B" w:rsidP="00124482">
            <w:pPr>
              <w:pStyle w:val="Tabletext"/>
              <w:spacing w:before="30" w:after="30" w:line="240" w:lineRule="exact"/>
              <w:jc w:val="left"/>
              <w:rPr>
                <w:lang w:val="en-US"/>
              </w:rPr>
            </w:pPr>
            <w:r>
              <w:rPr>
                <w:lang w:val="en-US"/>
              </w:rPr>
              <w:t>118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142 MHz</w:t>
            </w:r>
          </w:p>
          <w:p w:rsidR="00922B8B" w:rsidRDefault="00922B8B" w:rsidP="00124482">
            <w:pPr>
              <w:pStyle w:val="Tabletext"/>
              <w:spacing w:before="30" w:after="30" w:line="240" w:lineRule="exact"/>
              <w:jc w:val="left"/>
              <w:rPr>
                <w:lang w:val="en-US"/>
              </w:rPr>
            </w:pPr>
            <w:r>
              <w:rPr>
                <w:lang w:val="en-US"/>
              </w:rPr>
              <w:t>335.4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470 MHz</w:t>
            </w:r>
          </w:p>
          <w:p w:rsidR="00922B8B" w:rsidRDefault="00922B8B" w:rsidP="004D27B4">
            <w:pPr>
              <w:pStyle w:val="Tabletext"/>
              <w:spacing w:before="30" w:after="30" w:line="240" w:lineRule="exact"/>
              <w:jc w:val="left"/>
              <w:rPr>
                <w:lang w:val="en-US"/>
              </w:rPr>
            </w:pPr>
          </w:p>
          <w:p w:rsidR="00922B8B" w:rsidRDefault="00922B8B" w:rsidP="00124482">
            <w:pPr>
              <w:pStyle w:val="Tabletext"/>
              <w:spacing w:before="30" w:after="30" w:line="240" w:lineRule="exact"/>
              <w:jc w:val="left"/>
              <w:rPr>
                <w:lang w:val="en-US"/>
              </w:rPr>
            </w:pPr>
            <w:r>
              <w:rPr>
                <w:lang w:val="en-US"/>
              </w:rPr>
              <w:t>830 MHz </w:t>
            </w:r>
            <w:r w:rsidR="00124482">
              <w:rPr>
                <w:lang w:val="en-US"/>
              </w:rPr>
              <w:t>&lt;</w:t>
            </w:r>
            <w:r>
              <w:rPr>
                <w:lang w:val="en-US"/>
              </w:rPr>
              <w:t> </w:t>
            </w:r>
            <w:r>
              <w:rPr>
                <w:i/>
                <w:lang w:val="en-US"/>
              </w:rPr>
              <w:t>f</w:t>
            </w:r>
            <w:r>
              <w:rPr>
                <w:position w:val="-4"/>
                <w:sz w:val="18"/>
                <w:lang w:val="en-US"/>
              </w:rPr>
              <w:t>0</w:t>
            </w:r>
            <w:r>
              <w:rPr>
                <w:lang w:val="en-US"/>
              </w:rPr>
              <w:t> </w:t>
            </w:r>
            <w:r w:rsidR="00124482">
              <w:rPr>
                <w:lang w:val="en-US"/>
              </w:rPr>
              <w:t>≤</w:t>
            </w:r>
            <w:r>
              <w:rPr>
                <w:lang w:val="en-US"/>
              </w:rPr>
              <w:t> 887 MHz</w:t>
            </w:r>
            <w:r w:rsidRPr="002B7B9D">
              <w:rPr>
                <w:vertAlign w:val="superscript"/>
                <w:lang w:val="en-US"/>
              </w:rPr>
              <w:t>(2)</w:t>
            </w:r>
          </w:p>
          <w:p w:rsidR="00922B8B" w:rsidRDefault="00922B8B" w:rsidP="004D27B4">
            <w:pPr>
              <w:spacing w:before="30" w:after="30" w:line="240" w:lineRule="exact"/>
              <w:rPr>
                <w:lang w:val="en-US"/>
              </w:rPr>
            </w:pPr>
          </w:p>
        </w:tc>
        <w:tc>
          <w:tcPr>
            <w:tcW w:w="5919" w:type="dxa"/>
            <w:vAlign w:val="center"/>
          </w:tcPr>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rPr>
                <w:lang w:val="en-US"/>
              </w:rPr>
              <w:t>–16 dBm</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w:t>
            </w:r>
            <w:r>
              <w:rPr>
                <w:lang w:val="en-US"/>
              </w:rPr>
              <w:t> 25 W</w:t>
            </w:r>
          </w:p>
          <w:p w:rsidR="00922B8B" w:rsidRDefault="00922B8B" w:rsidP="00124482">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60 dBc</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&lt;</w:t>
            </w:r>
            <w:r>
              <w:rPr>
                <w:lang w:val="en-US"/>
              </w:rPr>
              <w:t> 50 W</w:t>
            </w: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0 dBm</w:t>
            </w:r>
            <w:r>
              <w:rPr>
                <w:lang w:val="en-US"/>
              </w:rPr>
              <w:tab/>
            </w:r>
            <w:r>
              <w:rPr>
                <w:lang w:val="en-US"/>
              </w:rPr>
              <w:tab/>
              <w:t>for 10 kW </w:t>
            </w:r>
            <w:r w:rsidR="00124482">
              <w:rPr>
                <w:lang w:val="en-US"/>
              </w:rPr>
              <w:t>≤</w:t>
            </w:r>
            <w:r>
              <w:rPr>
                <w:lang w:val="en-US"/>
              </w:rPr>
              <w:t> </w:t>
            </w:r>
            <w:r>
              <w:rPr>
                <w:i/>
                <w:lang w:val="en-US"/>
              </w:rPr>
              <w:t>P</w:t>
            </w:r>
          </w:p>
          <w:p w:rsidR="00922B8B" w:rsidRDefault="00922B8B" w:rsidP="004D27B4">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rPr>
                <w:lang w:val="en-US"/>
              </w:rPr>
              <w:t>–26 dBm</w:t>
            </w:r>
            <w:r>
              <w:rPr>
                <w:lang w:val="en-US"/>
              </w:rPr>
              <w:tab/>
            </w:r>
            <w:r>
              <w:rPr>
                <w:lang w:val="en-US"/>
              </w:rPr>
              <w:tab/>
              <w:t>for</w:t>
            </w:r>
            <w:r>
              <w:rPr>
                <w:lang w:val="es-ES"/>
              </w:rPr>
              <w:t> </w:t>
            </w:r>
            <w:r>
              <w:rPr>
                <w:lang w:val="es-ES"/>
              </w:rPr>
              <w:t> </w:t>
            </w:r>
            <w:r>
              <w:rPr>
                <w:lang w:val="es-ES"/>
              </w:rPr>
              <w:t> </w:t>
            </w:r>
            <w:r>
              <w:rPr>
                <w:lang w:val="es-ES"/>
              </w:rPr>
              <w:t> </w:t>
            </w:r>
            <w:r>
              <w:rPr>
                <w:lang w:val="es-ES"/>
              </w:rPr>
              <w:t> </w:t>
            </w:r>
            <w:r>
              <w:rPr>
                <w:lang w:val="es-ES"/>
              </w:rPr>
              <w:t> </w:t>
            </w:r>
            <w:r>
              <w:rPr>
                <w:lang w:val="es-ES"/>
              </w:rPr>
              <w:t> </w:t>
            </w:r>
            <w:r>
              <w:rPr>
                <w:lang w:val="es-ES"/>
              </w:rPr>
              <w:t> </w:t>
            </w:r>
            <w:r>
              <w:rPr>
                <w:i/>
                <w:lang w:val="en-US"/>
              </w:rPr>
              <w:t>P</w:t>
            </w:r>
            <w:r>
              <w:rPr>
                <w:lang w:val="en-US"/>
              </w:rPr>
              <w:t> </w:t>
            </w:r>
            <w:r w:rsidR="00124482">
              <w:rPr>
                <w:lang w:val="en-US"/>
              </w:rPr>
              <w:t>≤</w:t>
            </w:r>
            <w:r>
              <w:rPr>
                <w:lang w:val="en-US"/>
              </w:rPr>
              <w:t> 25 W</w:t>
            </w:r>
          </w:p>
          <w:p w:rsidR="00922B8B" w:rsidRDefault="00922B8B" w:rsidP="00124482">
            <w:pPr>
              <w:pStyle w:val="Tabletext"/>
              <w:tabs>
                <w:tab w:val="clear" w:pos="1134"/>
                <w:tab w:val="clear" w:pos="1418"/>
                <w:tab w:val="clear" w:pos="2268"/>
                <w:tab w:val="clear" w:pos="2835"/>
                <w:tab w:val="left" w:pos="1383"/>
                <w:tab w:val="left" w:pos="2747"/>
              </w:tabs>
              <w:spacing w:before="30" w:after="30" w:line="240" w:lineRule="exact"/>
              <w:jc w:val="left"/>
              <w:rPr>
                <w:lang w:val="en-US"/>
              </w:rPr>
            </w:pPr>
            <w:r>
              <w:t> </w:t>
            </w:r>
            <w:r>
              <w:rPr>
                <w:lang w:val="en-US"/>
              </w:rPr>
              <w:t>70 dBc</w:t>
            </w:r>
            <w:r>
              <w:rPr>
                <w:lang w:val="en-US"/>
              </w:rPr>
              <w:tab/>
            </w:r>
            <w:r>
              <w:rPr>
                <w:lang w:val="en-US"/>
              </w:rPr>
              <w:tab/>
              <w:t>for 25 W   </w:t>
            </w:r>
            <w:r w:rsidR="00124482">
              <w:rPr>
                <w:lang w:val="en-US"/>
              </w:rPr>
              <w:t>&lt;</w:t>
            </w:r>
            <w:r>
              <w:rPr>
                <w:lang w:val="en-US"/>
              </w:rPr>
              <w:t> </w:t>
            </w:r>
            <w:r>
              <w:rPr>
                <w:i/>
                <w:lang w:val="en-US"/>
              </w:rPr>
              <w:t>P</w:t>
            </w:r>
          </w:p>
        </w:tc>
      </w:tr>
      <w:tr w:rsidR="00922B8B" w:rsidTr="004D27B4">
        <w:trPr>
          <w:jc w:val="center"/>
        </w:trPr>
        <w:tc>
          <w:tcPr>
            <w:tcW w:w="3720" w:type="dxa"/>
            <w:tcBorders>
              <w:bottom w:val="single" w:sz="6" w:space="0" w:color="auto"/>
            </w:tcBorders>
          </w:tcPr>
          <w:p w:rsidR="00922B8B" w:rsidRDefault="00922B8B" w:rsidP="004D27B4">
            <w:pPr>
              <w:pStyle w:val="Tabletext"/>
              <w:spacing w:before="30" w:after="30" w:line="240" w:lineRule="exact"/>
              <w:jc w:val="left"/>
              <w:rPr>
                <w:lang w:val="en-US"/>
              </w:rPr>
            </w:pPr>
            <w:r>
              <w:rPr>
                <w:lang w:val="en-US"/>
              </w:rPr>
              <w:t>SSB</w:t>
            </w:r>
          </w:p>
          <w:p w:rsidR="00922B8B" w:rsidRDefault="00922B8B" w:rsidP="004D27B4">
            <w:pPr>
              <w:pStyle w:val="Tabletext"/>
              <w:spacing w:before="30" w:after="30" w:line="240" w:lineRule="exact"/>
              <w:jc w:val="left"/>
              <w:rPr>
                <w:lang w:val="en-US"/>
              </w:rPr>
            </w:pPr>
            <w:r>
              <w:rPr>
                <w:lang w:val="en-US"/>
              </w:rPr>
              <w:t>(Fixed and land stations excluding coast stations)</w:t>
            </w:r>
          </w:p>
          <w:p w:rsidR="00922B8B" w:rsidRDefault="00922B8B" w:rsidP="004D27B4">
            <w:pPr>
              <w:pStyle w:val="Tabletext"/>
              <w:spacing w:before="30" w:after="30" w:line="240" w:lineRule="exact"/>
              <w:jc w:val="left"/>
              <w:rPr>
                <w:lang w:val="en-US"/>
              </w:rPr>
            </w:pPr>
            <w:r>
              <w:rPr>
                <w:i/>
                <w:lang w:val="en-US"/>
              </w:rPr>
              <w:t>f</w:t>
            </w:r>
            <w:r>
              <w:rPr>
                <w:position w:val="-4"/>
                <w:sz w:val="18"/>
                <w:lang w:val="en-US"/>
              </w:rPr>
              <w:t>0</w:t>
            </w:r>
            <w:r>
              <w:rPr>
                <w:lang w:val="en-US"/>
              </w:rPr>
              <w:t> </w:t>
            </w:r>
            <w:r w:rsidR="00124482">
              <w:rPr>
                <w:lang w:val="en-US"/>
              </w:rPr>
              <w:t>≤</w:t>
            </w:r>
            <w:r>
              <w:rPr>
                <w:lang w:val="en-US"/>
              </w:rPr>
              <w:t> 30 MHz</w:t>
            </w:r>
          </w:p>
        </w:tc>
        <w:tc>
          <w:tcPr>
            <w:tcW w:w="5919" w:type="dxa"/>
            <w:tcBorders>
              <w:bottom w:val="single" w:sz="6" w:space="0" w:color="auto"/>
            </w:tcBorders>
            <w:vAlign w:val="center"/>
          </w:tcPr>
          <w:p w:rsidR="00922B8B" w:rsidRDefault="00922B8B" w:rsidP="004D27B4">
            <w:pPr>
              <w:pStyle w:val="Tabletext"/>
              <w:tabs>
                <w:tab w:val="clear" w:pos="1134"/>
                <w:tab w:val="clear" w:pos="1418"/>
                <w:tab w:val="clear" w:pos="1701"/>
                <w:tab w:val="left" w:pos="1376"/>
              </w:tabs>
              <w:spacing w:before="30" w:after="30" w:line="240" w:lineRule="exact"/>
              <w:jc w:val="left"/>
              <w:rPr>
                <w:lang w:val="en-US"/>
              </w:rPr>
            </w:pPr>
          </w:p>
          <w:p w:rsidR="00922B8B" w:rsidRDefault="00922B8B" w:rsidP="00124482">
            <w:pPr>
              <w:pStyle w:val="Tabletext"/>
              <w:tabs>
                <w:tab w:val="clear" w:pos="1134"/>
                <w:tab w:val="clear" w:pos="1418"/>
                <w:tab w:val="clear" w:pos="1701"/>
                <w:tab w:val="left" w:pos="1376"/>
              </w:tabs>
              <w:spacing w:before="30" w:after="30" w:line="240" w:lineRule="exact"/>
              <w:jc w:val="left"/>
              <w:rPr>
                <w:lang w:val="en-US"/>
              </w:rPr>
            </w:pPr>
            <w:r>
              <w:rPr>
                <w:lang w:val="en-US"/>
              </w:rPr>
              <w:t>50 dBc</w:t>
            </w:r>
            <w:r>
              <w:rPr>
                <w:lang w:val="en-US"/>
              </w:rPr>
              <w:tab/>
            </w:r>
            <w:r>
              <w:rPr>
                <w:lang w:val="en-US"/>
              </w:rPr>
              <w:tab/>
              <w:t xml:space="preserve">for </w:t>
            </w:r>
            <w:r>
              <w:rPr>
                <w:i/>
                <w:lang w:val="en-US"/>
              </w:rPr>
              <w:t>P</w:t>
            </w:r>
            <w:r>
              <w:rPr>
                <w:lang w:val="en-US"/>
              </w:rPr>
              <w:t> </w:t>
            </w:r>
            <w:r w:rsidR="00124482">
              <w:rPr>
                <w:lang w:val="en-US"/>
              </w:rPr>
              <w:t>&lt;</w:t>
            </w:r>
            <w:r>
              <w:rPr>
                <w:lang w:val="en-US"/>
              </w:rPr>
              <w:t> 5 W</w:t>
            </w:r>
            <w:r>
              <w:rPr>
                <w:lang w:val="en-US"/>
              </w:rPr>
              <w:br/>
            </w:r>
          </w:p>
          <w:p w:rsidR="00922B8B" w:rsidRDefault="00922B8B" w:rsidP="004D27B4">
            <w:pPr>
              <w:pStyle w:val="Tabletext"/>
              <w:tabs>
                <w:tab w:val="clear" w:pos="1134"/>
                <w:tab w:val="clear" w:pos="1418"/>
                <w:tab w:val="clear" w:pos="1701"/>
                <w:tab w:val="left" w:pos="1376"/>
              </w:tabs>
              <w:spacing w:before="30" w:after="30" w:line="240" w:lineRule="exact"/>
              <w:jc w:val="left"/>
              <w:rPr>
                <w:lang w:val="en-US"/>
              </w:rPr>
            </w:pPr>
          </w:p>
        </w:tc>
      </w:tr>
      <w:tr w:rsidR="00922B8B" w:rsidRPr="00EB70C7" w:rsidTr="004D27B4">
        <w:trPr>
          <w:jc w:val="center"/>
        </w:trPr>
        <w:tc>
          <w:tcPr>
            <w:tcW w:w="3720" w:type="dxa"/>
            <w:tcBorders>
              <w:top w:val="single" w:sz="6" w:space="0" w:color="auto"/>
              <w:bottom w:val="single" w:sz="6" w:space="0" w:color="auto"/>
            </w:tcBorders>
          </w:tcPr>
          <w:p w:rsidR="00922B8B" w:rsidRPr="003C0A65" w:rsidRDefault="00922B8B" w:rsidP="004D27B4">
            <w:pPr>
              <w:pStyle w:val="Tabletext"/>
              <w:spacing w:before="30" w:after="30" w:line="240" w:lineRule="exact"/>
              <w:jc w:val="left"/>
              <w:rPr>
                <w:szCs w:val="22"/>
                <w:lang w:val="en-US"/>
              </w:rPr>
            </w:pPr>
            <w:r w:rsidRPr="003C0A65">
              <w:rPr>
                <w:szCs w:val="22"/>
                <w:lang w:val="en-US"/>
              </w:rPr>
              <w:t>Land mobile service</w:t>
            </w:r>
          </w:p>
          <w:p w:rsidR="00922B8B" w:rsidRPr="003C0A65" w:rsidRDefault="00922B8B" w:rsidP="004D27B4">
            <w:pPr>
              <w:pStyle w:val="Tabletext"/>
              <w:spacing w:before="30" w:after="30" w:line="240" w:lineRule="exact"/>
              <w:jc w:val="left"/>
              <w:rPr>
                <w:szCs w:val="22"/>
                <w:lang w:val="en-US"/>
              </w:rPr>
            </w:pPr>
            <w:r w:rsidRPr="003C0A65">
              <w:rPr>
                <w:szCs w:val="22"/>
                <w:lang w:val="en-US"/>
              </w:rPr>
              <w:t>(Analogue systems for portable/auto</w:t>
            </w:r>
            <w:r w:rsidRPr="003C0A65">
              <w:rPr>
                <w:szCs w:val="22"/>
                <w:lang w:val="en-US"/>
              </w:rPr>
              <w:softHyphen/>
              <w:t>mobile telephones)</w:t>
            </w:r>
          </w:p>
          <w:p w:rsidR="00922B8B" w:rsidRPr="003C0A65" w:rsidRDefault="00922B8B" w:rsidP="004D27B4">
            <w:pPr>
              <w:pStyle w:val="Tabletext"/>
              <w:spacing w:before="30" w:after="30" w:line="240" w:lineRule="exact"/>
              <w:jc w:val="left"/>
              <w:rPr>
                <w:szCs w:val="22"/>
                <w:lang w:val="en-US"/>
              </w:rPr>
            </w:pPr>
            <w:r w:rsidRPr="003C0A65">
              <w:rPr>
                <w:szCs w:val="22"/>
                <w:lang w:val="en-US"/>
              </w:rPr>
              <w:t xml:space="preserve">(Digital cordless telephones and PHS) </w:t>
            </w:r>
          </w:p>
          <w:p w:rsidR="00922B8B" w:rsidRPr="003C0A65" w:rsidRDefault="00922B8B" w:rsidP="00124482">
            <w:pPr>
              <w:spacing w:before="30" w:after="30" w:line="240" w:lineRule="exact"/>
              <w:jc w:val="left"/>
              <w:rPr>
                <w:sz w:val="22"/>
                <w:szCs w:val="22"/>
                <w:lang w:val="en-US"/>
              </w:rPr>
            </w:pPr>
            <w:r w:rsidRPr="003C0A65">
              <w:rPr>
                <w:sz w:val="22"/>
                <w:szCs w:val="22"/>
                <w:lang w:val="en-US"/>
              </w:rPr>
              <w:t>1</w:t>
            </w:r>
            <w:r w:rsidRPr="003C0A65">
              <w:rPr>
                <w:rFonts w:ascii="Tms Rmn" w:hAnsi="Tms Rmn"/>
                <w:sz w:val="22"/>
                <w:szCs w:val="22"/>
                <w:lang w:val="en-US"/>
              </w:rPr>
              <w:t> </w:t>
            </w:r>
            <w:r w:rsidRPr="003C0A65">
              <w:rPr>
                <w:sz w:val="22"/>
                <w:szCs w:val="22"/>
                <w:lang w:val="en-US"/>
              </w:rPr>
              <w:t>893.65 MHz </w:t>
            </w:r>
            <w:r w:rsidR="00124482" w:rsidRPr="003C0A65">
              <w:rPr>
                <w:sz w:val="22"/>
                <w:szCs w:val="22"/>
                <w:lang w:val="en-US"/>
              </w:rPr>
              <w:t>&lt;</w:t>
            </w:r>
            <w:r w:rsidRPr="003C0A65">
              <w:rPr>
                <w:sz w:val="22"/>
                <w:szCs w:val="22"/>
                <w:lang w:val="en-US"/>
              </w:rPr>
              <w:t> </w:t>
            </w:r>
            <w:r w:rsidRPr="003C0A65">
              <w:rPr>
                <w:i/>
                <w:sz w:val="22"/>
                <w:szCs w:val="22"/>
                <w:lang w:val="en-US"/>
              </w:rPr>
              <w:t>f</w:t>
            </w:r>
            <w:r w:rsidRPr="003C0A65">
              <w:rPr>
                <w:position w:val="-4"/>
                <w:sz w:val="22"/>
                <w:szCs w:val="22"/>
                <w:lang w:val="en-US"/>
              </w:rPr>
              <w:t>0</w:t>
            </w:r>
            <w:r w:rsidRPr="003C0A65">
              <w:rPr>
                <w:sz w:val="22"/>
                <w:szCs w:val="22"/>
                <w:lang w:val="en-US"/>
              </w:rPr>
              <w:t> </w:t>
            </w:r>
            <w:r w:rsidR="00124482" w:rsidRPr="003C0A65">
              <w:rPr>
                <w:sz w:val="22"/>
                <w:szCs w:val="22"/>
                <w:lang w:val="en-US"/>
              </w:rPr>
              <w:t>≤</w:t>
            </w:r>
            <w:r w:rsidRPr="003C0A65">
              <w:rPr>
                <w:sz w:val="22"/>
                <w:szCs w:val="22"/>
                <w:lang w:val="en-US"/>
              </w:rPr>
              <w:t> 1</w:t>
            </w:r>
            <w:r w:rsidRPr="003C0A65">
              <w:rPr>
                <w:rFonts w:ascii="Tms Rmn" w:hAnsi="Tms Rmn"/>
                <w:sz w:val="22"/>
                <w:szCs w:val="22"/>
                <w:lang w:val="en-US"/>
              </w:rPr>
              <w:t> </w:t>
            </w:r>
            <w:r w:rsidRPr="003C0A65">
              <w:rPr>
                <w:sz w:val="22"/>
                <w:szCs w:val="22"/>
                <w:lang w:val="en-US"/>
              </w:rPr>
              <w:t>919.45 MHz</w:t>
            </w:r>
          </w:p>
        </w:tc>
        <w:tc>
          <w:tcPr>
            <w:tcW w:w="5919" w:type="dxa"/>
            <w:tcBorders>
              <w:top w:val="single" w:sz="6" w:space="0" w:color="auto"/>
              <w:bottom w:val="single" w:sz="6" w:space="0" w:color="auto"/>
            </w:tcBorders>
            <w:vAlign w:val="center"/>
          </w:tcPr>
          <w:p w:rsidR="00922B8B" w:rsidRDefault="00922B8B" w:rsidP="004D27B4">
            <w:pPr>
              <w:pStyle w:val="Tabletext"/>
              <w:spacing w:before="30" w:after="30" w:line="240" w:lineRule="exact"/>
              <w:jc w:val="left"/>
              <w:rPr>
                <w:lang w:val="en-US"/>
              </w:rPr>
            </w:pPr>
          </w:p>
          <w:p w:rsidR="00922B8B" w:rsidRDefault="00922B8B" w:rsidP="00124482">
            <w:pPr>
              <w:pStyle w:val="Tabletext"/>
              <w:spacing w:before="30" w:after="30" w:line="240" w:lineRule="exact"/>
              <w:jc w:val="left"/>
              <w:rPr>
                <w:lang w:val="en-US"/>
              </w:rPr>
            </w:pPr>
            <w:r>
              <w:rPr>
                <w:lang w:val="en-US"/>
              </w:rPr>
              <w:t>60 dBc</w:t>
            </w:r>
            <w:r>
              <w:rPr>
                <w:lang w:val="en-US"/>
              </w:rPr>
              <w:tab/>
            </w:r>
            <w:r>
              <w:rPr>
                <w:lang w:val="en-US"/>
              </w:rPr>
              <w:tab/>
            </w:r>
            <w:r>
              <w:rPr>
                <w:lang w:val="en-US"/>
              </w:rPr>
              <w:tab/>
              <w:t xml:space="preserve">for </w:t>
            </w:r>
            <w:r>
              <w:rPr>
                <w:i/>
                <w:lang w:val="en-US"/>
              </w:rPr>
              <w:t>P</w:t>
            </w:r>
            <w:r>
              <w:rPr>
                <w:lang w:val="en-US"/>
              </w:rPr>
              <w:t> </w:t>
            </w:r>
            <w:r w:rsidR="00124482">
              <w:rPr>
                <w:lang w:val="en-US"/>
              </w:rPr>
              <w:t>&lt;</w:t>
            </w:r>
            <w:r>
              <w:rPr>
                <w:lang w:val="en-US"/>
              </w:rPr>
              <w:t> 50 W</w:t>
            </w:r>
            <w:r>
              <w:rPr>
                <w:lang w:val="en-US"/>
              </w:rPr>
              <w:br/>
            </w:r>
          </w:p>
          <w:p w:rsidR="00922B8B" w:rsidRDefault="00922B8B" w:rsidP="00124482">
            <w:pPr>
              <w:pStyle w:val="Tabletext"/>
              <w:spacing w:before="30" w:after="30" w:line="240" w:lineRule="exact"/>
              <w:jc w:val="left"/>
              <w:rPr>
                <w:lang w:val="en-US"/>
              </w:rPr>
            </w:pPr>
            <w:r>
              <w:rPr>
                <w:lang w:val="en-US"/>
              </w:rPr>
              <w:t>1</w:t>
            </w:r>
            <w:r>
              <w:rPr>
                <w:rFonts w:ascii="Tms Rmn" w:hAnsi="Tms Rmn"/>
                <w:sz w:val="12"/>
                <w:lang w:val="en-US"/>
              </w:rPr>
              <w:t> </w:t>
            </w:r>
            <w:r>
              <w:rPr>
                <w:lang w:val="en-US"/>
              </w:rPr>
              <w:t>893.5 MHz </w:t>
            </w:r>
            <w:r w:rsidR="00124482">
              <w:rPr>
                <w:lang w:val="en-US"/>
              </w:rPr>
              <w:t>&lt;</w:t>
            </w:r>
            <w:r>
              <w:rPr>
                <w:lang w:val="en-US"/>
              </w:rPr>
              <w:t> </w:t>
            </w:r>
            <w:r>
              <w:rPr>
                <w:i/>
                <w:lang w:val="en-US"/>
              </w:rPr>
              <w:t>f</w:t>
            </w:r>
            <w:r>
              <w:rPr>
                <w:lang w:val="en-US"/>
              </w:rPr>
              <w:t> </w:t>
            </w:r>
            <w:r w:rsidR="00124482">
              <w:rPr>
                <w:lang w:val="en-US"/>
              </w:rPr>
              <w:t>≤</w:t>
            </w:r>
            <w:r>
              <w:rPr>
                <w:lang w:val="en-US"/>
              </w:rPr>
              <w:t> 1</w:t>
            </w:r>
            <w:r>
              <w:rPr>
                <w:rFonts w:ascii="Tms Rmn" w:hAnsi="Tms Rmn"/>
                <w:sz w:val="12"/>
                <w:lang w:val="en-US"/>
              </w:rPr>
              <w:t> </w:t>
            </w:r>
            <w:r>
              <w:rPr>
                <w:lang w:val="en-US"/>
              </w:rPr>
              <w:t>919.6 MHz</w:t>
            </w:r>
            <w:r w:rsidR="00124482">
              <w:rPr>
                <w:lang w:val="en-US"/>
              </w:rPr>
              <w:t xml:space="preserve"> </w:t>
            </w:r>
            <w:r>
              <w:t> </w:t>
            </w:r>
            <w:r w:rsidR="003C0A65" w:rsidRPr="003C0A65">
              <w:rPr>
                <w:lang w:val="en-US"/>
              </w:rPr>
              <w:br/>
            </w:r>
            <w:r>
              <w:rPr>
                <w:rFonts w:ascii="Tms Rmn" w:hAnsi="Tms Rmn"/>
                <w:lang w:val="en-US"/>
              </w:rPr>
              <w:t> </w:t>
            </w:r>
            <w:r>
              <w:rPr>
                <w:lang w:val="en-US"/>
              </w:rPr>
              <w:t>–36 dBm</w:t>
            </w:r>
          </w:p>
          <w:p w:rsidR="00922B8B" w:rsidRDefault="00922B8B" w:rsidP="00124482">
            <w:pPr>
              <w:pStyle w:val="Tabletext"/>
              <w:spacing w:before="30" w:after="30" w:line="240" w:lineRule="exact"/>
              <w:jc w:val="left"/>
              <w:rPr>
                <w:lang w:val="en-US"/>
              </w:rPr>
            </w:pPr>
            <w:r>
              <w:rPr>
                <w:i/>
                <w:lang w:val="en-US"/>
              </w:rPr>
              <w:t>f</w:t>
            </w:r>
            <w:r>
              <w:rPr>
                <w:lang w:val="en-US"/>
              </w:rPr>
              <w:t> </w:t>
            </w:r>
            <w:r w:rsidR="00124482">
              <w:rPr>
                <w:lang w:val="en-US"/>
              </w:rPr>
              <w:t>≤</w:t>
            </w:r>
            <w:r>
              <w:rPr>
                <w:lang w:val="en-US"/>
              </w:rPr>
              <w:t> 1</w:t>
            </w:r>
            <w:r>
              <w:rPr>
                <w:rFonts w:ascii="Tms Rmn" w:hAnsi="Tms Rmn"/>
                <w:sz w:val="12"/>
                <w:lang w:val="en-US"/>
              </w:rPr>
              <w:t> </w:t>
            </w:r>
            <w:r>
              <w:rPr>
                <w:lang w:val="en-US"/>
              </w:rPr>
              <w:t>893.5 MHz and 1</w:t>
            </w:r>
            <w:r>
              <w:rPr>
                <w:rFonts w:ascii="Tms Rmn" w:hAnsi="Tms Rmn"/>
                <w:sz w:val="12"/>
                <w:lang w:val="en-US"/>
              </w:rPr>
              <w:t> </w:t>
            </w:r>
            <w:r>
              <w:rPr>
                <w:lang w:val="en-US"/>
              </w:rPr>
              <w:t>919.6 MHz </w:t>
            </w:r>
            <w:r w:rsidR="00124482">
              <w:rPr>
                <w:lang w:val="en-US"/>
              </w:rPr>
              <w:t>&lt;</w:t>
            </w:r>
            <w:r>
              <w:rPr>
                <w:lang w:val="en-US"/>
              </w:rPr>
              <w:t> </w:t>
            </w:r>
            <w:r>
              <w:rPr>
                <w:i/>
                <w:lang w:val="en-US"/>
              </w:rPr>
              <w:t>f</w:t>
            </w:r>
            <w:r>
              <w:t> </w:t>
            </w:r>
            <w:r w:rsidR="003C0A65" w:rsidRPr="003C0A65">
              <w:rPr>
                <w:lang w:val="en-US"/>
              </w:rPr>
              <w:br/>
            </w:r>
            <w:r>
              <w:rPr>
                <w:rFonts w:ascii="Tms Rmn" w:hAnsi="Tms Rmn"/>
                <w:lang w:val="en-US"/>
              </w:rPr>
              <w:t> </w:t>
            </w:r>
            <w:r>
              <w:rPr>
                <w:lang w:val="en-US"/>
              </w:rPr>
              <w:t>–26 dBm</w:t>
            </w:r>
          </w:p>
        </w:tc>
      </w:tr>
      <w:tr w:rsidR="00922B8B" w:rsidTr="004D27B4">
        <w:trPr>
          <w:jc w:val="center"/>
        </w:trPr>
        <w:tc>
          <w:tcPr>
            <w:tcW w:w="9639" w:type="dxa"/>
            <w:gridSpan w:val="2"/>
            <w:tcBorders>
              <w:top w:val="single" w:sz="6" w:space="0" w:color="auto"/>
              <w:left w:val="nil"/>
              <w:bottom w:val="nil"/>
              <w:right w:val="nil"/>
            </w:tcBorders>
            <w:vAlign w:val="center"/>
          </w:tcPr>
          <w:p w:rsidR="00922B8B" w:rsidRDefault="00922B8B" w:rsidP="004D27B4">
            <w:pPr>
              <w:pStyle w:val="Tablelegend"/>
              <w:spacing w:before="200" w:after="100"/>
              <w:rPr>
                <w:lang w:val="en-US"/>
              </w:rPr>
            </w:pPr>
            <w:r>
              <w:rPr>
                <w:i/>
                <w:lang w:val="en-US"/>
              </w:rPr>
              <w:t>P</w:t>
            </w:r>
            <w:r>
              <w:rPr>
                <w:i/>
                <w:sz w:val="8"/>
                <w:lang w:val="en-US"/>
              </w:rPr>
              <w:t> </w:t>
            </w:r>
            <w:r>
              <w:rPr>
                <w:lang w:val="en-US"/>
              </w:rPr>
              <w:t>:</w:t>
            </w:r>
            <w:r>
              <w:rPr>
                <w:lang w:val="en-US"/>
              </w:rPr>
              <w:tab/>
              <w:t xml:space="preserve">mean power (W) at the antenna transmission line, in accordance with RR No. 1.158. When burst transmission is used, the mean power </w:t>
            </w:r>
            <w:r>
              <w:rPr>
                <w:i/>
                <w:lang w:val="en-US"/>
              </w:rPr>
              <w:t>P</w:t>
            </w:r>
            <w:r>
              <w:rPr>
                <w:lang w:val="en-US"/>
              </w:rPr>
              <w:t xml:space="preserve"> and the mean power of any spurious domain emissions are measured using power averaging over the burst duration</w:t>
            </w:r>
          </w:p>
          <w:p w:rsidR="00922B8B" w:rsidRDefault="00922B8B" w:rsidP="004D27B4">
            <w:pPr>
              <w:pStyle w:val="Tablelegend"/>
              <w:spacing w:before="100" w:after="100"/>
              <w:rPr>
                <w:lang w:val="en-US"/>
              </w:rPr>
            </w:pPr>
            <w:r>
              <w:rPr>
                <w:i/>
                <w:lang w:val="en-US"/>
              </w:rPr>
              <w:t>f</w:t>
            </w:r>
            <w:r>
              <w:rPr>
                <w:i/>
                <w:sz w:val="8"/>
                <w:lang w:val="en-US"/>
              </w:rPr>
              <w:t> </w:t>
            </w:r>
            <w:r>
              <w:rPr>
                <w:lang w:val="en-US"/>
              </w:rPr>
              <w:t>:</w:t>
            </w:r>
            <w:r>
              <w:rPr>
                <w:lang w:val="en-US"/>
              </w:rPr>
              <w:tab/>
              <w:t>frequency of the spurious domain emissions</w:t>
            </w:r>
          </w:p>
          <w:p w:rsidR="00922B8B" w:rsidRDefault="00922B8B" w:rsidP="004D27B4">
            <w:pPr>
              <w:pStyle w:val="Tablelegend"/>
              <w:spacing w:before="100" w:after="100"/>
              <w:rPr>
                <w:lang w:val="en-US"/>
              </w:rPr>
            </w:pPr>
            <w:r>
              <w:rPr>
                <w:i/>
                <w:lang w:val="en-US"/>
              </w:rPr>
              <w:t>f</w:t>
            </w:r>
            <w:r>
              <w:rPr>
                <w:position w:val="-4"/>
                <w:sz w:val="18"/>
                <w:lang w:val="en-US"/>
              </w:rPr>
              <w:t>0</w:t>
            </w:r>
            <w:r>
              <w:rPr>
                <w:lang w:val="en-US"/>
              </w:rPr>
              <w:t>:</w:t>
            </w:r>
            <w:r>
              <w:rPr>
                <w:lang w:val="en-US"/>
              </w:rPr>
              <w:tab/>
              <w:t>fundamental frequency.</w:t>
            </w:r>
          </w:p>
          <w:p w:rsidR="00922B8B" w:rsidRDefault="00922B8B" w:rsidP="004D27B4">
            <w:pPr>
              <w:pStyle w:val="Tablelegend"/>
              <w:spacing w:before="100" w:after="100"/>
              <w:rPr>
                <w:lang w:val="en-US"/>
              </w:rPr>
            </w:pPr>
            <w:r w:rsidRPr="002B7B9D">
              <w:rPr>
                <w:vertAlign w:val="superscript"/>
                <w:lang w:val="en-US"/>
              </w:rPr>
              <w:t>(1)</w:t>
            </w:r>
            <w:r>
              <w:rPr>
                <w:lang w:val="en-US"/>
              </w:rPr>
              <w:tab/>
              <w:t>For F3E emission and for ship stations or on-board communication stations.</w:t>
            </w:r>
          </w:p>
          <w:p w:rsidR="00922B8B" w:rsidRDefault="00922B8B" w:rsidP="004D27B4">
            <w:pPr>
              <w:pStyle w:val="Tablelegend"/>
              <w:spacing w:before="100" w:after="100"/>
              <w:rPr>
                <w:lang w:val="en-US"/>
              </w:rPr>
            </w:pPr>
            <w:r>
              <w:rPr>
                <w:vertAlign w:val="superscript"/>
              </w:rPr>
              <w:t>(2)</w:t>
            </w:r>
            <w:r>
              <w:rPr>
                <w:lang w:val="en-US"/>
              </w:rPr>
              <w:tab/>
              <w:t>For aircraft radiotelephony.</w:t>
            </w:r>
          </w:p>
        </w:tc>
      </w:tr>
    </w:tbl>
    <w:p w:rsidR="00922B8B" w:rsidRDefault="00922B8B" w:rsidP="00922B8B">
      <w:pPr>
        <w:pStyle w:val="Tablefin"/>
      </w:pPr>
    </w:p>
    <w:bookmarkEnd w:id="36"/>
    <w:bookmarkEnd w:id="37"/>
    <w:p w:rsidR="00922B8B" w:rsidRDefault="00922B8B" w:rsidP="00922B8B">
      <w:pPr>
        <w:pStyle w:val="Heading2"/>
        <w:rPr>
          <w:lang w:val="en-US"/>
        </w:rPr>
      </w:pPr>
      <w:r>
        <w:rPr>
          <w:lang w:val="en-US"/>
        </w:rPr>
        <w:lastRenderedPageBreak/>
        <w:t>4.6</w:t>
      </w:r>
      <w:r>
        <w:rPr>
          <w:lang w:val="en-US"/>
        </w:rPr>
        <w:tab/>
        <w:t>Category Z limits</w:t>
      </w:r>
    </w:p>
    <w:p w:rsidR="00922B8B" w:rsidRDefault="00922B8B" w:rsidP="00922B8B">
      <w:pPr>
        <w:keepLines/>
        <w:rPr>
          <w:lang w:val="en-US"/>
        </w:rPr>
      </w:pPr>
      <w:r>
        <w:rPr>
          <w:lang w:val="en-US"/>
        </w:rPr>
        <w:t>Table 6 contains Category Z limits for Class A (industrial) and B (domestic) ITE. Category Z equipment is defined as that which combines ITE with a radio transmitting function. If the information technology portion can be detached and still operate independently, then each part should be tested separately in conformity with the pertinent ITU-R spurious domain emission limit or the CISPR limit. If the information technology portion cannot be independently operated, then the ITU</w:t>
      </w:r>
      <w:r>
        <w:rPr>
          <w:lang w:val="en-US"/>
        </w:rPr>
        <w:noBreakHyphen/>
        <w:t xml:space="preserve">R Category A, B, C or D limits should be applied while testing in the transmitting mode and the CISPR limits should apply in the standby or idle mode. Values are taken from CISPR Publication No. 22. </w:t>
      </w:r>
    </w:p>
    <w:p w:rsidR="00922B8B" w:rsidRDefault="00922B8B" w:rsidP="00193BCD">
      <w:pPr>
        <w:pStyle w:val="TableNo"/>
        <w:rPr>
          <w:lang w:val="en-US"/>
        </w:rPr>
      </w:pPr>
      <w:r>
        <w:rPr>
          <w:lang w:val="en-US"/>
        </w:rPr>
        <w:t>TABLE 6</w:t>
      </w:r>
    </w:p>
    <w:p w:rsidR="00922B8B" w:rsidRPr="002B7B9D" w:rsidRDefault="00922B8B" w:rsidP="00922B8B">
      <w:pPr>
        <w:pStyle w:val="Tabletitle"/>
        <w:rPr>
          <w:lang w:val="en-US"/>
        </w:rPr>
      </w:pPr>
      <w:r>
        <w:rPr>
          <w:lang w:val="en-US"/>
        </w:rPr>
        <w:t>Category Z limits</w:t>
      </w:r>
    </w:p>
    <w:p w:rsidR="00922B8B" w:rsidRDefault="00922B8B" w:rsidP="00922B8B">
      <w:pPr>
        <w:pStyle w:val="Tabletitle"/>
        <w:rPr>
          <w:b w:val="0"/>
          <w:bCs/>
          <w:lang w:val="en-US"/>
        </w:rPr>
      </w:pPr>
      <w:r>
        <w:rPr>
          <w:b w:val="0"/>
          <w:bCs/>
          <w:lang w:val="en-US"/>
        </w:rPr>
        <w:t>(Radiation limits for ITE specified by CISPR)</w:t>
      </w:r>
    </w:p>
    <w:tbl>
      <w:tblPr>
        <w:tblW w:w="9640" w:type="dxa"/>
        <w:jc w:val="center"/>
        <w:tblLayout w:type="fixed"/>
        <w:tblLook w:val="0000"/>
      </w:tblPr>
      <w:tblGrid>
        <w:gridCol w:w="2429"/>
        <w:gridCol w:w="1998"/>
        <w:gridCol w:w="2220"/>
        <w:gridCol w:w="2993"/>
      </w:tblGrid>
      <w:tr w:rsidR="00922B8B" w:rsidRPr="00B34DBA" w:rsidTr="004D27B4">
        <w:trPr>
          <w:jc w:val="center"/>
        </w:trPr>
        <w:tc>
          <w:tcPr>
            <w:tcW w:w="2429" w:type="dxa"/>
            <w:tcBorders>
              <w:top w:val="single" w:sz="6" w:space="0" w:color="000000"/>
              <w:left w:val="single" w:sz="6"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szCs w:val="22"/>
              </w:rPr>
              <w:t>Frequency (MHz)</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i/>
                <w:iCs/>
                <w:szCs w:val="22"/>
              </w:rPr>
              <w:t>E</w:t>
            </w:r>
            <w:r w:rsidRPr="00B34DBA">
              <w:rPr>
                <w:i/>
                <w:iCs/>
                <w:szCs w:val="22"/>
                <w:vertAlign w:val="subscript"/>
              </w:rPr>
              <w:t xml:space="preserve">max </w:t>
            </w:r>
            <w:r w:rsidRPr="00B34DBA">
              <w:rPr>
                <w:i/>
                <w:iCs/>
                <w:szCs w:val="22"/>
              </w:rPr>
              <w:br/>
            </w:r>
            <w:r w:rsidRPr="00B34DBA">
              <w:rPr>
                <w:szCs w:val="22"/>
              </w:rPr>
              <w:t>(dB(µV/m))</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head"/>
              <w:rPr>
                <w:szCs w:val="22"/>
              </w:rPr>
            </w:pPr>
            <w:r w:rsidRPr="00B34DBA">
              <w:rPr>
                <w:szCs w:val="22"/>
              </w:rPr>
              <w:t xml:space="preserve">Distance of measurement (m) </w:t>
            </w:r>
          </w:p>
        </w:tc>
        <w:tc>
          <w:tcPr>
            <w:tcW w:w="2993" w:type="dxa"/>
            <w:tcBorders>
              <w:top w:val="single" w:sz="6" w:space="0" w:color="000000"/>
              <w:left w:val="single" w:sz="8" w:space="0" w:color="000000"/>
              <w:bottom w:val="single" w:sz="8" w:space="0" w:color="000000"/>
              <w:right w:val="single" w:sz="6" w:space="0" w:color="000000"/>
            </w:tcBorders>
            <w:vAlign w:val="center"/>
          </w:tcPr>
          <w:p w:rsidR="00922B8B" w:rsidRPr="00B34DBA" w:rsidRDefault="00922B8B" w:rsidP="004D27B4">
            <w:pPr>
              <w:pStyle w:val="Tablehead"/>
              <w:rPr>
                <w:szCs w:val="22"/>
              </w:rPr>
            </w:pPr>
            <w:r w:rsidRPr="006A7484">
              <w:rPr>
                <w:szCs w:val="22"/>
                <w:lang w:val="en-US"/>
              </w:rPr>
              <w:t xml:space="preserve">Corresponding e.i.r.p. </w:t>
            </w:r>
            <w:r w:rsidRPr="006A7484">
              <w:rPr>
                <w:szCs w:val="22"/>
                <w:lang w:val="en-US"/>
              </w:rPr>
              <w:br/>
            </w:r>
            <w:r w:rsidRPr="00B34DBA">
              <w:rPr>
                <w:szCs w:val="22"/>
              </w:rPr>
              <w:t>(dBm)</w:t>
            </w:r>
          </w:p>
        </w:tc>
      </w:tr>
      <w:tr w:rsidR="00922B8B" w:rsidRPr="00EB70C7" w:rsidTr="004D27B4">
        <w:trPr>
          <w:jc w:val="center"/>
        </w:trPr>
        <w:tc>
          <w:tcPr>
            <w:tcW w:w="9640" w:type="dxa"/>
            <w:gridSpan w:val="4"/>
            <w:tcBorders>
              <w:top w:val="single" w:sz="8" w:space="0" w:color="000000"/>
              <w:left w:val="single" w:sz="6" w:space="0" w:color="000000"/>
              <w:bottom w:val="single" w:sz="6" w:space="0" w:color="000000"/>
              <w:right w:val="single" w:sz="6" w:space="0" w:color="000000"/>
            </w:tcBorders>
            <w:vAlign w:val="center"/>
          </w:tcPr>
          <w:p w:rsidR="00922B8B" w:rsidRPr="006A7484" w:rsidRDefault="00922B8B" w:rsidP="005D4470">
            <w:pPr>
              <w:pStyle w:val="Tabletext"/>
              <w:jc w:val="center"/>
              <w:rPr>
                <w:lang w:val="en-US"/>
              </w:rPr>
            </w:pPr>
            <w:r w:rsidRPr="006A7484">
              <w:rPr>
                <w:szCs w:val="22"/>
                <w:lang w:val="en-US"/>
              </w:rPr>
              <w:t>Class A: applicable to ITE intended for industrial environment</w:t>
            </w:r>
          </w:p>
        </w:tc>
      </w:tr>
      <w:tr w:rsidR="00922B8B" w:rsidRPr="00B34DBA" w:rsidTr="004D27B4">
        <w:trPr>
          <w:jc w:val="center"/>
        </w:trPr>
        <w:tc>
          <w:tcPr>
            <w:tcW w:w="2429"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30-230</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EB4BAC" w:rsidRDefault="00922B8B" w:rsidP="004D27B4">
            <w:pPr>
              <w:pStyle w:val="Tabletext"/>
              <w:jc w:val="center"/>
              <w:rPr>
                <w:vertAlign w:val="superscript"/>
              </w:rPr>
            </w:pPr>
            <w:r w:rsidRPr="00B34DBA">
              <w:t>40</w:t>
            </w:r>
            <w:r w:rsidRPr="00EB4BAC">
              <w:rPr>
                <w:rFonts w:eastAsia="Malgun Gothic"/>
                <w:color w:val="000000"/>
                <w:vertAlign w:val="superscript"/>
                <w:lang w:eastAsia="ko-KR"/>
              </w:rPr>
              <w:t>(1)</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–49</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230-1 000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47</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–42</w:t>
            </w:r>
          </w:p>
        </w:tc>
      </w:tr>
      <w:tr w:rsidR="00922B8B" w:rsidRPr="00B34DBA" w:rsidTr="004D27B4">
        <w:trPr>
          <w:jc w:val="center"/>
        </w:trPr>
        <w:tc>
          <w:tcPr>
            <w:tcW w:w="2429"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1 000-3 000</w:t>
            </w:r>
          </w:p>
        </w:tc>
        <w:tc>
          <w:tcPr>
            <w:tcW w:w="1998"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76</w:t>
            </w:r>
            <w:r w:rsidRPr="00EB4BAC">
              <w:rPr>
                <w:rFonts w:eastAsia="Malgun Gothic"/>
                <w:vertAlign w:val="superscript"/>
                <w:lang w:eastAsia="ko-KR"/>
              </w:rPr>
              <w:t>(2)</w:t>
            </w:r>
          </w:p>
        </w:tc>
        <w:tc>
          <w:tcPr>
            <w:tcW w:w="2220"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6"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3 000-6 000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80</w:t>
            </w:r>
            <w:r w:rsidRPr="00EB4BAC">
              <w:rPr>
                <w:rFonts w:eastAsia="Malgun Gothic"/>
                <w:vertAlign w:val="superscript"/>
                <w:lang w:eastAsia="ko-KR"/>
              </w:rPr>
              <w:t>(2)</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−19</w:t>
            </w:r>
          </w:p>
        </w:tc>
      </w:tr>
      <w:tr w:rsidR="00922B8B" w:rsidRPr="00EB70C7" w:rsidTr="004D27B4">
        <w:trPr>
          <w:jc w:val="center"/>
        </w:trPr>
        <w:tc>
          <w:tcPr>
            <w:tcW w:w="9640" w:type="dxa"/>
            <w:gridSpan w:val="4"/>
            <w:tcBorders>
              <w:top w:val="single" w:sz="8" w:space="0" w:color="000000"/>
              <w:left w:val="single" w:sz="8" w:space="0" w:color="000000"/>
              <w:bottom w:val="single" w:sz="8" w:space="0" w:color="000000"/>
              <w:right w:val="single" w:sz="8" w:space="0" w:color="000000"/>
            </w:tcBorders>
            <w:vAlign w:val="center"/>
          </w:tcPr>
          <w:p w:rsidR="00922B8B" w:rsidRPr="006A7484" w:rsidRDefault="00922B8B" w:rsidP="004D27B4">
            <w:pPr>
              <w:pStyle w:val="Tabletext"/>
              <w:jc w:val="center"/>
              <w:rPr>
                <w:lang w:val="en-US"/>
              </w:rPr>
            </w:pPr>
            <w:r w:rsidRPr="006A7484">
              <w:rPr>
                <w:lang w:val="en-US"/>
              </w:rPr>
              <w:t>Class B: applicable to ITE intended for a domestic environment</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30-230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30</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–59</w:t>
            </w:r>
          </w:p>
        </w:tc>
      </w:tr>
      <w:tr w:rsidR="00922B8B" w:rsidRPr="00B34DBA" w:rsidTr="004D27B4">
        <w:trPr>
          <w:jc w:val="center"/>
        </w:trPr>
        <w:tc>
          <w:tcPr>
            <w:tcW w:w="2429"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230-1 000</w:t>
            </w:r>
          </w:p>
        </w:tc>
        <w:tc>
          <w:tcPr>
            <w:tcW w:w="1998"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37</w:t>
            </w:r>
            <w:r w:rsidRPr="00EB4BAC">
              <w:rPr>
                <w:rFonts w:eastAsia="Malgun Gothic"/>
                <w:color w:val="000000"/>
                <w:vertAlign w:val="superscript"/>
                <w:lang w:eastAsia="ko-KR"/>
              </w:rPr>
              <w:t>(1)</w:t>
            </w:r>
          </w:p>
        </w:tc>
        <w:tc>
          <w:tcPr>
            <w:tcW w:w="2220"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10</w:t>
            </w:r>
          </w:p>
        </w:tc>
        <w:tc>
          <w:tcPr>
            <w:tcW w:w="2993" w:type="dxa"/>
            <w:tcBorders>
              <w:top w:val="single" w:sz="8" w:space="0" w:color="000000"/>
              <w:left w:val="single" w:sz="8" w:space="0" w:color="000000"/>
              <w:bottom w:val="single" w:sz="8" w:space="0" w:color="000000"/>
              <w:right w:val="single" w:sz="8" w:space="0" w:color="000000"/>
            </w:tcBorders>
            <w:vAlign w:val="center"/>
          </w:tcPr>
          <w:p w:rsidR="00922B8B" w:rsidRPr="00B34DBA" w:rsidRDefault="00922B8B" w:rsidP="004D27B4">
            <w:pPr>
              <w:pStyle w:val="Tabletext"/>
              <w:jc w:val="center"/>
            </w:pPr>
            <w:r w:rsidRPr="00B34DBA">
              <w:t>–52</w:t>
            </w:r>
          </w:p>
        </w:tc>
      </w:tr>
      <w:tr w:rsidR="00922B8B" w:rsidRPr="00B34DBA" w:rsidTr="004D27B4">
        <w:trPr>
          <w:jc w:val="center"/>
        </w:trPr>
        <w:tc>
          <w:tcPr>
            <w:tcW w:w="2429"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1 000-3 000</w:t>
            </w:r>
          </w:p>
        </w:tc>
        <w:tc>
          <w:tcPr>
            <w:tcW w:w="1998"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70</w:t>
            </w:r>
            <w:r w:rsidRPr="00EB4BAC">
              <w:rPr>
                <w:rFonts w:eastAsia="Malgun Gothic"/>
                <w:color w:val="000000"/>
                <w:vertAlign w:val="superscript"/>
                <w:lang w:eastAsia="ko-KR"/>
              </w:rPr>
              <w:t>(2)</w:t>
            </w:r>
          </w:p>
        </w:tc>
        <w:tc>
          <w:tcPr>
            <w:tcW w:w="2220"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3</w:t>
            </w:r>
          </w:p>
        </w:tc>
        <w:tc>
          <w:tcPr>
            <w:tcW w:w="2993" w:type="dxa"/>
            <w:tcBorders>
              <w:top w:val="single" w:sz="8" w:space="0" w:color="000000"/>
              <w:left w:val="single" w:sz="8" w:space="0" w:color="000000"/>
              <w:bottom w:val="single" w:sz="4" w:space="0" w:color="auto"/>
              <w:right w:val="single" w:sz="8" w:space="0" w:color="000000"/>
            </w:tcBorders>
            <w:vAlign w:val="center"/>
          </w:tcPr>
          <w:p w:rsidR="00922B8B" w:rsidRPr="00B34DBA" w:rsidRDefault="00922B8B" w:rsidP="004D27B4">
            <w:pPr>
              <w:pStyle w:val="Tabletext"/>
              <w:jc w:val="center"/>
            </w:pPr>
            <w:r w:rsidRPr="00B34DBA">
              <w:t>−29</w:t>
            </w:r>
          </w:p>
        </w:tc>
      </w:tr>
      <w:tr w:rsidR="00922B8B" w:rsidRPr="00B34DBA" w:rsidTr="004D27B4">
        <w:trPr>
          <w:jc w:val="center"/>
        </w:trPr>
        <w:tc>
          <w:tcPr>
            <w:tcW w:w="2429"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3 000-6 000</w:t>
            </w:r>
          </w:p>
        </w:tc>
        <w:tc>
          <w:tcPr>
            <w:tcW w:w="1998"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74</w:t>
            </w:r>
            <w:r w:rsidRPr="00EB4BAC">
              <w:rPr>
                <w:rFonts w:eastAsia="Malgun Gothic"/>
                <w:color w:val="000000"/>
                <w:vertAlign w:val="superscript"/>
                <w:lang w:eastAsia="ko-KR"/>
              </w:rPr>
              <w:t>(2)</w:t>
            </w:r>
          </w:p>
        </w:tc>
        <w:tc>
          <w:tcPr>
            <w:tcW w:w="2220"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3</w:t>
            </w:r>
          </w:p>
        </w:tc>
        <w:tc>
          <w:tcPr>
            <w:tcW w:w="2993" w:type="dxa"/>
            <w:tcBorders>
              <w:top w:val="single" w:sz="4" w:space="0" w:color="auto"/>
              <w:left w:val="single" w:sz="4" w:space="0" w:color="auto"/>
              <w:bottom w:val="single" w:sz="4" w:space="0" w:color="auto"/>
              <w:right w:val="single" w:sz="4" w:space="0" w:color="auto"/>
            </w:tcBorders>
            <w:vAlign w:val="center"/>
          </w:tcPr>
          <w:p w:rsidR="00922B8B" w:rsidRPr="00B34DBA" w:rsidRDefault="00922B8B" w:rsidP="004D27B4">
            <w:pPr>
              <w:pStyle w:val="Tabletext"/>
              <w:jc w:val="center"/>
            </w:pPr>
            <w:r w:rsidRPr="00B34DBA">
              <w:t>−25</w:t>
            </w:r>
          </w:p>
        </w:tc>
      </w:tr>
      <w:tr w:rsidR="00922B8B" w:rsidRPr="00EB70C7" w:rsidTr="004D27B4">
        <w:trPr>
          <w:jc w:val="center"/>
        </w:trPr>
        <w:tc>
          <w:tcPr>
            <w:tcW w:w="9640" w:type="dxa"/>
            <w:gridSpan w:val="4"/>
            <w:tcBorders>
              <w:top w:val="single" w:sz="4" w:space="0" w:color="auto"/>
            </w:tcBorders>
            <w:vAlign w:val="center"/>
          </w:tcPr>
          <w:p w:rsidR="00922B8B" w:rsidRPr="006A7484" w:rsidRDefault="00922B8B" w:rsidP="004D27B4">
            <w:pPr>
              <w:pStyle w:val="Tablelegend"/>
              <w:rPr>
                <w:szCs w:val="22"/>
                <w:lang w:val="en-US"/>
              </w:rPr>
            </w:pPr>
            <w:r w:rsidRPr="006A7484">
              <w:rPr>
                <w:szCs w:val="22"/>
                <w:lang w:val="en-US"/>
              </w:rPr>
              <w:t xml:space="preserve">For transition frequencies, the lower limits specified in Table </w:t>
            </w:r>
            <w:r>
              <w:rPr>
                <w:szCs w:val="22"/>
                <w:lang w:val="en-US"/>
              </w:rPr>
              <w:t>6 apply</w:t>
            </w:r>
            <w:r w:rsidRPr="006A7484">
              <w:rPr>
                <w:szCs w:val="22"/>
                <w:lang w:val="en-US"/>
              </w:rPr>
              <w:t>.</w:t>
            </w:r>
          </w:p>
          <w:p w:rsidR="00922B8B" w:rsidRPr="006A7484" w:rsidRDefault="00922B8B" w:rsidP="004D27B4">
            <w:pPr>
              <w:pStyle w:val="Tablelegend"/>
              <w:rPr>
                <w:szCs w:val="22"/>
                <w:lang w:val="en-US"/>
              </w:rPr>
            </w:pPr>
            <w:r w:rsidRPr="00EB4BAC">
              <w:rPr>
                <w:rFonts w:eastAsia="Malgun Gothic"/>
                <w:color w:val="000000"/>
                <w:szCs w:val="22"/>
                <w:vertAlign w:val="superscript"/>
                <w:lang w:val="en-GB" w:eastAsia="ko-KR"/>
              </w:rPr>
              <w:t>(1)</w:t>
            </w:r>
            <w:r w:rsidRPr="006A7484">
              <w:rPr>
                <w:rFonts w:eastAsia="Malgun Gothic"/>
                <w:color w:val="000000"/>
                <w:szCs w:val="22"/>
                <w:vertAlign w:val="superscript"/>
                <w:lang w:val="en-US" w:eastAsia="ko-KR"/>
              </w:rPr>
              <w:tab/>
            </w:r>
            <w:r w:rsidRPr="006A7484">
              <w:rPr>
                <w:szCs w:val="22"/>
                <w:lang w:val="en-US"/>
              </w:rPr>
              <w:t>Quasi-peak limits.</w:t>
            </w:r>
          </w:p>
          <w:p w:rsidR="00922B8B" w:rsidRPr="002B7B9D" w:rsidRDefault="00922B8B" w:rsidP="004D27B4">
            <w:pPr>
              <w:pStyle w:val="Tablelegend"/>
              <w:rPr>
                <w:lang w:val="en-US"/>
              </w:rPr>
            </w:pPr>
            <w:r w:rsidRPr="002B7B9D">
              <w:rPr>
                <w:rFonts w:eastAsia="Malgun Gothic"/>
                <w:color w:val="000000"/>
                <w:vertAlign w:val="superscript"/>
                <w:lang w:val="en-US" w:eastAsia="ko-KR"/>
              </w:rPr>
              <w:t>(</w:t>
            </w:r>
            <w:r w:rsidRPr="006A7484">
              <w:rPr>
                <w:rFonts w:eastAsia="Malgun Gothic"/>
                <w:color w:val="000000"/>
                <w:vertAlign w:val="superscript"/>
                <w:lang w:val="en-US" w:eastAsia="ko-KR"/>
              </w:rPr>
              <w:t>2</w:t>
            </w:r>
            <w:r w:rsidRPr="002B7B9D">
              <w:rPr>
                <w:rFonts w:eastAsia="Malgun Gothic"/>
                <w:color w:val="000000"/>
                <w:vertAlign w:val="superscript"/>
                <w:lang w:val="en-US" w:eastAsia="ko-KR"/>
              </w:rPr>
              <w:t>)</w:t>
            </w:r>
            <w:r w:rsidRPr="006A7484">
              <w:rPr>
                <w:rFonts w:eastAsia="Malgun Gothic"/>
                <w:color w:val="000000"/>
                <w:vertAlign w:val="superscript"/>
                <w:lang w:val="en-US" w:eastAsia="ko-KR"/>
              </w:rPr>
              <w:tab/>
            </w:r>
            <w:r w:rsidRPr="002B7B9D">
              <w:rPr>
                <w:lang w:val="en-US"/>
              </w:rPr>
              <w:t>Peak limits</w:t>
            </w:r>
            <w:r w:rsidRPr="006A7484">
              <w:rPr>
                <w:lang w:val="en-US"/>
              </w:rPr>
              <w:t>.</w:t>
            </w:r>
          </w:p>
        </w:tc>
      </w:tr>
    </w:tbl>
    <w:p w:rsidR="00922B8B" w:rsidRDefault="00922B8B" w:rsidP="00922B8B">
      <w:pPr>
        <w:pStyle w:val="Tablefin"/>
      </w:pPr>
      <w:bookmarkStart w:id="38" w:name="_Toc393687557"/>
      <w:bookmarkStart w:id="39" w:name="_Toc394112273"/>
    </w:p>
    <w:p w:rsidR="00922B8B" w:rsidRDefault="00922B8B" w:rsidP="00922B8B">
      <w:pPr>
        <w:rPr>
          <w:lang w:val="en-US"/>
        </w:rPr>
      </w:pPr>
      <w:r>
        <w:rPr>
          <w:lang w:val="en-US"/>
        </w:rPr>
        <w:t>Conversion in terms of e.i.r.p. is provided for information by assuming that the maximum field strength is to be measured in a semi-anechoic chamber or in an open area test site according to the CISPR measurement method. This is approximately 4 dB above a measurement with free-space condition (this value is in agreement with CISPR studies).</w:t>
      </w:r>
    </w:p>
    <w:p w:rsidR="00922B8B" w:rsidRDefault="00922B8B" w:rsidP="00922B8B">
      <w:pPr>
        <w:pStyle w:val="Heading1"/>
        <w:rPr>
          <w:lang w:val="en-US"/>
        </w:rPr>
      </w:pPr>
      <w:r>
        <w:rPr>
          <w:lang w:val="en-US"/>
        </w:rPr>
        <w:t>5</w:t>
      </w:r>
      <w:r>
        <w:rPr>
          <w:lang w:val="en-US"/>
        </w:rPr>
        <w:tab/>
        <w:t>Measurement method</w:t>
      </w:r>
      <w:bookmarkEnd w:id="38"/>
      <w:bookmarkEnd w:id="39"/>
    </w:p>
    <w:p w:rsidR="00922B8B" w:rsidRDefault="00922B8B" w:rsidP="00922B8B">
      <w:pPr>
        <w:rPr>
          <w:lang w:val="en-US"/>
        </w:rPr>
      </w:pPr>
      <w:r>
        <w:rPr>
          <w:lang w:val="en-US"/>
        </w:rPr>
        <w:t>The measurement methods of spurious domain emissions are described in detail in Annex 2.</w:t>
      </w:r>
    </w:p>
    <w:p w:rsidR="00922B8B" w:rsidRDefault="00922B8B" w:rsidP="00922B8B">
      <w:pPr>
        <w:pStyle w:val="Heading1"/>
        <w:rPr>
          <w:lang w:val="en-US"/>
        </w:rPr>
      </w:pPr>
      <w:bookmarkStart w:id="40" w:name="_Toc393687558"/>
      <w:bookmarkStart w:id="41" w:name="_Toc394112274"/>
      <w:r>
        <w:rPr>
          <w:lang w:val="en-US"/>
        </w:rPr>
        <w:t>6</w:t>
      </w:r>
      <w:r>
        <w:rPr>
          <w:lang w:val="en-US"/>
        </w:rPr>
        <w:tab/>
        <w:t>Protection of radio astronomy service and space services using passive sensors</w:t>
      </w:r>
      <w:bookmarkEnd w:id="40"/>
      <w:bookmarkEnd w:id="41"/>
    </w:p>
    <w:p w:rsidR="00922B8B" w:rsidRPr="00ED4784" w:rsidRDefault="00922B8B" w:rsidP="00922B8B">
      <w:pPr>
        <w:rPr>
          <w:lang w:val="en-US"/>
        </w:rPr>
      </w:pPr>
      <w:r w:rsidRPr="00ED4784">
        <w:rPr>
          <w:lang w:val="en-US"/>
        </w:rPr>
        <w:t>Protection criteria for the radio astronomy service and Earth exploration-satellite and meteorological satellite services using passive sensors should be taken into account when applying spurious domain emission limits. All of these services can be particularly sensitive to interference.</w:t>
      </w:r>
    </w:p>
    <w:p w:rsidR="00922B8B" w:rsidRDefault="00922B8B" w:rsidP="00922B8B">
      <w:pPr>
        <w:pStyle w:val="Heading2"/>
        <w:ind w:left="0" w:firstLine="0"/>
        <w:rPr>
          <w:lang w:val="en-US"/>
        </w:rPr>
      </w:pPr>
      <w:bookmarkStart w:id="42" w:name="_Toc393687559"/>
      <w:bookmarkStart w:id="43" w:name="_Toc394112275"/>
      <w:r>
        <w:rPr>
          <w:lang w:val="en-US"/>
        </w:rPr>
        <w:lastRenderedPageBreak/>
        <w:t>6.1</w:t>
      </w:r>
      <w:r>
        <w:rPr>
          <w:lang w:val="en-US"/>
        </w:rPr>
        <w:tab/>
        <w:t>Radio astronomy service</w:t>
      </w:r>
      <w:bookmarkEnd w:id="42"/>
      <w:bookmarkEnd w:id="43"/>
    </w:p>
    <w:p w:rsidR="00922B8B" w:rsidRDefault="00922B8B" w:rsidP="00922B8B">
      <w:pPr>
        <w:rPr>
          <w:lang w:val="en-US"/>
        </w:rPr>
      </w:pPr>
      <w:r>
        <w:rPr>
          <w:lang w:val="en-US"/>
        </w:rPr>
        <w:t>Radio astronomy, because of its passive nature and because of the sensitivity of its measurements, needs special consideration as far as spurious domain emissions are concerned; radio astronomers routinely encounter signal-to-noise ratios of –</w:t>
      </w:r>
      <w:r>
        <w:rPr>
          <w:rFonts w:ascii="Tms Rmn" w:hAnsi="Tms Rmn"/>
          <w:sz w:val="4"/>
          <w:lang w:val="en-US"/>
        </w:rPr>
        <w:t> </w:t>
      </w:r>
      <w:r>
        <w:rPr>
          <w:lang w:val="en-US"/>
        </w:rPr>
        <w:t>30 to –</w:t>
      </w:r>
      <w:r>
        <w:rPr>
          <w:sz w:val="4"/>
          <w:lang w:val="en-US"/>
        </w:rPr>
        <w:t> </w:t>
      </w:r>
      <w:r>
        <w:rPr>
          <w:lang w:val="en-US"/>
        </w:rPr>
        <w:t>60 dB using long integration intervals. Administrations are urged, as far as practicable, to take into consideration the need to avoid spurious domain emissions which could cause interference to radio astronomy operating in accordance with RR Article 29. In bringing new satellite services into operation, administrations are urged to note that transmitters on satellites can cause severe interference to radio astronomy through their spurious and out</w:t>
      </w:r>
      <w:r>
        <w:rPr>
          <w:lang w:val="en-US"/>
        </w:rPr>
        <w:noBreakHyphen/>
        <w:t>of</w:t>
      </w:r>
      <w:r>
        <w:rPr>
          <w:lang w:val="en-US"/>
        </w:rPr>
        <w:noBreakHyphen/>
        <w:t>band emissions, including far sidebands which result from digital modulation techniques. The threshold levels of interference for radio astronomy as given in Recommendation ITU</w:t>
      </w:r>
      <w:r>
        <w:rPr>
          <w:lang w:val="en-US"/>
        </w:rPr>
        <w:noBreakHyphen/>
        <w:t>R RA.769 should be taken into account. An extract from the Table of Recommendation ITU</w:t>
      </w:r>
      <w:r>
        <w:rPr>
          <w:lang w:val="en-US"/>
        </w:rPr>
        <w:noBreakHyphen/>
        <w:t>R RA.769 is contained in Annex 3. The levels in this Table are listed for reference and are not intended for general application as mandatory limits.</w:t>
      </w:r>
    </w:p>
    <w:p w:rsidR="00922B8B" w:rsidRDefault="00922B8B" w:rsidP="00922B8B">
      <w:pPr>
        <w:rPr>
          <w:lang w:val="en-US"/>
        </w:rPr>
      </w:pPr>
      <w:r>
        <w:rPr>
          <w:lang w:val="en-US"/>
        </w:rPr>
        <w:t>For transmitters on the Earth’s surface, if limits on unwanted emissions do not afford sufficient protection for radio astronomy, mitigation of interference can, in some cases, be provided, for example, through terrain shielding; by the establishment by administrations of coordination, protection or exclusion zones; and by other provisions of RR Articles 15 and 29 relative to radio astronomy observatories.</w:t>
      </w:r>
    </w:p>
    <w:p w:rsidR="00922B8B" w:rsidRDefault="00922B8B" w:rsidP="00922B8B">
      <w:pPr>
        <w:pStyle w:val="Heading2"/>
        <w:rPr>
          <w:lang w:val="en-US"/>
        </w:rPr>
      </w:pPr>
      <w:bookmarkStart w:id="44" w:name="_Toc393687560"/>
      <w:bookmarkStart w:id="45" w:name="_Toc394112276"/>
      <w:r>
        <w:rPr>
          <w:lang w:val="en-US"/>
        </w:rPr>
        <w:t>6.2</w:t>
      </w:r>
      <w:r>
        <w:rPr>
          <w:lang w:val="en-US"/>
        </w:rPr>
        <w:tab/>
        <w:t>Earth exploration-satellite and meteorological satellite services using passive sensors</w:t>
      </w:r>
      <w:bookmarkEnd w:id="44"/>
      <w:bookmarkEnd w:id="45"/>
    </w:p>
    <w:p w:rsidR="00922B8B" w:rsidRDefault="00922B8B" w:rsidP="00922B8B">
      <w:pPr>
        <w:rPr>
          <w:lang w:val="en-US"/>
        </w:rPr>
      </w:pPr>
      <w:r>
        <w:rPr>
          <w:lang w:val="en-US"/>
        </w:rPr>
        <w:t>Passive remote sensing from satellites is becoming increasingly important for the retrieval of atmospheric parameters including temperature, water vapour content, concentration of ozone and other gases, as well as examination of the surface of the Earth. Recommendation ITU-R SA.1029 contains the threshold levels of interference for satellite passive remote sensing. An extract from Recommendation ITU-R SA.1029 is contained in Annex 3. The levels contained in this table are for reference and are not intended as mandatory limits.</w:t>
      </w:r>
    </w:p>
    <w:p w:rsidR="00922B8B" w:rsidRDefault="00922B8B" w:rsidP="00922B8B">
      <w:pPr>
        <w:rPr>
          <w:lang w:val="en-US"/>
        </w:rPr>
      </w:pPr>
    </w:p>
    <w:p w:rsidR="00193BCD" w:rsidRDefault="00193BCD" w:rsidP="00922B8B">
      <w:pPr>
        <w:rPr>
          <w:lang w:val="en-US"/>
        </w:rPr>
      </w:pPr>
    </w:p>
    <w:p w:rsidR="00922B8B" w:rsidRDefault="00922B8B" w:rsidP="00922B8B">
      <w:pPr>
        <w:pStyle w:val="AnnexNoTitle"/>
        <w:rPr>
          <w:lang w:val="en-US"/>
        </w:rPr>
      </w:pPr>
      <w:r>
        <w:rPr>
          <w:lang w:val="en-US"/>
        </w:rPr>
        <w:t>Annex 1</w:t>
      </w:r>
      <w:r>
        <w:rPr>
          <w:lang w:val="en-US"/>
        </w:rPr>
        <w:br/>
      </w:r>
      <w:r>
        <w:rPr>
          <w:lang w:val="en-US"/>
        </w:rPr>
        <w:br/>
        <w:t>Expression and units for spurious domain emissions</w:t>
      </w:r>
    </w:p>
    <w:p w:rsidR="00922B8B" w:rsidRDefault="00922B8B" w:rsidP="00922B8B">
      <w:pPr>
        <w:pStyle w:val="Heading1"/>
        <w:rPr>
          <w:lang w:val="en-US"/>
        </w:rPr>
      </w:pPr>
      <w:bookmarkStart w:id="46" w:name="_Toc393687561"/>
      <w:bookmarkStart w:id="47" w:name="_Toc394112277"/>
      <w:r>
        <w:rPr>
          <w:lang w:val="en-US"/>
        </w:rPr>
        <w:t>1</w:t>
      </w:r>
      <w:r>
        <w:rPr>
          <w:lang w:val="en-US"/>
        </w:rPr>
        <w:tab/>
        <w:t>Expression of spurious domain emissions</w:t>
      </w:r>
      <w:bookmarkEnd w:id="46"/>
      <w:bookmarkEnd w:id="47"/>
    </w:p>
    <w:p w:rsidR="00922B8B" w:rsidRDefault="00922B8B" w:rsidP="00922B8B">
      <w:pPr>
        <w:rPr>
          <w:lang w:val="en-US"/>
        </w:rPr>
      </w:pPr>
      <w:r>
        <w:rPr>
          <w:lang w:val="en-US"/>
        </w:rPr>
        <w:t>Spurious domain emissions levels are generally expressed in terms of power, field strength measured at a given distance, or a pfd also measured at a given distance, all measured in a given bandwidth.</w:t>
      </w:r>
    </w:p>
    <w:p w:rsidR="00922B8B" w:rsidRDefault="00922B8B" w:rsidP="00922B8B">
      <w:pPr>
        <w:rPr>
          <w:lang w:val="en-US"/>
        </w:rPr>
      </w:pPr>
      <w:r>
        <w:rPr>
          <w:lang w:val="en-US"/>
        </w:rPr>
        <w:t>Even if the field strength at a given distance from the transmitting antenna is the more significant value to assess and measure spurious domain emissions, it is considered sufficient for a while, to identify the power parameters of the transmitters in order to work on radio interference and electromagnetic compatibility.</w:t>
      </w:r>
    </w:p>
    <w:p w:rsidR="00922B8B" w:rsidRDefault="00922B8B" w:rsidP="00922B8B">
      <w:pPr>
        <w:pStyle w:val="Heading2"/>
        <w:rPr>
          <w:lang w:val="en-US"/>
        </w:rPr>
      </w:pPr>
      <w:bookmarkStart w:id="48" w:name="_Toc393687562"/>
      <w:bookmarkStart w:id="49" w:name="_Toc394112278"/>
      <w:r>
        <w:rPr>
          <w:lang w:val="en-US"/>
        </w:rPr>
        <w:lastRenderedPageBreak/>
        <w:t>1.1</w:t>
      </w:r>
      <w:r>
        <w:rPr>
          <w:lang w:val="en-US"/>
        </w:rPr>
        <w:tab/>
        <w:t>Power values</w:t>
      </w:r>
      <w:bookmarkEnd w:id="48"/>
      <w:bookmarkEnd w:id="49"/>
    </w:p>
    <w:p w:rsidR="00922B8B" w:rsidRDefault="00922B8B" w:rsidP="00922B8B">
      <w:pPr>
        <w:rPr>
          <w:lang w:val="en-US"/>
        </w:rPr>
      </w:pPr>
      <w:r>
        <w:rPr>
          <w:lang w:val="en-US"/>
        </w:rPr>
        <w:t>Many expressions related to the radiated power are useful to evaluate spurious domain emissions. They all present advantages and difficulties, linked to current measurement capabilities as well as to the interpretation of the measured values.</w:t>
      </w:r>
    </w:p>
    <w:p w:rsidR="00922B8B" w:rsidRDefault="00922B8B" w:rsidP="00922B8B">
      <w:pPr>
        <w:pStyle w:val="Heading3"/>
        <w:rPr>
          <w:lang w:val="en-US"/>
        </w:rPr>
      </w:pPr>
      <w:bookmarkStart w:id="50" w:name="_Toc394112279"/>
      <w:r>
        <w:rPr>
          <w:lang w:val="en-US"/>
        </w:rPr>
        <w:t>1.1.1</w:t>
      </w:r>
      <w:r>
        <w:rPr>
          <w:lang w:val="en-US"/>
        </w:rPr>
        <w:tab/>
        <w:t>Power supplied to the antenna (p.s.a.)</w:t>
      </w:r>
      <w:bookmarkEnd w:id="50"/>
    </w:p>
    <w:p w:rsidR="00922B8B" w:rsidRDefault="00922B8B" w:rsidP="00922B8B">
      <w:pPr>
        <w:rPr>
          <w:lang w:val="en-US"/>
        </w:rPr>
      </w:pPr>
      <w:r>
        <w:rPr>
          <w:lang w:val="en-US"/>
        </w:rPr>
        <w:t>Often used below 30 MHz and for equipment above 30 MHz having an antenna connector, this power is generally easy to measure except when a transmitter has an integral antenna or for high powered ELF/LF systems.</w:t>
      </w:r>
    </w:p>
    <w:p w:rsidR="00922B8B" w:rsidRDefault="00922B8B" w:rsidP="00922B8B">
      <w:pPr>
        <w:rPr>
          <w:lang w:val="en-US"/>
        </w:rPr>
      </w:pPr>
      <w:r>
        <w:rPr>
          <w:lang w:val="en-US"/>
        </w:rPr>
        <w:t>This power measurement represents the actual capability of the transmitter to feed an antenna with spurious signals, but does not take account of the antenna itself and its capability to radiate radio emissions at frequencies other than those for which it has been designed.</w:t>
      </w:r>
    </w:p>
    <w:p w:rsidR="00922B8B" w:rsidRDefault="00922B8B" w:rsidP="00922B8B">
      <w:pPr>
        <w:pStyle w:val="Heading3"/>
        <w:rPr>
          <w:lang w:val="en-US"/>
        </w:rPr>
      </w:pPr>
      <w:bookmarkStart w:id="51" w:name="_Toc394112280"/>
      <w:r>
        <w:rPr>
          <w:lang w:val="en-US"/>
        </w:rPr>
        <w:t>1.1.2</w:t>
      </w:r>
      <w:r>
        <w:rPr>
          <w:lang w:val="en-US"/>
        </w:rPr>
        <w:tab/>
        <w:t>Equivalent isotropic radiated power (e.i.r.p.)</w:t>
      </w:r>
      <w:bookmarkEnd w:id="51"/>
    </w:p>
    <w:p w:rsidR="00922B8B" w:rsidRDefault="00922B8B" w:rsidP="00922B8B">
      <w:pPr>
        <w:rPr>
          <w:lang w:val="en-US"/>
        </w:rPr>
      </w:pPr>
      <w:r>
        <w:rPr>
          <w:lang w:val="en-US"/>
        </w:rPr>
        <w:t>Mainly used above 30 MHz (most of the time above 80 MHz), this power gives a better knowledge of the capability of the transmitter system (including the antenna) to radiate the power of unwanted emissions and to possibly produce harmful interference to other radio services. The relation between the power at the antenna port or connector and the e.i.r.p. is not easy to derive, as the characteristics of antennas outside their design band are generally not known.</w:t>
      </w:r>
    </w:p>
    <w:p w:rsidR="00922B8B" w:rsidRDefault="00922B8B" w:rsidP="00922B8B">
      <w:pPr>
        <w:rPr>
          <w:lang w:val="en-US"/>
        </w:rPr>
      </w:pPr>
      <w:r>
        <w:rPr>
          <w:lang w:val="en-US"/>
        </w:rPr>
        <w:t>For equipment having integral antennas, it is the main known power parameter which characterizes spurious domain emissions.</w:t>
      </w:r>
    </w:p>
    <w:p w:rsidR="00922B8B" w:rsidRDefault="00922B8B" w:rsidP="00922B8B">
      <w:pPr>
        <w:pStyle w:val="Heading3"/>
        <w:rPr>
          <w:lang w:val="en-US"/>
        </w:rPr>
      </w:pPr>
      <w:bookmarkStart w:id="52" w:name="_Toc393687563"/>
      <w:bookmarkStart w:id="53" w:name="_Toc394112281"/>
      <w:r>
        <w:rPr>
          <w:lang w:val="en-US"/>
        </w:rPr>
        <w:t>1.1.3</w:t>
      </w:r>
      <w:r>
        <w:rPr>
          <w:lang w:val="en-US"/>
        </w:rPr>
        <w:tab/>
        <w:t>Effective radiated power (e.r.p.)</w:t>
      </w:r>
      <w:bookmarkEnd w:id="52"/>
      <w:bookmarkEnd w:id="53"/>
    </w:p>
    <w:p w:rsidR="00922B8B" w:rsidRDefault="00922B8B" w:rsidP="00922B8B">
      <w:pPr>
        <w:rPr>
          <w:lang w:val="en-US"/>
        </w:rPr>
      </w:pPr>
      <w:r>
        <w:rPr>
          <w:lang w:val="en-US"/>
        </w:rPr>
        <w:t>The only difference from e.i.r.p. is that e.r.p. refers to the radiation of a half wave tuned dipole instead of an isotropic antenna. There is a constant difference of 2.15 dB between e.i.r.p. and e.r.p.</w:t>
      </w:r>
    </w:p>
    <w:p w:rsidR="00922B8B" w:rsidRDefault="00922B8B" w:rsidP="00D2413F">
      <w:pPr>
        <w:pStyle w:val="Equation"/>
        <w:rPr>
          <w:lang w:val="en-US"/>
        </w:rPr>
      </w:pPr>
      <w:r>
        <w:rPr>
          <w:lang w:val="en-US"/>
        </w:rPr>
        <w:tab/>
      </w:r>
      <w:r>
        <w:rPr>
          <w:lang w:val="en-US"/>
        </w:rPr>
        <w:tab/>
      </w:r>
      <w:r>
        <w:rPr>
          <w:i/>
          <w:lang w:val="en-US"/>
        </w:rPr>
        <w:t>e.i.r.p.</w:t>
      </w:r>
      <w:r>
        <w:rPr>
          <w:lang w:val="en-US"/>
        </w:rPr>
        <w:t xml:space="preserve"> (dBm)  </w:t>
      </w:r>
      <w:r w:rsidR="00D2413F">
        <w:rPr>
          <w:lang w:val="en-US"/>
        </w:rPr>
        <w:t>=</w:t>
      </w:r>
      <w:r>
        <w:rPr>
          <w:lang w:val="en-US"/>
        </w:rPr>
        <w:t xml:space="preserve">  </w:t>
      </w:r>
      <w:r>
        <w:rPr>
          <w:i/>
          <w:lang w:val="en-US"/>
        </w:rPr>
        <w:t>e.r.p.</w:t>
      </w:r>
      <w:r>
        <w:rPr>
          <w:lang w:val="en-US"/>
        </w:rPr>
        <w:t xml:space="preserve"> (dBm)  </w:t>
      </w:r>
      <w:r w:rsidR="00D2413F">
        <w:rPr>
          <w:lang w:val="en-US"/>
        </w:rPr>
        <w:t>+</w:t>
      </w:r>
      <w:r>
        <w:rPr>
          <w:lang w:val="en-US"/>
        </w:rPr>
        <w:t xml:space="preserve">  2.15</w:t>
      </w:r>
    </w:p>
    <w:p w:rsidR="00922B8B" w:rsidRDefault="00922B8B" w:rsidP="00922B8B">
      <w:pPr>
        <w:pStyle w:val="Heading2"/>
        <w:rPr>
          <w:lang w:val="en-US"/>
        </w:rPr>
      </w:pPr>
      <w:bookmarkStart w:id="54" w:name="_Toc393687564"/>
      <w:bookmarkStart w:id="55" w:name="_Toc394112282"/>
      <w:r>
        <w:rPr>
          <w:lang w:val="en-US"/>
        </w:rPr>
        <w:t>1.2</w:t>
      </w:r>
      <w:r>
        <w:rPr>
          <w:lang w:val="en-US"/>
        </w:rPr>
        <w:tab/>
        <w:t>Field strength</w:t>
      </w:r>
      <w:bookmarkEnd w:id="54"/>
      <w:bookmarkEnd w:id="55"/>
    </w:p>
    <w:p w:rsidR="00922B8B" w:rsidRDefault="00922B8B" w:rsidP="00922B8B">
      <w:pPr>
        <w:rPr>
          <w:lang w:val="en-US"/>
        </w:rPr>
      </w:pPr>
      <w:r>
        <w:rPr>
          <w:lang w:val="en-US"/>
        </w:rPr>
        <w:t xml:space="preserve">The interfering field strength, </w:t>
      </w:r>
      <w:r>
        <w:rPr>
          <w:i/>
          <w:lang w:val="en-US"/>
        </w:rPr>
        <w:t>E</w:t>
      </w:r>
      <w:r>
        <w:rPr>
          <w:lang w:val="en-US"/>
        </w:rPr>
        <w:t xml:space="preserve"> or </w:t>
      </w:r>
      <w:r>
        <w:rPr>
          <w:i/>
          <w:lang w:val="en-US"/>
        </w:rPr>
        <w:t>H</w:t>
      </w:r>
      <w:r>
        <w:rPr>
          <w:lang w:val="en-US"/>
        </w:rPr>
        <w:t>, at the victim receiver antenna is, in principle, the required characteristic for the spurious domain emission effect to be known. The relation, however, between the e.i.r.p. and the field strength in all possible situations is quite difficult to determine, because of radiowave propagation and other radio coupling phenomena (diffraction from buildings, effects of masks etc.), even if the derivation of spurious domain emission limits take into account only some basic/worst-case situations that can occur.</w:t>
      </w:r>
    </w:p>
    <w:p w:rsidR="00922B8B" w:rsidRDefault="00922B8B" w:rsidP="00922B8B">
      <w:pPr>
        <w:rPr>
          <w:lang w:val="en-US"/>
        </w:rPr>
      </w:pPr>
      <w:r>
        <w:rPr>
          <w:lang w:val="en-US"/>
        </w:rPr>
        <w:t>Field strength is a value that is usually measured on a test site, at a given distance. For disturbance and interference measurement purposes of non intentionally radiating devices and particularly ITE, CISPR recommends typical field</w:t>
      </w:r>
      <w:r>
        <w:rPr>
          <w:lang w:val="en-US"/>
        </w:rPr>
        <w:noBreakHyphen/>
        <w:t>strength measurements at 10 m on a calibrated open area test site (OATS) with a reflecting ground plane.</w:t>
      </w:r>
    </w:p>
    <w:p w:rsidR="00922B8B" w:rsidRDefault="00922B8B" w:rsidP="00922B8B">
      <w:pPr>
        <w:pStyle w:val="Heading2"/>
        <w:rPr>
          <w:lang w:val="en-US"/>
        </w:rPr>
      </w:pPr>
      <w:bookmarkStart w:id="56" w:name="_Toc393687565"/>
      <w:bookmarkStart w:id="57" w:name="_Toc394112283"/>
      <w:r>
        <w:rPr>
          <w:lang w:val="en-US"/>
        </w:rPr>
        <w:t>1.3</w:t>
      </w:r>
      <w:r>
        <w:rPr>
          <w:lang w:val="en-US"/>
        </w:rPr>
        <w:tab/>
      </w:r>
      <w:bookmarkEnd w:id="56"/>
      <w:bookmarkEnd w:id="57"/>
      <w:r>
        <w:rPr>
          <w:lang w:val="en-US"/>
        </w:rPr>
        <w:t>pfd</w:t>
      </w:r>
    </w:p>
    <w:p w:rsidR="00922B8B" w:rsidRDefault="00922B8B" w:rsidP="00922B8B">
      <w:pPr>
        <w:rPr>
          <w:lang w:val="en-US"/>
        </w:rPr>
      </w:pPr>
      <w:r>
        <w:rPr>
          <w:lang w:val="en-US"/>
        </w:rPr>
        <w:t>pfd is generally evaluated and measured above 1 GHz, for satellite radio links, and radio astronomy.</w:t>
      </w:r>
    </w:p>
    <w:p w:rsidR="00922B8B" w:rsidRDefault="00922B8B" w:rsidP="00922B8B">
      <w:pPr>
        <w:pStyle w:val="Heading1"/>
        <w:rPr>
          <w:lang w:val="en-US"/>
        </w:rPr>
      </w:pPr>
      <w:bookmarkStart w:id="58" w:name="_Toc393687566"/>
      <w:bookmarkStart w:id="59" w:name="_Toc394112284"/>
      <w:r>
        <w:rPr>
          <w:lang w:val="en-US"/>
        </w:rPr>
        <w:lastRenderedPageBreak/>
        <w:t>2</w:t>
      </w:r>
      <w:r>
        <w:rPr>
          <w:lang w:val="en-US"/>
        </w:rPr>
        <w:tab/>
        <w:t>Units</w:t>
      </w:r>
      <w:bookmarkEnd w:id="58"/>
      <w:bookmarkEnd w:id="59"/>
    </w:p>
    <w:p w:rsidR="00922B8B" w:rsidRDefault="00922B8B" w:rsidP="00922B8B">
      <w:pPr>
        <w:pStyle w:val="Heading2"/>
        <w:rPr>
          <w:lang w:val="en-US"/>
        </w:rPr>
      </w:pPr>
      <w:bookmarkStart w:id="60" w:name="_Toc393687567"/>
      <w:bookmarkStart w:id="61" w:name="_Toc394112285"/>
      <w:r>
        <w:rPr>
          <w:lang w:val="en-US"/>
        </w:rPr>
        <w:t>2.1</w:t>
      </w:r>
      <w:r>
        <w:rPr>
          <w:lang w:val="en-US"/>
        </w:rPr>
        <w:tab/>
        <w:t>Power units</w:t>
      </w:r>
      <w:bookmarkEnd w:id="60"/>
      <w:bookmarkEnd w:id="61"/>
    </w:p>
    <w:p w:rsidR="00922B8B" w:rsidRDefault="00922B8B" w:rsidP="00922B8B">
      <w:pPr>
        <w:rPr>
          <w:lang w:val="en-US"/>
        </w:rPr>
      </w:pPr>
      <w:r>
        <w:rPr>
          <w:lang w:val="en-US"/>
        </w:rPr>
        <w:t>Even though the International System (IS) power unit is the Watt (W), the telecommunication publications express spurious domain emissions p.s.a., e.i.r.p. or e.r.p. in various units including dBpW, nW, dBm or dBW or equivalent expressions of power density per any reference bandwidth.</w:t>
      </w:r>
    </w:p>
    <w:p w:rsidR="00922B8B" w:rsidRDefault="00922B8B" w:rsidP="00922B8B">
      <w:pPr>
        <w:pStyle w:val="Heading2"/>
        <w:rPr>
          <w:lang w:val="en-US"/>
        </w:rPr>
      </w:pPr>
      <w:bookmarkStart w:id="62" w:name="_Toc393687568"/>
      <w:bookmarkStart w:id="63" w:name="_Toc394112286"/>
      <w:r>
        <w:rPr>
          <w:lang w:val="en-US"/>
        </w:rPr>
        <w:t>2.2</w:t>
      </w:r>
      <w:r>
        <w:rPr>
          <w:lang w:val="en-US"/>
        </w:rPr>
        <w:tab/>
        <w:t>Field strength units</w:t>
      </w:r>
      <w:bookmarkEnd w:id="62"/>
      <w:bookmarkEnd w:id="63"/>
    </w:p>
    <w:p w:rsidR="00922B8B" w:rsidRDefault="00922B8B" w:rsidP="002609AB">
      <w:pPr>
        <w:rPr>
          <w:lang w:val="en-US"/>
        </w:rPr>
      </w:pPr>
      <w:r>
        <w:rPr>
          <w:lang w:val="en-US"/>
        </w:rPr>
        <w:t xml:space="preserve">The electric field strength unit, </w:t>
      </w:r>
      <w:r>
        <w:rPr>
          <w:i/>
          <w:lang w:val="en-US"/>
        </w:rPr>
        <w:t>E</w:t>
      </w:r>
      <w:r>
        <w:rPr>
          <w:lang w:val="en-US"/>
        </w:rPr>
        <w:t>, is the V/m. Most of the telecommunication publications express electric field strength in </w:t>
      </w:r>
      <w:r w:rsidR="002609AB">
        <w:t>μ</w:t>
      </w:r>
      <w:r>
        <w:rPr>
          <w:lang w:val="en-US"/>
        </w:rPr>
        <w:t>V/m or dB(</w:t>
      </w:r>
      <w:r w:rsidR="002609AB">
        <w:t>μ</w:t>
      </w:r>
      <w:r>
        <w:rPr>
          <w:lang w:val="en-US"/>
        </w:rPr>
        <w:t>V/m).</w:t>
      </w:r>
    </w:p>
    <w:p w:rsidR="00922B8B" w:rsidRDefault="00922B8B" w:rsidP="00EB70C7">
      <w:pPr>
        <w:rPr>
          <w:lang w:val="en-US"/>
        </w:rPr>
      </w:pPr>
      <w:r>
        <w:rPr>
          <w:lang w:val="en-US"/>
        </w:rPr>
        <w:t xml:space="preserve">The magnetic field strength unit, </w:t>
      </w:r>
      <w:r>
        <w:rPr>
          <w:i/>
          <w:lang w:val="en-US"/>
        </w:rPr>
        <w:t>H</w:t>
      </w:r>
      <w:r>
        <w:rPr>
          <w:lang w:val="en-US"/>
        </w:rPr>
        <w:t xml:space="preserve">, is the A/m. Most of the telecommunication publications express </w:t>
      </w:r>
      <w:r w:rsidR="00EB70C7">
        <w:rPr>
          <w:lang w:val="en-US"/>
        </w:rPr>
        <w:t>magnetic</w:t>
      </w:r>
      <w:r>
        <w:rPr>
          <w:lang w:val="en-US"/>
        </w:rPr>
        <w:t xml:space="preserve"> field strength in </w:t>
      </w:r>
      <w:r w:rsidR="002609AB">
        <w:t>μ</w:t>
      </w:r>
      <w:r>
        <w:rPr>
          <w:lang w:val="en-US"/>
        </w:rPr>
        <w:t>A/m or dB(</w:t>
      </w:r>
      <w:r w:rsidR="002609AB">
        <w:t>μ</w:t>
      </w:r>
      <w:r>
        <w:rPr>
          <w:lang w:val="en-US"/>
        </w:rPr>
        <w:t>A/m).</w:t>
      </w:r>
    </w:p>
    <w:p w:rsidR="00922B8B" w:rsidRDefault="00922B8B" w:rsidP="00922B8B">
      <w:pPr>
        <w:pStyle w:val="Heading2"/>
        <w:rPr>
          <w:lang w:val="en-US"/>
        </w:rPr>
      </w:pPr>
      <w:bookmarkStart w:id="64" w:name="_Toc393687569"/>
      <w:bookmarkStart w:id="65" w:name="_Toc394112287"/>
      <w:r>
        <w:rPr>
          <w:lang w:val="en-US"/>
        </w:rPr>
        <w:t>2.3</w:t>
      </w:r>
      <w:r>
        <w:rPr>
          <w:lang w:val="en-US"/>
        </w:rPr>
        <w:tab/>
        <w:t>pfd units</w:t>
      </w:r>
      <w:bookmarkEnd w:id="64"/>
      <w:bookmarkEnd w:id="65"/>
    </w:p>
    <w:p w:rsidR="00922B8B" w:rsidRDefault="00922B8B" w:rsidP="00922B8B">
      <w:pPr>
        <w:rPr>
          <w:lang w:val="en-US"/>
        </w:rPr>
      </w:pPr>
      <w:r>
        <w:rPr>
          <w:lang w:val="en-US"/>
        </w:rPr>
        <w:t>The pfd unit is the W/m</w:t>
      </w:r>
      <w:r w:rsidRPr="002B7B9D">
        <w:rPr>
          <w:vertAlign w:val="superscript"/>
          <w:lang w:val="en-US"/>
        </w:rPr>
        <w:t>2</w:t>
      </w:r>
      <w:r>
        <w:rPr>
          <w:lang w:val="en-US"/>
        </w:rPr>
        <w:t>. Most of the telecommunication publications express pfd in dB(W/m</w:t>
      </w:r>
      <w:r w:rsidRPr="002B7B9D">
        <w:rPr>
          <w:vertAlign w:val="superscript"/>
          <w:lang w:val="en-US"/>
        </w:rPr>
        <w:t>2</w:t>
      </w:r>
      <w:r>
        <w:rPr>
          <w:lang w:val="en-US"/>
        </w:rPr>
        <w:t>) or in mW/cm</w:t>
      </w:r>
      <w:r w:rsidRPr="002B7B9D">
        <w:rPr>
          <w:vertAlign w:val="superscript"/>
          <w:lang w:val="en-US"/>
        </w:rPr>
        <w:t>2</w:t>
      </w:r>
      <w:r>
        <w:rPr>
          <w:lang w:val="en-US"/>
        </w:rPr>
        <w:t>.</w:t>
      </w:r>
    </w:p>
    <w:p w:rsidR="00922B8B" w:rsidRDefault="00922B8B" w:rsidP="00922B8B">
      <w:pPr>
        <w:pStyle w:val="Heading1"/>
        <w:rPr>
          <w:lang w:val="en-US"/>
        </w:rPr>
      </w:pPr>
      <w:bookmarkStart w:id="66" w:name="_Toc393687570"/>
      <w:bookmarkStart w:id="67" w:name="_Toc394112288"/>
      <w:r>
        <w:rPr>
          <w:lang w:val="en-US"/>
        </w:rPr>
        <w:t>3</w:t>
      </w:r>
      <w:r>
        <w:rPr>
          <w:lang w:val="en-US"/>
        </w:rPr>
        <w:tab/>
        <w:t xml:space="preserve">Relation between power, electric field strength, </w:t>
      </w:r>
      <w:r>
        <w:rPr>
          <w:i/>
          <w:lang w:val="en-US"/>
        </w:rPr>
        <w:t>E</w:t>
      </w:r>
      <w:r>
        <w:rPr>
          <w:lang w:val="en-US"/>
        </w:rPr>
        <w:t>, and pfd</w:t>
      </w:r>
      <w:bookmarkEnd w:id="66"/>
      <w:bookmarkEnd w:id="67"/>
    </w:p>
    <w:p w:rsidR="00922B8B" w:rsidRDefault="00922B8B" w:rsidP="00922B8B">
      <w:pPr>
        <w:rPr>
          <w:lang w:val="en-US"/>
        </w:rPr>
      </w:pPr>
      <w:r>
        <w:rPr>
          <w:lang w:val="en-US"/>
        </w:rPr>
        <w:t xml:space="preserve">A simple relation can be established for perfect, ideal cases (which means free space, far field conditions) between </w:t>
      </w:r>
      <w:r>
        <w:rPr>
          <w:i/>
          <w:lang w:val="en-US"/>
        </w:rPr>
        <w:t xml:space="preserve">E </w:t>
      </w:r>
      <w:r>
        <w:rPr>
          <w:lang w:val="en-US"/>
        </w:rPr>
        <w:t xml:space="preserve">(V/m), </w:t>
      </w:r>
      <w:r>
        <w:rPr>
          <w:i/>
          <w:lang w:val="en-US"/>
        </w:rPr>
        <w:t xml:space="preserve">D </w:t>
      </w:r>
      <w:r>
        <w:rPr>
          <w:lang w:val="en-US"/>
        </w:rPr>
        <w:t>distance between the transmitting radio equipment and the point of measurement (m), e.i.r.p. (W) and pfd (W/m</w:t>
      </w:r>
      <w:r w:rsidRPr="002B7B9D">
        <w:rPr>
          <w:vertAlign w:val="superscript"/>
          <w:lang w:val="en-US"/>
        </w:rPr>
        <w:t>2</w:t>
      </w:r>
      <w:r>
        <w:rPr>
          <w:lang w:val="en-US"/>
        </w:rPr>
        <w:t>).</w:t>
      </w:r>
    </w:p>
    <w:p w:rsidR="00922B8B" w:rsidRDefault="00922B8B" w:rsidP="00922B8B">
      <w:pPr>
        <w:pStyle w:val="Blanc"/>
      </w:pPr>
    </w:p>
    <w:p w:rsidR="00922B8B" w:rsidRDefault="00922B8B" w:rsidP="00922B8B">
      <w:pPr>
        <w:pStyle w:val="Equation"/>
      </w:pPr>
      <w:r>
        <w:rPr>
          <w:lang w:val="en-US"/>
        </w:rPr>
        <w:tab/>
      </w:r>
      <w:r>
        <w:rPr>
          <w:lang w:val="en-US"/>
        </w:rPr>
        <w:tab/>
      </w:r>
      <w:r w:rsidRPr="00E439F3">
        <w:rPr>
          <w:position w:val="-24"/>
        </w:rPr>
        <w:object w:dxaOrig="19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34.65pt" o:ole="" fillcolor="window">
            <v:imagedata r:id="rId14" o:title=""/>
          </v:shape>
          <o:OLEObject Type="Embed" ProgID="Equation.3" ShapeID="_x0000_i1025" DrawAspect="Content" ObjectID="_1560711283" r:id="rId15"/>
        </w:object>
      </w:r>
    </w:p>
    <w:p w:rsidR="00922B8B" w:rsidRDefault="00922B8B" w:rsidP="00922B8B">
      <w:pPr>
        <w:pStyle w:val="Blanc"/>
      </w:pPr>
    </w:p>
    <w:p w:rsidR="00922B8B" w:rsidRDefault="00922B8B" w:rsidP="00922B8B">
      <w:pPr>
        <w:rPr>
          <w:lang w:val="en-US"/>
        </w:rPr>
      </w:pPr>
      <w:r>
        <w:rPr>
          <w:lang w:val="en-US"/>
        </w:rPr>
        <w:t xml:space="preserve">A maximum value of </w:t>
      </w:r>
      <w:r>
        <w:rPr>
          <w:i/>
          <w:lang w:val="en-US"/>
        </w:rPr>
        <w:t>E</w:t>
      </w:r>
      <w:r>
        <w:rPr>
          <w:lang w:val="en-US"/>
        </w:rPr>
        <w:t xml:space="preserve"> can be calculated, representing the maximum reading obtainable on an OATS by adjustment of the measurement antenna height. It is: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E</w:t>
      </w:r>
      <w:r w:rsidRPr="002B7B9D">
        <w:rPr>
          <w:i/>
          <w:iCs/>
          <w:vertAlign w:val="subscript"/>
          <w:lang w:val="en-US"/>
        </w:rPr>
        <w:t>max</w:t>
      </w:r>
      <w:r>
        <w:rPr>
          <w:lang w:val="en-US"/>
        </w:rPr>
        <w:t xml:space="preserve">  </w:t>
      </w:r>
      <w:r>
        <w:sym w:font="Symbol" w:char="0040"/>
      </w:r>
      <w:r>
        <w:rPr>
          <w:lang w:val="en-US"/>
        </w:rPr>
        <w:t xml:space="preserve">  1.6 </w:t>
      </w:r>
      <w:r>
        <w:rPr>
          <w:i/>
          <w:lang w:val="en-US"/>
        </w:rPr>
        <w:t>E</w:t>
      </w:r>
    </w:p>
    <w:p w:rsidR="00922B8B" w:rsidRDefault="00922B8B" w:rsidP="00922B8B">
      <w:pPr>
        <w:pStyle w:val="Blanc"/>
      </w:pPr>
    </w:p>
    <w:p w:rsidR="00922B8B" w:rsidRDefault="00922B8B" w:rsidP="002609AB">
      <w:pPr>
        <w:rPr>
          <w:lang w:val="en-US"/>
        </w:rPr>
      </w:pPr>
      <w:r>
        <w:rPr>
          <w:lang w:val="en-US"/>
        </w:rPr>
        <w:t xml:space="preserve">This represents a site gain of 4 dB. The field strength as </w:t>
      </w:r>
      <w:r>
        <w:rPr>
          <w:i/>
          <w:lang w:val="en-US"/>
        </w:rPr>
        <w:t>E</w:t>
      </w:r>
      <w:r>
        <w:rPr>
          <w:lang w:val="en-US"/>
        </w:rPr>
        <w:t xml:space="preserve"> (V/m) can be converted to dB(</w:t>
      </w:r>
      <w:r w:rsidR="002609AB">
        <w:t>μ</w:t>
      </w:r>
      <w:r>
        <w:rPr>
          <w:lang w:val="en-US"/>
        </w:rPr>
        <w:t>V/m) as follows:</w:t>
      </w:r>
    </w:p>
    <w:p w:rsidR="00922B8B" w:rsidRDefault="00922B8B" w:rsidP="00922B8B">
      <w:pPr>
        <w:pStyle w:val="Blanc"/>
      </w:pPr>
    </w:p>
    <w:p w:rsidR="00922B8B" w:rsidRPr="00EB70C7" w:rsidRDefault="00922B8B" w:rsidP="00922B8B">
      <w:pPr>
        <w:pStyle w:val="Equation"/>
        <w:rPr>
          <w:lang w:val="de-CH"/>
        </w:rPr>
      </w:pPr>
      <w:r>
        <w:rPr>
          <w:lang w:val="en-US"/>
        </w:rPr>
        <w:tab/>
      </w:r>
      <w:r>
        <w:rPr>
          <w:lang w:val="en-US"/>
        </w:rPr>
        <w:tab/>
      </w:r>
      <w:r w:rsidRPr="00EB70C7">
        <w:rPr>
          <w:i/>
          <w:lang w:val="de-CH"/>
        </w:rPr>
        <w:t>E</w:t>
      </w:r>
      <w:r w:rsidRPr="00EB70C7">
        <w:rPr>
          <w:lang w:val="de-CH"/>
        </w:rPr>
        <w:t xml:space="preserve"> (dB(</w:t>
      </w:r>
      <w:r>
        <w:rPr>
          <w:rFonts w:ascii="Symbol" w:hAnsi="Symbol"/>
        </w:rPr>
        <w:t></w:t>
      </w:r>
      <w:r w:rsidRPr="00EB70C7">
        <w:rPr>
          <w:lang w:val="de-CH"/>
        </w:rPr>
        <w:t xml:space="preserve">V/m))  </w:t>
      </w:r>
      <w:r>
        <w:rPr>
          <w:rFonts w:ascii="Symbol" w:hAnsi="Symbol"/>
        </w:rPr>
        <w:t></w:t>
      </w:r>
      <w:r w:rsidRPr="00EB70C7">
        <w:rPr>
          <w:lang w:val="de-CH"/>
        </w:rPr>
        <w:t xml:space="preserve">  120  </w:t>
      </w:r>
      <w:r>
        <w:rPr>
          <w:rFonts w:ascii="Symbol" w:hAnsi="Symbol"/>
        </w:rPr>
        <w:t></w:t>
      </w:r>
      <w:r w:rsidRPr="00EB70C7">
        <w:rPr>
          <w:lang w:val="de-CH"/>
        </w:rPr>
        <w:t xml:space="preserve">  20 log </w:t>
      </w:r>
      <w:r w:rsidRPr="00EB70C7">
        <w:rPr>
          <w:i/>
          <w:lang w:val="de-CH"/>
        </w:rPr>
        <w:t>E</w:t>
      </w:r>
    </w:p>
    <w:p w:rsidR="00922B8B" w:rsidRPr="00EB70C7" w:rsidRDefault="00922B8B" w:rsidP="00922B8B">
      <w:pPr>
        <w:pStyle w:val="Blanc"/>
        <w:rPr>
          <w:lang w:val="de-CH"/>
        </w:rPr>
      </w:pPr>
    </w:p>
    <w:p w:rsidR="00922B8B" w:rsidRPr="00EB70C7" w:rsidRDefault="00922B8B" w:rsidP="00922B8B">
      <w:pPr>
        <w:rPr>
          <w:lang w:val="de-CH"/>
        </w:rPr>
      </w:pPr>
      <w:r w:rsidRPr="00EB70C7">
        <w:rPr>
          <w:lang w:val="de-CH"/>
        </w:rPr>
        <w:t>the pfd (W/m</w:t>
      </w:r>
      <w:r w:rsidRPr="00EB70C7">
        <w:rPr>
          <w:vertAlign w:val="superscript"/>
          <w:lang w:val="de-CH"/>
        </w:rPr>
        <w:t>2</w:t>
      </w:r>
      <w:r w:rsidRPr="00EB70C7">
        <w:rPr>
          <w:lang w:val="de-CH"/>
        </w:rPr>
        <w:t>) is:</w:t>
      </w:r>
    </w:p>
    <w:p w:rsidR="00922B8B" w:rsidRPr="00EB70C7" w:rsidRDefault="00922B8B" w:rsidP="00922B8B">
      <w:pPr>
        <w:pStyle w:val="Blanc"/>
        <w:rPr>
          <w:lang w:val="de-CH"/>
        </w:rPr>
      </w:pPr>
    </w:p>
    <w:p w:rsidR="00922B8B" w:rsidRPr="00EB70C7" w:rsidRDefault="00922B8B" w:rsidP="00922B8B">
      <w:pPr>
        <w:pStyle w:val="Equation"/>
        <w:rPr>
          <w:lang w:val="de-CH"/>
        </w:rPr>
      </w:pPr>
      <w:r w:rsidRPr="00EB70C7">
        <w:rPr>
          <w:lang w:val="de-CH"/>
        </w:rPr>
        <w:tab/>
      </w:r>
      <w:r w:rsidRPr="00EB70C7">
        <w:rPr>
          <w:lang w:val="de-CH"/>
        </w:rPr>
        <w:tab/>
      </w:r>
      <w:r w:rsidRPr="00EB70C7">
        <w:rPr>
          <w:i/>
          <w:lang w:val="de-CH"/>
        </w:rPr>
        <w:t>pfd</w:t>
      </w:r>
      <w:r w:rsidRPr="00EB70C7">
        <w:rPr>
          <w:lang w:val="de-CH"/>
        </w:rPr>
        <w:t xml:space="preserve">  </w:t>
      </w:r>
      <w:r>
        <w:rPr>
          <w:rFonts w:ascii="Symbol" w:hAnsi="Symbol"/>
        </w:rPr>
        <w:t></w:t>
      </w:r>
      <w:r w:rsidRPr="00EB70C7">
        <w:rPr>
          <w:lang w:val="de-CH"/>
        </w:rPr>
        <w:t xml:space="preserve">  </w:t>
      </w:r>
      <w:r w:rsidRPr="00EB70C7">
        <w:rPr>
          <w:i/>
          <w:lang w:val="de-CH"/>
        </w:rPr>
        <w:t>E</w:t>
      </w:r>
      <w:r w:rsidRPr="00EB70C7">
        <w:rPr>
          <w:vertAlign w:val="superscript"/>
          <w:lang w:val="de-CH"/>
        </w:rPr>
        <w:t>2</w:t>
      </w:r>
      <w:r w:rsidRPr="00EB70C7">
        <w:rPr>
          <w:lang w:val="de-CH"/>
        </w:rPr>
        <w:t>/(120</w:t>
      </w:r>
      <w:r>
        <w:rPr>
          <w:rFonts w:ascii="Symbol" w:hAnsi="Symbol"/>
        </w:rPr>
        <w:t></w:t>
      </w:r>
      <w:r w:rsidRPr="00EB70C7">
        <w:rPr>
          <w:lang w:val="de-CH"/>
        </w:rPr>
        <w:t xml:space="preserve">) </w:t>
      </w:r>
    </w:p>
    <w:p w:rsidR="00922B8B" w:rsidRPr="00EB70C7" w:rsidRDefault="00922B8B" w:rsidP="00922B8B">
      <w:pPr>
        <w:pStyle w:val="Blanc"/>
        <w:rPr>
          <w:lang w:val="de-CH"/>
        </w:rPr>
      </w:pPr>
    </w:p>
    <w:p w:rsidR="00922B8B" w:rsidRDefault="00922B8B" w:rsidP="00922B8B">
      <w:pPr>
        <w:rPr>
          <w:lang w:val="en-US"/>
        </w:rPr>
      </w:pPr>
      <w:r>
        <w:rPr>
          <w:lang w:val="en-US"/>
        </w:rPr>
        <w:t>and the pfd (dB(W/m</w:t>
      </w:r>
      <w:r w:rsidRPr="002B7B9D">
        <w:rPr>
          <w:vertAlign w:val="superscript"/>
          <w:lang w:val="en-US"/>
        </w:rPr>
        <w:t>2</w:t>
      </w:r>
      <w:r>
        <w:rPr>
          <w:lang w:val="en-US"/>
        </w:rPr>
        <w:t>)) is: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pfd</w:t>
      </w:r>
      <w:r>
        <w:rPr>
          <w:lang w:val="en-US"/>
        </w:rPr>
        <w:t xml:space="preserve">  </w:t>
      </w:r>
      <w:r>
        <w:rPr>
          <w:rFonts w:ascii="Symbol" w:hAnsi="Symbol"/>
        </w:rPr>
        <w:t></w:t>
      </w:r>
      <w:r>
        <w:rPr>
          <w:lang w:val="en-US"/>
        </w:rPr>
        <w:t xml:space="preserve">  10 log </w:t>
      </w:r>
      <w:r>
        <w:rPr>
          <w:i/>
          <w:lang w:val="en-US"/>
        </w:rPr>
        <w:t>pfd</w:t>
      </w:r>
    </w:p>
    <w:p w:rsidR="00922B8B" w:rsidRDefault="00922B8B" w:rsidP="00922B8B">
      <w:pPr>
        <w:pStyle w:val="Blanc"/>
      </w:pPr>
    </w:p>
    <w:p w:rsidR="00922B8B" w:rsidRDefault="00922B8B" w:rsidP="00922B8B">
      <w:pPr>
        <w:rPr>
          <w:lang w:val="en-US"/>
        </w:rPr>
      </w:pPr>
      <w:r>
        <w:rPr>
          <w:lang w:val="en-US"/>
        </w:rPr>
        <w:t>Table 7 shows the correspondence between the power values (e.i.r.p., e.r.p.), the field strength (</w:t>
      </w:r>
      <w:r>
        <w:rPr>
          <w:i/>
          <w:lang w:val="en-US"/>
        </w:rPr>
        <w:t>E</w:t>
      </w:r>
      <w:r>
        <w:rPr>
          <w:lang w:val="en-US"/>
        </w:rPr>
        <w:t>, </w:t>
      </w:r>
      <w:r>
        <w:rPr>
          <w:i/>
          <w:lang w:val="en-US"/>
        </w:rPr>
        <w:t>E</w:t>
      </w:r>
      <w:r w:rsidRPr="002B7B9D">
        <w:rPr>
          <w:i/>
          <w:iCs/>
          <w:vertAlign w:val="subscript"/>
          <w:lang w:val="en-US"/>
        </w:rPr>
        <w:t>max</w:t>
      </w:r>
      <w:r>
        <w:rPr>
          <w:lang w:val="en-US"/>
        </w:rPr>
        <w:t>) and the pfd for different units.</w:t>
      </w:r>
    </w:p>
    <w:p w:rsidR="00922B8B" w:rsidRDefault="00922B8B" w:rsidP="00193BCD">
      <w:pPr>
        <w:pStyle w:val="TableNo"/>
        <w:rPr>
          <w:lang w:val="en-US"/>
        </w:rPr>
      </w:pPr>
      <w:r>
        <w:rPr>
          <w:lang w:val="en-US"/>
        </w:rPr>
        <w:lastRenderedPageBreak/>
        <w:t>TABLE 7</w:t>
      </w:r>
    </w:p>
    <w:p w:rsidR="00922B8B" w:rsidRPr="002B7B9D" w:rsidRDefault="00922B8B" w:rsidP="00922B8B">
      <w:pPr>
        <w:pStyle w:val="Tabletitle"/>
        <w:rPr>
          <w:lang w:val="en-US"/>
        </w:rPr>
      </w:pPr>
      <w:r w:rsidRPr="002B7B9D">
        <w:rPr>
          <w:lang w:val="en-US"/>
        </w:rPr>
        <w:t xml:space="preserve">Correspondence between e.i.r.p., e.r.p., field strength, </w:t>
      </w:r>
      <w:r w:rsidRPr="002B7B9D">
        <w:rPr>
          <w:i/>
          <w:lang w:val="en-US"/>
        </w:rPr>
        <w:t>E</w:t>
      </w:r>
      <w:r w:rsidRPr="002B7B9D">
        <w:rPr>
          <w:lang w:val="en-US"/>
        </w:rPr>
        <w:t>, and pfd</w:t>
      </w:r>
    </w:p>
    <w:p w:rsidR="00922B8B" w:rsidRDefault="00922B8B" w:rsidP="00922B8B">
      <w:pPr>
        <w:pStyle w:val="Blanc"/>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4"/>
        <w:gridCol w:w="1382"/>
        <w:gridCol w:w="974"/>
        <w:gridCol w:w="837"/>
        <w:gridCol w:w="858"/>
        <w:gridCol w:w="1236"/>
        <w:gridCol w:w="1207"/>
        <w:gridCol w:w="1249"/>
        <w:gridCol w:w="1242"/>
      </w:tblGrid>
      <w:tr w:rsidR="00922B8B" w:rsidRPr="00EB70C7" w:rsidTr="004D27B4">
        <w:trPr>
          <w:jc w:val="center"/>
        </w:trPr>
        <w:tc>
          <w:tcPr>
            <w:tcW w:w="34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(dBm)</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(nW)</w:t>
            </w:r>
          </w:p>
        </w:tc>
        <w:tc>
          <w:tcPr>
            <w:tcW w:w="50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(dB(pW))</w:t>
            </w:r>
          </w:p>
        </w:tc>
        <w:tc>
          <w:tcPr>
            <w:tcW w:w="43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e.i.r.p.</w:t>
            </w:r>
            <w:r>
              <w:rPr>
                <w:lang w:val="en-US"/>
              </w:rPr>
              <w:br/>
              <w:t>(dBW)</w:t>
            </w:r>
          </w:p>
        </w:tc>
        <w:tc>
          <w:tcPr>
            <w:tcW w:w="44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e.r.p.</w:t>
            </w:r>
            <w:r>
              <w:rPr>
                <w:lang w:val="en-US"/>
              </w:rPr>
              <w:br/>
              <w:t>(dBm)</w:t>
            </w:r>
          </w:p>
        </w:tc>
        <w:tc>
          <w:tcPr>
            <w:tcW w:w="641"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i/>
                <w:lang w:val="en-US"/>
              </w:rPr>
              <w:t>E</w:t>
            </w:r>
            <w:r>
              <w:rPr>
                <w:lang w:val="en-US"/>
              </w:rPr>
              <w:t xml:space="preserve"> field</w:t>
            </w:r>
            <w:r>
              <w:rPr>
                <w:lang w:val="en-US"/>
              </w:rPr>
              <w:br/>
              <w:t>free space</w:t>
            </w:r>
            <w:r>
              <w:rPr>
                <w:lang w:val="en-US"/>
              </w:rPr>
              <w:br/>
              <w:t>(dB(</w:t>
            </w:r>
            <w:r w:rsidR="002609AB">
              <w:t>μ</w:t>
            </w:r>
            <w:r>
              <w:rPr>
                <w:lang w:val="en-US"/>
              </w:rPr>
              <w:t>V/m))</w:t>
            </w:r>
            <w:r>
              <w:rPr>
                <w:lang w:val="en-US"/>
              </w:rPr>
              <w:br/>
              <w:t>at 10 m</w:t>
            </w:r>
          </w:p>
        </w:tc>
        <w:tc>
          <w:tcPr>
            <w:tcW w:w="626"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2609AB">
            <w:pPr>
              <w:pStyle w:val="Tablehead"/>
              <w:spacing w:before="100" w:after="100"/>
              <w:rPr>
                <w:lang w:val="en-US"/>
              </w:rPr>
            </w:pPr>
            <w:r>
              <w:rPr>
                <w:i/>
                <w:lang w:val="en-US"/>
              </w:rPr>
              <w:t>E</w:t>
            </w:r>
            <w:r>
              <w:rPr>
                <w:i/>
                <w:iCs/>
                <w:vertAlign w:val="subscript"/>
                <w:lang w:val="en-US"/>
              </w:rPr>
              <w:t>max</w:t>
            </w:r>
            <w:r>
              <w:rPr>
                <w:lang w:val="en-US"/>
              </w:rPr>
              <w:br/>
              <w:t>OATS</w:t>
            </w:r>
            <w:r>
              <w:rPr>
                <w:lang w:val="en-US"/>
              </w:rPr>
              <w:br/>
              <w:t>(dB(</w:t>
            </w:r>
            <w:r w:rsidR="002609AB">
              <w:t>μ</w:t>
            </w:r>
            <w:r>
              <w:rPr>
                <w:lang w:val="en-US"/>
              </w:rPr>
              <w:t xml:space="preserve">V/m)) </w:t>
            </w:r>
            <w:r>
              <w:rPr>
                <w:lang w:val="en-US"/>
              </w:rPr>
              <w:br/>
              <w:t>at 10 m</w:t>
            </w:r>
          </w:p>
        </w:tc>
        <w:tc>
          <w:tcPr>
            <w:tcW w:w="64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 xml:space="preserve">pfd </w:t>
            </w:r>
            <w:r>
              <w:rPr>
                <w:lang w:val="en-US"/>
              </w:rPr>
              <w:br/>
              <w:t>free space</w:t>
            </w:r>
            <w:r>
              <w:rPr>
                <w:lang w:val="en-US"/>
              </w:rPr>
              <w:br/>
              <w:t>(dB(W/m</w:t>
            </w:r>
            <w:r w:rsidRPr="002B7B9D">
              <w:rPr>
                <w:vertAlign w:val="superscript"/>
                <w:lang w:val="en-US"/>
              </w:rPr>
              <w:t>2</w:t>
            </w:r>
            <w:r>
              <w:rPr>
                <w:lang w:val="en-US"/>
              </w:rPr>
              <w:t>))</w:t>
            </w:r>
            <w:r>
              <w:rPr>
                <w:lang w:val="en-US"/>
              </w:rPr>
              <w:br/>
              <w:t>at 10 m</w:t>
            </w:r>
          </w:p>
        </w:tc>
        <w:tc>
          <w:tcPr>
            <w:tcW w:w="64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922B8B" w:rsidRDefault="00922B8B" w:rsidP="004D27B4">
            <w:pPr>
              <w:pStyle w:val="Tablehead"/>
              <w:spacing w:before="100" w:after="100"/>
              <w:rPr>
                <w:lang w:val="en-US"/>
              </w:rPr>
            </w:pPr>
            <w:r>
              <w:rPr>
                <w:lang w:val="en-US"/>
              </w:rPr>
              <w:t xml:space="preserve">pfd </w:t>
            </w:r>
            <w:r>
              <w:rPr>
                <w:lang w:val="en-US"/>
              </w:rPr>
              <w:br/>
              <w:t>maximum</w:t>
            </w:r>
            <w:r>
              <w:rPr>
                <w:lang w:val="en-US"/>
              </w:rPr>
              <w:br/>
              <w:t>OATS</w:t>
            </w:r>
            <w:r>
              <w:rPr>
                <w:lang w:val="en-US"/>
              </w:rPr>
              <w:br/>
              <w:t>(dB(W/m</w:t>
            </w:r>
            <w:r w:rsidRPr="002B7B9D">
              <w:rPr>
                <w:vertAlign w:val="superscript"/>
                <w:lang w:val="en-US"/>
              </w:rPr>
              <w:t>2</w:t>
            </w:r>
            <w:r>
              <w:rPr>
                <w:lang w:val="en-US"/>
              </w:rPr>
              <w:t>))</w:t>
            </w:r>
            <w:r>
              <w:rPr>
                <w:lang w:val="en-US"/>
              </w:rPr>
              <w:br/>
              <w:t>at 10 m</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–90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0.001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s-ES"/>
              </w:rPr>
              <w:t> </w:t>
            </w:r>
            <w:r>
              <w:rPr>
                <w:lang w:val="en-US"/>
              </w:rPr>
              <w:t>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–92.15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–5.2</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–1.2</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–151.0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–147.0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–80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10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–82.15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–141.0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–137.0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–70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0.1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20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–72.15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14.8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18.8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–131.0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–60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30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–62.15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24.8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28.8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–121.0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–50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40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–52.15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34.8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38.8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–111.0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–40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07"/>
              </w:tabs>
              <w:spacing w:before="60" w:after="60"/>
              <w:rPr>
                <w:lang w:val="en-US"/>
              </w:rPr>
            </w:pPr>
            <w:r>
              <w:rPr>
                <w:lang w:val="en-US"/>
              </w:rPr>
              <w:t>100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50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–42.15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44.8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48.8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–30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60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–32.15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54.8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58.8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–91.0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–20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70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–50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–22.15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64.8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68.8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–81.0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n-US"/>
              </w:rPr>
              <w:t>–10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100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80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–40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n-US"/>
              </w:rPr>
              <w:t>–12.15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74.8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78.8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–71.0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–67.0</w:t>
            </w:r>
          </w:p>
        </w:tc>
      </w:tr>
      <w:tr w:rsidR="00922B8B" w:rsidTr="004D27B4">
        <w:trPr>
          <w:jc w:val="center"/>
        </w:trPr>
        <w:tc>
          <w:tcPr>
            <w:tcW w:w="340"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s-ES"/>
              </w:rPr>
              <w:t> </w:t>
            </w:r>
            <w:r>
              <w:rPr>
                <w:lang w:val="en-US"/>
              </w:rPr>
              <w:t>0</w:t>
            </w:r>
          </w:p>
        </w:tc>
        <w:tc>
          <w:tcPr>
            <w:tcW w:w="717" w:type="pct"/>
            <w:tcBorders>
              <w:top w:val="single" w:sz="4" w:space="0" w:color="auto"/>
              <w:left w:val="single" w:sz="4" w:space="0" w:color="auto"/>
              <w:bottom w:val="single" w:sz="4" w:space="0" w:color="auto"/>
              <w:right w:val="single" w:sz="4" w:space="0" w:color="auto"/>
            </w:tcBorders>
            <w:tcMar>
              <w:left w:w="0" w:type="dxa"/>
              <w:right w:w="0" w:type="dxa"/>
            </w:tcMar>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482"/>
              <w:jc w:val="right"/>
              <w:rPr>
                <w:lang w:val="en-US"/>
              </w:rPr>
            </w:pPr>
            <w:r>
              <w:rPr>
                <w:lang w:val="en-US"/>
              </w:rPr>
              <w:t>1</w:t>
            </w:r>
            <w:r>
              <w:rPr>
                <w:rFonts w:ascii="Tms Rmn" w:hAnsi="Tms Rmn"/>
                <w:sz w:val="12"/>
                <w:lang w:val="en-US"/>
              </w:rPr>
              <w:t> </w:t>
            </w:r>
            <w:r>
              <w:rPr>
                <w:lang w:val="en-US"/>
              </w:rPr>
              <w:t>000</w:t>
            </w:r>
            <w:r>
              <w:rPr>
                <w:rFonts w:ascii="Tms Rmn" w:hAnsi="Tms Rmn"/>
                <w:sz w:val="12"/>
                <w:lang w:val="en-US"/>
              </w:rPr>
              <w:t> </w:t>
            </w:r>
            <w:r>
              <w:rPr>
                <w:lang w:val="en-US"/>
              </w:rPr>
              <w:t>000</w:t>
            </w:r>
          </w:p>
        </w:tc>
        <w:tc>
          <w:tcPr>
            <w:tcW w:w="50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ind w:right="67"/>
              <w:jc w:val="center"/>
              <w:rPr>
                <w:lang w:val="en-US"/>
              </w:rPr>
            </w:pPr>
            <w:r>
              <w:rPr>
                <w:lang w:val="en-US"/>
              </w:rPr>
              <w:t>90</w:t>
            </w:r>
          </w:p>
        </w:tc>
        <w:tc>
          <w:tcPr>
            <w:tcW w:w="43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–30</w:t>
            </w:r>
          </w:p>
        </w:tc>
        <w:tc>
          <w:tcPr>
            <w:tcW w:w="445"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s>
              <w:spacing w:before="60" w:after="60"/>
              <w:jc w:val="center"/>
              <w:rPr>
                <w:lang w:val="en-US"/>
              </w:rPr>
            </w:pPr>
            <w:r>
              <w:rPr>
                <w:lang w:val="es-ES"/>
              </w:rPr>
              <w:t> </w:t>
            </w:r>
            <w:r>
              <w:rPr>
                <w:lang w:val="en-US"/>
              </w:rPr>
              <w:t>–2.15</w:t>
            </w:r>
          </w:p>
        </w:tc>
        <w:tc>
          <w:tcPr>
            <w:tcW w:w="641"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549"/>
              </w:tabs>
              <w:spacing w:before="60" w:after="60"/>
              <w:jc w:val="left"/>
              <w:rPr>
                <w:lang w:val="en-US"/>
              </w:rPr>
            </w:pPr>
            <w:r>
              <w:rPr>
                <w:lang w:val="en-US"/>
              </w:rPr>
              <w:t>84.8</w:t>
            </w:r>
          </w:p>
        </w:tc>
        <w:tc>
          <w:tcPr>
            <w:tcW w:w="626"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454"/>
              </w:tabs>
              <w:spacing w:before="60" w:after="60"/>
              <w:jc w:val="left"/>
              <w:rPr>
                <w:lang w:val="en-US"/>
              </w:rPr>
            </w:pPr>
            <w:r>
              <w:rPr>
                <w:lang w:val="en-US"/>
              </w:rPr>
              <w:t>88.8</w:t>
            </w:r>
          </w:p>
        </w:tc>
        <w:tc>
          <w:tcPr>
            <w:tcW w:w="648"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–61.0</w:t>
            </w:r>
          </w:p>
        </w:tc>
        <w:tc>
          <w:tcPr>
            <w:tcW w:w="644" w:type="pct"/>
            <w:tcBorders>
              <w:top w:val="single" w:sz="4" w:space="0" w:color="auto"/>
              <w:left w:val="single" w:sz="4" w:space="0" w:color="auto"/>
              <w:bottom w:val="single" w:sz="4"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60" w:after="60"/>
              <w:jc w:val="center"/>
              <w:rPr>
                <w:lang w:val="en-US"/>
              </w:rPr>
            </w:pPr>
            <w:r>
              <w:rPr>
                <w:lang w:val="es-ES"/>
              </w:rPr>
              <w:t> </w:t>
            </w:r>
            <w:r>
              <w:rPr>
                <w:lang w:val="en-US"/>
              </w:rPr>
              <w:t>–57.0</w:t>
            </w:r>
          </w:p>
        </w:tc>
      </w:tr>
    </w:tbl>
    <w:p w:rsidR="00922B8B" w:rsidRDefault="00922B8B" w:rsidP="00922B8B">
      <w:pPr>
        <w:pStyle w:val="Tablefin"/>
      </w:pPr>
    </w:p>
    <w:p w:rsidR="00922B8B" w:rsidRDefault="00922B8B" w:rsidP="00922B8B">
      <w:pPr>
        <w:rPr>
          <w:lang w:val="en-GB"/>
        </w:rPr>
      </w:pPr>
    </w:p>
    <w:p w:rsidR="00922B8B" w:rsidRDefault="00922B8B" w:rsidP="00922B8B">
      <w:pPr>
        <w:rPr>
          <w:lang w:val="en-GB"/>
        </w:rPr>
      </w:pPr>
    </w:p>
    <w:p w:rsidR="00922B8B" w:rsidRDefault="00922B8B" w:rsidP="00922B8B">
      <w:pPr>
        <w:pStyle w:val="AnnexNoTitle"/>
        <w:rPr>
          <w:lang w:val="en-US"/>
        </w:rPr>
      </w:pPr>
      <w:r>
        <w:rPr>
          <w:lang w:val="en-US"/>
        </w:rPr>
        <w:t>Annex 2</w:t>
      </w:r>
      <w:r>
        <w:rPr>
          <w:lang w:val="en-US"/>
        </w:rPr>
        <w:br/>
      </w:r>
      <w:r>
        <w:rPr>
          <w:lang w:val="en-US"/>
        </w:rPr>
        <w:br/>
        <w:t>Methods of measurement of spurious domain emissions</w:t>
      </w:r>
    </w:p>
    <w:p w:rsidR="00922B8B" w:rsidRDefault="00922B8B" w:rsidP="00922B8B">
      <w:pPr>
        <w:pStyle w:val="Heading1"/>
        <w:rPr>
          <w:lang w:val="en-US"/>
        </w:rPr>
      </w:pPr>
      <w:bookmarkStart w:id="68" w:name="_Toc393687571"/>
      <w:bookmarkStart w:id="69" w:name="_Toc394112289"/>
      <w:r>
        <w:rPr>
          <w:lang w:val="en-US"/>
        </w:rPr>
        <w:t>1</w:t>
      </w:r>
      <w:r>
        <w:rPr>
          <w:lang w:val="en-US"/>
        </w:rPr>
        <w:tab/>
        <w:t>Measuring equipment</w:t>
      </w:r>
      <w:bookmarkEnd w:id="68"/>
      <w:bookmarkEnd w:id="69"/>
    </w:p>
    <w:p w:rsidR="00922B8B" w:rsidRDefault="00922B8B" w:rsidP="00922B8B">
      <w:pPr>
        <w:pStyle w:val="Heading2"/>
        <w:rPr>
          <w:lang w:val="en-US"/>
        </w:rPr>
      </w:pPr>
      <w:bookmarkStart w:id="70" w:name="_Toc393687572"/>
      <w:bookmarkStart w:id="71" w:name="_Toc394112290"/>
      <w:r>
        <w:rPr>
          <w:lang w:val="en-US"/>
        </w:rPr>
        <w:t>1.1</w:t>
      </w:r>
      <w:r>
        <w:rPr>
          <w:lang w:val="en-US"/>
        </w:rPr>
        <w:tab/>
        <w:t>Selective measuring receiver</w:t>
      </w:r>
      <w:bookmarkEnd w:id="70"/>
      <w:bookmarkEnd w:id="71"/>
    </w:p>
    <w:p w:rsidR="00922B8B" w:rsidRDefault="00922B8B" w:rsidP="00922B8B">
      <w:pPr>
        <w:rPr>
          <w:lang w:val="en-US"/>
        </w:rPr>
      </w:pPr>
      <w:r>
        <w:rPr>
          <w:lang w:val="en-US"/>
        </w:rPr>
        <w:t xml:space="preserve">Either a selective receiver or a spectrum analyser may be used for the measurement of spurious power supplied to the antenna and cabinet radiation. </w:t>
      </w:r>
    </w:p>
    <w:p w:rsidR="00922B8B" w:rsidRDefault="00922B8B" w:rsidP="00922B8B">
      <w:pPr>
        <w:pStyle w:val="Heading3"/>
        <w:rPr>
          <w:lang w:val="en-US"/>
        </w:rPr>
      </w:pPr>
      <w:bookmarkStart w:id="72" w:name="_Toc393687573"/>
      <w:bookmarkStart w:id="73" w:name="_Toc394112291"/>
      <w:r>
        <w:rPr>
          <w:lang w:val="en-US"/>
        </w:rPr>
        <w:t>1.1.1</w:t>
      </w:r>
      <w:r>
        <w:rPr>
          <w:lang w:val="en-US"/>
        </w:rPr>
        <w:tab/>
        <w:t>Weighting functions of measurement equipment</w:t>
      </w:r>
      <w:bookmarkEnd w:id="72"/>
      <w:bookmarkEnd w:id="73"/>
    </w:p>
    <w:p w:rsidR="00922B8B" w:rsidRDefault="00922B8B" w:rsidP="00922B8B">
      <w:pPr>
        <w:rPr>
          <w:lang w:val="en-US"/>
        </w:rPr>
      </w:pPr>
      <w:r>
        <w:rPr>
          <w:lang w:val="en-US"/>
        </w:rPr>
        <w:t>It is recommended that all measurement receivers be procured with both the mean and peak weighting functions.</w:t>
      </w:r>
    </w:p>
    <w:p w:rsidR="00922B8B" w:rsidRDefault="00922B8B" w:rsidP="00922B8B">
      <w:pPr>
        <w:pStyle w:val="Heading3"/>
        <w:rPr>
          <w:lang w:val="en-US"/>
        </w:rPr>
      </w:pPr>
      <w:bookmarkStart w:id="74" w:name="_Toc393687574"/>
      <w:bookmarkStart w:id="75" w:name="_Toc394112292"/>
      <w:r>
        <w:rPr>
          <w:lang w:val="en-US"/>
        </w:rPr>
        <w:t>1.1.2</w:t>
      </w:r>
      <w:r>
        <w:rPr>
          <w:lang w:val="en-US"/>
        </w:rPr>
        <w:tab/>
        <w:t>Resolution bandwidths</w:t>
      </w:r>
      <w:bookmarkEnd w:id="74"/>
      <w:bookmarkEnd w:id="75"/>
    </w:p>
    <w:p w:rsidR="00922B8B" w:rsidRDefault="00922B8B" w:rsidP="00922B8B">
      <w:pPr>
        <w:rPr>
          <w:lang w:val="en-US"/>
        </w:rPr>
      </w:pPr>
      <w:r>
        <w:rPr>
          <w:lang w:val="en-US"/>
        </w:rPr>
        <w:t xml:space="preserve">As a general guideline, the resolution bandwidths (measured at the –3 dB points of the final IF filter) of the measuring receiver should be equal to the reference bandwidths as given in </w:t>
      </w:r>
      <w:r>
        <w:rPr>
          <w:i/>
          <w:lang w:val="en-US"/>
        </w:rPr>
        <w:t>recommends</w:t>
      </w:r>
      <w:r>
        <w:rPr>
          <w:lang w:val="en-US"/>
        </w:rPr>
        <w:t xml:space="preserve"> 4.1. To improve measurement accuracy, sensitivity and efficiency, the resolution bandwidth can be different from the reference bandwidth. For instance, narrower resolution bandwidth is sometimes necessary for emissions close to the centre frequency. When the resolution bandwidth is smaller than the reference bandwidth, the result should be integrated over the </w:t>
      </w:r>
      <w:r>
        <w:rPr>
          <w:lang w:val="en-US"/>
        </w:rPr>
        <w:lastRenderedPageBreak/>
        <w:t>reference bandwidth (the integration should be made on the basis of a power sum unless the spurious signal is known to be additive in voltage or with intermediate law, see Note 1). When the resolution bandwidth is greater than the reference bandwidth, the result for broadband spurious domain emissions should be normalized to the bandwidth ratio. For discrete (narrow-band) spurii, normalization is not applicable.</w:t>
      </w:r>
    </w:p>
    <w:p w:rsidR="00922B8B" w:rsidRDefault="00922B8B" w:rsidP="00922B8B">
      <w:pPr>
        <w:rPr>
          <w:lang w:val="en-US"/>
        </w:rPr>
      </w:pPr>
      <w:r>
        <w:rPr>
          <w:lang w:val="en-US"/>
        </w:rPr>
        <w:t>A correction factor to the resolution bandwidth should be introduced depending on the actual resolution bandwidth of the measuring receiver (e.g. –6 dB resolution bandwidth) and on the nature of the measured spurious domain emission (e.g. pulsed signal or Gaussian noise).</w:t>
      </w:r>
    </w:p>
    <w:p w:rsidR="00922B8B" w:rsidRDefault="00922B8B" w:rsidP="00922B8B">
      <w:pPr>
        <w:pStyle w:val="Note"/>
        <w:rPr>
          <w:lang w:val="en-US"/>
        </w:rPr>
      </w:pPr>
      <w:r>
        <w:rPr>
          <w:lang w:val="en-US"/>
        </w:rPr>
        <w:t>NOTE 1 – When spurious domain emission is measured in terms of PEP with a resolution bandwidth narrower than the reference bandwidth, the power sum might not be appropriate. If the addition rule is not known, the total spurious domain emission in the reference bandwidth should be evaluated using both power and voltage sum rules. In every case, if the total spurious domain emission using voltage sum rule is lower than the specified limit, then the limit is met. If the total spurious domain emission using power sum rule is higher than the specified limit, then the limit is not met.</w:t>
      </w:r>
    </w:p>
    <w:p w:rsidR="00922B8B" w:rsidRDefault="00922B8B" w:rsidP="00922B8B">
      <w:pPr>
        <w:pStyle w:val="Heading3"/>
        <w:rPr>
          <w:lang w:val="en-US"/>
        </w:rPr>
      </w:pPr>
      <w:bookmarkStart w:id="76" w:name="_Toc393687575"/>
      <w:bookmarkStart w:id="77" w:name="_Toc394112293"/>
      <w:r>
        <w:rPr>
          <w:lang w:val="en-US"/>
        </w:rPr>
        <w:t>1.1.3</w:t>
      </w:r>
      <w:r>
        <w:rPr>
          <w:lang w:val="en-US"/>
        </w:rPr>
        <w:tab/>
        <w:t>Video bandwidth</w:t>
      </w:r>
      <w:bookmarkEnd w:id="76"/>
      <w:bookmarkEnd w:id="77"/>
    </w:p>
    <w:p w:rsidR="00922B8B" w:rsidRDefault="00922B8B" w:rsidP="00922B8B">
      <w:pPr>
        <w:rPr>
          <w:lang w:val="en-US"/>
        </w:rPr>
      </w:pPr>
      <w:r>
        <w:rPr>
          <w:lang w:val="en-US"/>
        </w:rPr>
        <w:t>The video bandwidth must be at least as large as the resolution bandwidth, and preferably be three to five times as large as the resolution bandwidth.</w:t>
      </w:r>
    </w:p>
    <w:p w:rsidR="00922B8B" w:rsidRDefault="00922B8B" w:rsidP="00922B8B">
      <w:pPr>
        <w:pStyle w:val="Heading3"/>
        <w:rPr>
          <w:lang w:val="en-US"/>
        </w:rPr>
      </w:pPr>
      <w:bookmarkStart w:id="78" w:name="_Toc393687576"/>
      <w:bookmarkStart w:id="79" w:name="_Toc394112294"/>
      <w:r>
        <w:rPr>
          <w:lang w:val="en-US"/>
        </w:rPr>
        <w:t>1.1.4</w:t>
      </w:r>
      <w:r>
        <w:rPr>
          <w:lang w:val="en-US"/>
        </w:rPr>
        <w:tab/>
        <w:t>Measurement receiver filter shape factor</w:t>
      </w:r>
      <w:bookmarkEnd w:id="78"/>
      <w:bookmarkEnd w:id="79"/>
    </w:p>
    <w:p w:rsidR="00922B8B" w:rsidRDefault="00922B8B" w:rsidP="00922B8B">
      <w:pPr>
        <w:rPr>
          <w:lang w:val="en-US"/>
        </w:rPr>
      </w:pPr>
      <w:r>
        <w:rPr>
          <w:lang w:val="en-US"/>
        </w:rPr>
        <w:t>Shape factor is a selectivity parameter of a band-pass filter and is usually defined as the ratio of the desired rejection bandwidth to the desired pass bandwidth. In an ideal filter this ratio would be 1. However, practical filters have attenuation roll-off far from this ideal. For example, spectrum analysers which approximate Gaussian filters by using multi-tuned filters to respond to signals while in swept mode, typically define a –60 dB to –3 dB ratio ranging from 5:1 to 15:1.</w:t>
      </w:r>
    </w:p>
    <w:p w:rsidR="00922B8B" w:rsidRDefault="00922B8B" w:rsidP="00922B8B">
      <w:pPr>
        <w:pStyle w:val="Heading2"/>
        <w:rPr>
          <w:lang w:val="en-US"/>
        </w:rPr>
      </w:pPr>
      <w:bookmarkStart w:id="80" w:name="_Toc393687577"/>
      <w:bookmarkStart w:id="81" w:name="_Toc394112295"/>
      <w:r>
        <w:rPr>
          <w:lang w:val="en-US"/>
        </w:rPr>
        <w:t>1.2</w:t>
      </w:r>
      <w:r>
        <w:rPr>
          <w:lang w:val="en-US"/>
        </w:rPr>
        <w:tab/>
        <w:t>Fundamental frequency rejection filter</w:t>
      </w:r>
      <w:bookmarkEnd w:id="80"/>
      <w:bookmarkEnd w:id="81"/>
    </w:p>
    <w:p w:rsidR="00922B8B" w:rsidRDefault="00922B8B" w:rsidP="00922B8B">
      <w:pPr>
        <w:rPr>
          <w:lang w:val="en-US"/>
        </w:rPr>
      </w:pPr>
      <w:r>
        <w:rPr>
          <w:lang w:val="en-US"/>
        </w:rPr>
        <w:t>The ratio of the power of the fundamental frequency to the power of the spurious domain emissions may be of the order of 70 dB or more. A ratio of this order may often result in an input at the fundamental frequency of a sufficient level to generate non-linearities in the selective receiver. Hence, a rejection filter to attenuate the fundamental frequency at the input of the measuring device is usually required (if the spurious domain emission frequency is not too close to the fundamental frequency). For frequency ranges well above the fundamental frequency (for harmonic frequencies for example), it is also possible to use a band-pass or high-pass filter. The insertion loss of this filter for spurious domain emission frequencies must not be too high. However, the frequency response of the filter has to be very well characterized.</w:t>
      </w:r>
    </w:p>
    <w:p w:rsidR="00922B8B" w:rsidRDefault="00922B8B" w:rsidP="00922B8B">
      <w:pPr>
        <w:rPr>
          <w:lang w:val="en-US"/>
        </w:rPr>
      </w:pPr>
      <w:r>
        <w:rPr>
          <w:lang w:val="en-US"/>
        </w:rPr>
        <w:t>Typical variable frequency, lumped circuit rejection filters at the VHF/UHF range have only 3</w:t>
      </w:r>
      <w:r>
        <w:rPr>
          <w:lang w:val="en-US"/>
        </w:rPr>
        <w:noBreakHyphen/>
        <w:t>5 dB insertion loss, and less, about 2-3 dB loss above 1 GHz.</w:t>
      </w:r>
    </w:p>
    <w:p w:rsidR="00922B8B" w:rsidRDefault="00922B8B" w:rsidP="00922B8B">
      <w:pPr>
        <w:rPr>
          <w:lang w:val="en-US"/>
        </w:rPr>
      </w:pPr>
      <w:r>
        <w:rPr>
          <w:lang w:val="en-US"/>
        </w:rPr>
        <w:t>Tuneable quarter wave bandpass cavity filters are available for frequency ranges above about 50 MHz because of their physical size and have insertion losses on the order of less than 1 dB. Cavity notch filters will have about the same loss once the frequency of interest is more than about 10% away from the notch frequency.</w:t>
      </w:r>
    </w:p>
    <w:p w:rsidR="00922B8B" w:rsidRDefault="00922B8B" w:rsidP="00922B8B">
      <w:pPr>
        <w:rPr>
          <w:lang w:val="en-US"/>
        </w:rPr>
      </w:pPr>
      <w:r>
        <w:rPr>
          <w:lang w:val="en-US"/>
        </w:rPr>
        <w:t>Receivers that have to cover many bands usually require variable filtering which tracks the tuned frequency of the system being measured. The types of variable filters that are adequate for spurious measurements are either varactor tuners or yttrium-iron-garnet (YIG) filters. These filters have more insertion loss than fixed filters, but have smaller passbands which allows measurement of signals that are closer in frequency to the transmitter frequencies.</w:t>
      </w:r>
    </w:p>
    <w:p w:rsidR="00922B8B" w:rsidRDefault="00922B8B" w:rsidP="00922B8B">
      <w:pPr>
        <w:rPr>
          <w:lang w:val="en-US"/>
        </w:rPr>
      </w:pPr>
      <w:r>
        <w:rPr>
          <w:lang w:val="en-US"/>
        </w:rPr>
        <w:lastRenderedPageBreak/>
        <w:t>Varactor tuners typically are recommended for frequencies between 50 MHz and 1 GHz. They provide a 3 dB bandwidth that is about 5% of the tuned frequency and have about 5-6 dB insertion loss.</w:t>
      </w:r>
    </w:p>
    <w:p w:rsidR="00922B8B" w:rsidRDefault="00922B8B" w:rsidP="00922B8B">
      <w:pPr>
        <w:rPr>
          <w:lang w:val="en-US"/>
        </w:rPr>
      </w:pPr>
      <w:r>
        <w:rPr>
          <w:lang w:val="en-US"/>
        </w:rPr>
        <w:t>YIG filters typically are recommended for frequencies between about 1-18 GHz. They provide a 3 dB bandwidth that is about 15 MHz at 2 GHz RF, and about 30 MHz wide at 18 GHz RF. The insertion loss is about 6</w:t>
      </w:r>
      <w:r>
        <w:rPr>
          <w:lang w:val="en-US"/>
        </w:rPr>
        <w:noBreakHyphen/>
        <w:t>8 dB.</w:t>
      </w:r>
    </w:p>
    <w:p w:rsidR="00922B8B" w:rsidRDefault="00922B8B" w:rsidP="00922B8B">
      <w:pPr>
        <w:pStyle w:val="Heading2"/>
        <w:rPr>
          <w:lang w:val="en-US"/>
        </w:rPr>
      </w:pPr>
      <w:bookmarkStart w:id="82" w:name="_Toc393687578"/>
      <w:bookmarkStart w:id="83" w:name="_Toc394112296"/>
      <w:r>
        <w:rPr>
          <w:lang w:val="en-US"/>
        </w:rPr>
        <w:t>1.3</w:t>
      </w:r>
      <w:r>
        <w:rPr>
          <w:lang w:val="en-US"/>
        </w:rPr>
        <w:tab/>
        <w:t>Coupling device</w:t>
      </w:r>
      <w:bookmarkEnd w:id="82"/>
      <w:bookmarkEnd w:id="83"/>
    </w:p>
    <w:p w:rsidR="00922B8B" w:rsidRDefault="00922B8B" w:rsidP="00922B8B">
      <w:pPr>
        <w:rPr>
          <w:lang w:val="en-US"/>
        </w:rPr>
      </w:pPr>
      <w:r>
        <w:rPr>
          <w:lang w:val="en-US"/>
        </w:rPr>
        <w:t>Measurements are made using a directional coupler capable of handling the power of the fundamental emission. The impedance of this coupler must match the transmitter impedance at the fundamental frequency.</w:t>
      </w:r>
    </w:p>
    <w:p w:rsidR="00922B8B" w:rsidRDefault="00922B8B" w:rsidP="00922B8B">
      <w:pPr>
        <w:pStyle w:val="Heading2"/>
        <w:rPr>
          <w:lang w:val="en-US"/>
        </w:rPr>
      </w:pPr>
      <w:bookmarkStart w:id="84" w:name="_Toc393687579"/>
      <w:bookmarkStart w:id="85" w:name="_Toc394112297"/>
      <w:r>
        <w:rPr>
          <w:lang w:val="en-US"/>
        </w:rPr>
        <w:t>1.4</w:t>
      </w:r>
      <w:r>
        <w:rPr>
          <w:lang w:val="en-US"/>
        </w:rPr>
        <w:tab/>
        <w:t>Terminal load</w:t>
      </w:r>
      <w:bookmarkEnd w:id="84"/>
      <w:bookmarkEnd w:id="85"/>
    </w:p>
    <w:p w:rsidR="00922B8B" w:rsidRDefault="00922B8B" w:rsidP="00922B8B">
      <w:pPr>
        <w:rPr>
          <w:lang w:val="en-US"/>
        </w:rPr>
      </w:pPr>
      <w:r>
        <w:rPr>
          <w:lang w:val="en-US"/>
        </w:rPr>
        <w:t>To measure the power of spurious domain emissions, while using measurement Method 1, the transmitter shall be connected to a test load or terminal load. The level of spurious domain emission depends on proper impedance matching between the transmitter final stage, the transmission line and the test load.</w:t>
      </w:r>
    </w:p>
    <w:p w:rsidR="00922B8B" w:rsidRDefault="00922B8B" w:rsidP="00922B8B">
      <w:pPr>
        <w:pStyle w:val="Heading2"/>
        <w:rPr>
          <w:lang w:val="en-US"/>
        </w:rPr>
      </w:pPr>
      <w:bookmarkStart w:id="86" w:name="_Toc393687580"/>
      <w:bookmarkStart w:id="87" w:name="_Toc394112298"/>
      <w:r>
        <w:rPr>
          <w:lang w:val="en-US"/>
        </w:rPr>
        <w:t>1.5</w:t>
      </w:r>
      <w:r>
        <w:rPr>
          <w:lang w:val="en-US"/>
        </w:rPr>
        <w:tab/>
        <w:t>Measuring antenna</w:t>
      </w:r>
      <w:bookmarkEnd w:id="86"/>
      <w:bookmarkEnd w:id="87"/>
    </w:p>
    <w:p w:rsidR="00922B8B" w:rsidRDefault="00922B8B" w:rsidP="00922B8B">
      <w:pPr>
        <w:rPr>
          <w:lang w:val="en-US"/>
        </w:rPr>
      </w:pPr>
      <w:r>
        <w:rPr>
          <w:lang w:val="en-US"/>
        </w:rPr>
        <w:t>Measurements are made with a tuned dipole antenna or a reference antenna with a known gain referenced to an isotropic antenna.</w:t>
      </w:r>
    </w:p>
    <w:p w:rsidR="00922B8B" w:rsidRDefault="00922B8B" w:rsidP="00922B8B">
      <w:pPr>
        <w:pStyle w:val="Heading2"/>
        <w:rPr>
          <w:lang w:val="en-US"/>
        </w:rPr>
      </w:pPr>
      <w:bookmarkStart w:id="88" w:name="_Toc393687581"/>
      <w:bookmarkStart w:id="89" w:name="_Toc394112299"/>
      <w:r>
        <w:rPr>
          <w:lang w:val="en-US"/>
        </w:rPr>
        <w:t>1.6</w:t>
      </w:r>
      <w:r>
        <w:rPr>
          <w:lang w:val="en-US"/>
        </w:rPr>
        <w:tab/>
        <w:t>Condition of modulation</w:t>
      </w:r>
      <w:bookmarkEnd w:id="88"/>
      <w:bookmarkEnd w:id="89"/>
    </w:p>
    <w:p w:rsidR="00922B8B" w:rsidRDefault="00922B8B" w:rsidP="00922B8B">
      <w:pPr>
        <w:rPr>
          <w:lang w:val="en-US"/>
        </w:rPr>
      </w:pPr>
      <w:r>
        <w:rPr>
          <w:lang w:val="en-US"/>
        </w:rPr>
        <w:t>Whenever it is possible, the measurements are made in the presence of the maximum rated modulation under normal operating conditions. It may sometimes be useful to start the measurements without applying the modulation, in order to detect some particular spurious frequencies. In this case, it must be pointed out that all spurious domain emission frequencies may not be detected and switching the modulation on may produce other spurious frequency components.</w:t>
      </w:r>
    </w:p>
    <w:p w:rsidR="00922B8B" w:rsidRDefault="00922B8B" w:rsidP="00922B8B">
      <w:pPr>
        <w:pStyle w:val="Heading1"/>
        <w:rPr>
          <w:lang w:val="en-US"/>
        </w:rPr>
      </w:pPr>
      <w:bookmarkStart w:id="90" w:name="_Toc393687582"/>
      <w:bookmarkStart w:id="91" w:name="_Toc394112300"/>
      <w:r>
        <w:rPr>
          <w:lang w:val="en-US"/>
        </w:rPr>
        <w:t>2</w:t>
      </w:r>
      <w:r>
        <w:rPr>
          <w:lang w:val="en-US"/>
        </w:rPr>
        <w:tab/>
        <w:t>Measurement limitations</w:t>
      </w:r>
      <w:bookmarkEnd w:id="90"/>
      <w:bookmarkEnd w:id="91"/>
    </w:p>
    <w:p w:rsidR="00922B8B" w:rsidRDefault="00922B8B" w:rsidP="00922B8B">
      <w:pPr>
        <w:pStyle w:val="Heading2"/>
        <w:rPr>
          <w:lang w:val="en-US"/>
        </w:rPr>
      </w:pPr>
      <w:bookmarkStart w:id="92" w:name="_Toc393687583"/>
      <w:bookmarkStart w:id="93" w:name="_Toc394112301"/>
      <w:r>
        <w:rPr>
          <w:lang w:val="en-US"/>
        </w:rPr>
        <w:t>2.1</w:t>
      </w:r>
      <w:r>
        <w:rPr>
          <w:lang w:val="en-US"/>
        </w:rPr>
        <w:tab/>
        <w:t>Bandwidth limitations</w:t>
      </w:r>
      <w:bookmarkEnd w:id="92"/>
      <w:bookmarkEnd w:id="93"/>
    </w:p>
    <w:p w:rsidR="00922B8B" w:rsidRDefault="00922B8B" w:rsidP="002609AB">
      <w:pPr>
        <w:rPr>
          <w:lang w:val="en-US"/>
        </w:rPr>
      </w:pPr>
      <w:r>
        <w:rPr>
          <w:lang w:val="en-US"/>
        </w:rPr>
        <w:t xml:space="preserve">The limits of </w:t>
      </w:r>
      <w:r w:rsidR="002609AB">
        <w:rPr>
          <w:lang w:val="en-US"/>
        </w:rPr>
        <w:t>±</w:t>
      </w:r>
      <w:r>
        <w:rPr>
          <w:lang w:val="en-US"/>
        </w:rPr>
        <w:t xml:space="preserve">250% of the necessary bandwidth establish the start of the measurement frequency band for spurious domain emissions in accordance with </w:t>
      </w:r>
      <w:r>
        <w:rPr>
          <w:i/>
          <w:lang w:val="en-US"/>
        </w:rPr>
        <w:t>recommends</w:t>
      </w:r>
      <w:r>
        <w:rPr>
          <w:lang w:val="en-US"/>
        </w:rPr>
        <w:t xml:space="preserve"> 2.3 of this Recommendation. In some cases this is not possible because significant measurement errors may result due to the inclusion of non-spurious domain emissions. In order to establish a new boundary for the spurious domain measurement bandwidth (BW), a new frequency separation other than </w:t>
      </w:r>
      <w:r w:rsidR="002609AB">
        <w:rPr>
          <w:lang w:val="en-US"/>
        </w:rPr>
        <w:t>±</w:t>
      </w:r>
      <w:r>
        <w:rPr>
          <w:lang w:val="en-US"/>
        </w:rPr>
        <w:t xml:space="preserve">250% of the necessary bandwidth can be justified. Alternatively a smaller resolution bandwidth may be used with the </w:t>
      </w:r>
      <w:r w:rsidR="002609AB">
        <w:rPr>
          <w:lang w:val="en-US"/>
        </w:rPr>
        <w:t>±</w:t>
      </w:r>
      <w:r>
        <w:rPr>
          <w:lang w:val="en-US"/>
        </w:rPr>
        <w:t>250% of the necessary bandwidth.</w:t>
      </w:r>
    </w:p>
    <w:p w:rsidR="00922B8B" w:rsidRDefault="00922B8B" w:rsidP="00922B8B">
      <w:pPr>
        <w:rPr>
          <w:lang w:val="en-US"/>
        </w:rPr>
      </w:pPr>
      <w:r>
        <w:rPr>
          <w:lang w:val="en-US"/>
        </w:rPr>
        <w:t>The new boundary and resolution bandwidth (BW) are related by the following equation:</w:t>
      </w:r>
    </w:p>
    <w:p w:rsidR="00922B8B" w:rsidRDefault="00922B8B" w:rsidP="00922B8B">
      <w:pPr>
        <w:pStyle w:val="Blanc"/>
      </w:pPr>
    </w:p>
    <w:p w:rsidR="00922B8B" w:rsidRDefault="00922B8B" w:rsidP="00922B8B">
      <w:pPr>
        <w:pStyle w:val="Equation"/>
        <w:jc w:val="center"/>
        <w:rPr>
          <w:lang w:val="en-US"/>
        </w:rPr>
      </w:pPr>
      <w:r>
        <w:rPr>
          <w:lang w:val="en-US"/>
        </w:rPr>
        <w:t xml:space="preserve">Resolution BW </w:t>
      </w:r>
      <w:r>
        <w:rPr>
          <w:rFonts w:ascii="Symbol" w:hAnsi="Symbol"/>
        </w:rPr>
        <w:t></w:t>
      </w:r>
      <w:r>
        <w:rPr>
          <w:lang w:val="en-US"/>
        </w:rPr>
        <w:t xml:space="preserve"> {(shape factor –</w:t>
      </w:r>
      <w:r>
        <w:rPr>
          <w:sz w:val="4"/>
          <w:lang w:val="en-US"/>
        </w:rPr>
        <w:t> </w:t>
      </w:r>
      <w:r>
        <w:rPr>
          <w:lang w:val="en-US"/>
        </w:rPr>
        <w:t xml:space="preserve">1)} </w:t>
      </w:r>
      <w:r>
        <w:rPr>
          <w:rFonts w:ascii="Symbol" w:hAnsi="Symbol"/>
        </w:rPr>
        <w:t></w:t>
      </w:r>
      <w:r>
        <w:rPr>
          <w:lang w:val="en-US"/>
        </w:rPr>
        <w:t xml:space="preserve"> 2 {(boundary, i.e. between the out-of-band domain</w:t>
      </w:r>
      <w:r>
        <w:rPr>
          <w:lang w:val="en-US"/>
        </w:rPr>
        <w:br/>
        <w:t>and spurious domain) – (necessary BW)/2}</w:t>
      </w:r>
    </w:p>
    <w:p w:rsidR="00922B8B" w:rsidRDefault="00922B8B" w:rsidP="00922B8B">
      <w:pPr>
        <w:rPr>
          <w:lang w:val="en-US"/>
        </w:rPr>
      </w:pPr>
      <w:r>
        <w:rPr>
          <w:lang w:val="en-US"/>
        </w:rPr>
        <w:t>From the above equation, it is clear that if the resolution bandwidth cannot be changed, then a new boundary should be calculated. The opposite case is also true.</w:t>
      </w:r>
    </w:p>
    <w:p w:rsidR="00922B8B" w:rsidRDefault="00922B8B" w:rsidP="002609AB">
      <w:pPr>
        <w:rPr>
          <w:lang w:val="en-US"/>
        </w:rPr>
      </w:pPr>
      <w:r>
        <w:rPr>
          <w:lang w:val="en-US"/>
        </w:rPr>
        <w:lastRenderedPageBreak/>
        <w:t xml:space="preserve">Consider a signal with a 16 kHz necessary bandwidth, and a </w:t>
      </w:r>
      <w:r w:rsidR="002609AB">
        <w:rPr>
          <w:lang w:val="en-US"/>
        </w:rPr>
        <w:t>±</w:t>
      </w:r>
      <w:r>
        <w:rPr>
          <w:lang w:val="en-US"/>
        </w:rPr>
        <w:t>250% boundary (i.e. 40 kHz) which cannot be changed. If the measuring resolution bandwidth filter has a shape factor of 15:1 and the required rejection of the carrier in</w:t>
      </w:r>
      <w:r>
        <w:rPr>
          <w:lang w:val="en-US"/>
        </w:rPr>
        <w:noBreakHyphen/>
        <w:t>band power is 60 dB then the resolution bandwidth has to be approximately 4.5 kHz, from:</w:t>
      </w:r>
    </w:p>
    <w:p w:rsidR="00922B8B" w:rsidRDefault="00922B8B" w:rsidP="00922B8B">
      <w:pPr>
        <w:pStyle w:val="Blanc"/>
      </w:pP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2 {(boundary) – (necessary BW)/2}/(shape factor – 1)</w:t>
      </w:r>
    </w:p>
    <w:p w:rsidR="00922B8B" w:rsidRDefault="00922B8B" w:rsidP="00922B8B">
      <w:pPr>
        <w:rPr>
          <w:lang w:val="en-US"/>
        </w:rPr>
      </w:pPr>
      <w:r>
        <w:rPr>
          <w:lang w:val="en-US"/>
        </w:rPr>
        <w:t>therefore</w:t>
      </w:r>
      <w:bookmarkStart w:id="94" w:name="_GoBack"/>
      <w:bookmarkEnd w:id="94"/>
      <w:r>
        <w:rPr>
          <w:lang w:val="en-US"/>
        </w:rPr>
        <w:t>:</w:t>
      </w: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2 (40 – 16/2)/(15 – 1)</w:t>
      </w:r>
    </w:p>
    <w:p w:rsidR="00922B8B" w:rsidRDefault="00922B8B" w:rsidP="00922B8B">
      <w:pPr>
        <w:rPr>
          <w:lang w:val="en-US"/>
        </w:rPr>
      </w:pPr>
      <w:r>
        <w:rPr>
          <w:lang w:val="en-US"/>
        </w:rPr>
        <w:t>therefore:</w:t>
      </w:r>
    </w:p>
    <w:p w:rsidR="00922B8B" w:rsidRDefault="00922B8B" w:rsidP="00922B8B">
      <w:pPr>
        <w:pStyle w:val="Equation"/>
        <w:jc w:val="center"/>
        <w:rPr>
          <w:lang w:val="en-US"/>
        </w:rPr>
      </w:pPr>
      <w:r>
        <w:rPr>
          <w:lang w:val="en-US"/>
        </w:rPr>
        <w:t xml:space="preserve">Required resolution BW </w:t>
      </w:r>
      <w:r>
        <w:rPr>
          <w:rFonts w:ascii="Symbol" w:hAnsi="Symbol"/>
        </w:rPr>
        <w:t></w:t>
      </w:r>
      <w:r>
        <w:rPr>
          <w:lang w:val="en-US"/>
        </w:rPr>
        <w:t xml:space="preserve"> 4.5 kHz</w:t>
      </w:r>
    </w:p>
    <w:p w:rsidR="00922B8B" w:rsidRDefault="00922B8B" w:rsidP="00922B8B">
      <w:pPr>
        <w:pStyle w:val="Blanc"/>
      </w:pPr>
    </w:p>
    <w:p w:rsidR="00922B8B" w:rsidRDefault="00922B8B" w:rsidP="00922B8B">
      <w:pPr>
        <w:rPr>
          <w:lang w:val="en-US"/>
        </w:rPr>
      </w:pPr>
      <w:r>
        <w:rPr>
          <w:lang w:val="en-US"/>
        </w:rPr>
        <w:t>On the other hand, given the same signal and measurement receiver parameters, if the resolution bandwidth is fixed at 100 kHz then a new boundary is calculated by rearranging the above formula and solving for the new boundary. In this case, if the resolution bandwidth is fixed at 100 kHz, then the new boundary is 708 kHz.</w:t>
      </w:r>
    </w:p>
    <w:p w:rsidR="00922B8B" w:rsidRDefault="00922B8B" w:rsidP="00922B8B">
      <w:pPr>
        <w:pStyle w:val="Heading2"/>
        <w:rPr>
          <w:lang w:val="en-US"/>
        </w:rPr>
      </w:pPr>
      <w:bookmarkStart w:id="95" w:name="_Toc393687584"/>
      <w:bookmarkStart w:id="96" w:name="_Toc394112302"/>
      <w:r>
        <w:rPr>
          <w:lang w:val="en-US"/>
        </w:rPr>
        <w:t>2.2</w:t>
      </w:r>
      <w:r>
        <w:rPr>
          <w:lang w:val="en-US"/>
        </w:rPr>
        <w:tab/>
        <w:t>Sensitivity limitation</w:t>
      </w:r>
      <w:bookmarkEnd w:id="95"/>
      <w:bookmarkEnd w:id="96"/>
    </w:p>
    <w:p w:rsidR="00922B8B" w:rsidRDefault="00922B8B" w:rsidP="00922B8B">
      <w:pPr>
        <w:rPr>
          <w:lang w:val="en-US"/>
        </w:rPr>
      </w:pPr>
      <w:r>
        <w:rPr>
          <w:lang w:val="en-US"/>
        </w:rPr>
        <w:t>Under certain conditions, the sensitivity of commercially available spectrum analysers, together with transition and cable losses might lead to insufficient measurement sensitivity. This may be overcome by the use of a low noise amplifier.</w:t>
      </w:r>
    </w:p>
    <w:p w:rsidR="00922B8B" w:rsidRDefault="00922B8B" w:rsidP="00922B8B">
      <w:pPr>
        <w:rPr>
          <w:lang w:val="en-US"/>
        </w:rPr>
      </w:pPr>
      <w:r>
        <w:rPr>
          <w:lang w:val="en-US"/>
        </w:rPr>
        <w:t>In extreme cases, typically above 26 GHz and mostly due to the use of external mixers in the test set-up, it still may not be possible to achieve enough sensitivity to verify that the equipment under test (EUT) conforms to the specification requirement under modulated condition. The spurious domain emission measurement in the CW condition may be corrected, for those emissions that are subject to the modulation process, by an amount equal to the modulation loss of the EUT.</w:t>
      </w:r>
    </w:p>
    <w:p w:rsidR="00922B8B" w:rsidRDefault="00922B8B" w:rsidP="00922B8B">
      <w:pPr>
        <w:pStyle w:val="Heading2"/>
        <w:rPr>
          <w:lang w:val="en-US"/>
        </w:rPr>
      </w:pPr>
      <w:bookmarkStart w:id="97" w:name="_Toc393687585"/>
      <w:bookmarkStart w:id="98" w:name="_Toc394112303"/>
      <w:r>
        <w:rPr>
          <w:lang w:val="en-US"/>
        </w:rPr>
        <w:t>2.3</w:t>
      </w:r>
      <w:r>
        <w:rPr>
          <w:lang w:val="en-US"/>
        </w:rPr>
        <w:tab/>
        <w:t>Time limitations</w:t>
      </w:r>
      <w:bookmarkEnd w:id="97"/>
      <w:bookmarkEnd w:id="98"/>
    </w:p>
    <w:p w:rsidR="00922B8B" w:rsidRDefault="00922B8B" w:rsidP="00922B8B">
      <w:pPr>
        <w:rPr>
          <w:lang w:val="en-US"/>
        </w:rPr>
      </w:pPr>
      <w:r>
        <w:rPr>
          <w:lang w:val="en-US"/>
        </w:rPr>
        <w:t>For any desired signal, where the output amplitude changes with time (e.g. non constant envelope modulation), ten or more averaged measurement may be used for consistency.</w:t>
      </w:r>
    </w:p>
    <w:p w:rsidR="00922B8B" w:rsidRDefault="00922B8B" w:rsidP="00922B8B">
      <w:pPr>
        <w:pStyle w:val="Heading1"/>
        <w:rPr>
          <w:lang w:val="en-US"/>
        </w:rPr>
      </w:pPr>
      <w:bookmarkStart w:id="99" w:name="_Toc393687586"/>
      <w:bookmarkStart w:id="100" w:name="_Toc394112304"/>
      <w:r>
        <w:rPr>
          <w:lang w:val="en-US"/>
        </w:rPr>
        <w:t>3</w:t>
      </w:r>
      <w:r>
        <w:rPr>
          <w:lang w:val="en-US"/>
        </w:rPr>
        <w:tab/>
        <w:t>Methods of measurement</w:t>
      </w:r>
      <w:bookmarkEnd w:id="99"/>
      <w:bookmarkEnd w:id="100"/>
    </w:p>
    <w:p w:rsidR="00922B8B" w:rsidRDefault="00922B8B" w:rsidP="00922B8B">
      <w:pPr>
        <w:pStyle w:val="Heading2"/>
        <w:rPr>
          <w:lang w:val="en-US"/>
        </w:rPr>
      </w:pPr>
      <w:bookmarkStart w:id="101" w:name="_Toc393687587"/>
      <w:bookmarkStart w:id="102" w:name="_Toc394112305"/>
      <w:r>
        <w:rPr>
          <w:lang w:val="en-US"/>
        </w:rPr>
        <w:t>3.1</w:t>
      </w:r>
      <w:r>
        <w:rPr>
          <w:lang w:val="en-US"/>
        </w:rPr>
        <w:tab/>
        <w:t>Introduction</w:t>
      </w:r>
      <w:bookmarkEnd w:id="101"/>
      <w:bookmarkEnd w:id="102"/>
    </w:p>
    <w:p w:rsidR="00922B8B" w:rsidRDefault="00922B8B" w:rsidP="00922B8B">
      <w:pPr>
        <w:tabs>
          <w:tab w:val="clear" w:pos="794"/>
          <w:tab w:val="left" w:pos="426"/>
          <w:tab w:val="left" w:pos="851"/>
        </w:tabs>
        <w:rPr>
          <w:lang w:val="en-US"/>
        </w:rPr>
      </w:pPr>
      <w:r>
        <w:rPr>
          <w:lang w:val="en-US"/>
        </w:rPr>
        <w:t>There are two basic methods for measurement of spurious domain emissions described in this Annex. Method 2 is described in CISPR Publication No.</w:t>
      </w:r>
      <w:r>
        <w:rPr>
          <w:rFonts w:ascii="Tms Rmn" w:hAnsi="Tms Rmn"/>
          <w:sz w:val="12"/>
          <w:lang w:val="en-US"/>
        </w:rPr>
        <w:t xml:space="preserve"> </w:t>
      </w:r>
      <w:r>
        <w:rPr>
          <w:lang w:val="en-US"/>
        </w:rPr>
        <w:t>16. Care must be taken with Methods 1 and 2 that emissions from the test do not cause interference to systems in the environment, and care must also be taken to utilize the weighting function (see § 1.1.1 above) that matches the power specified in Categories A, B, C, D and Z.</w:t>
      </w:r>
    </w:p>
    <w:p w:rsidR="00922B8B" w:rsidRDefault="00922B8B" w:rsidP="00922B8B">
      <w:pPr>
        <w:pStyle w:val="enumlev1"/>
        <w:rPr>
          <w:lang w:val="en-US"/>
        </w:rPr>
      </w:pPr>
      <w:r>
        <w:rPr>
          <w:lang w:val="en-US"/>
        </w:rPr>
        <w:t>–</w:t>
      </w:r>
      <w:r>
        <w:rPr>
          <w:lang w:val="en-US"/>
        </w:rPr>
        <w:tab/>
        <w:t>Method 1a is the measurement of spurious domain emission power supplied to the antenna port of the EUT. This method should be used whenever it is practical and appropriate.</w:t>
      </w:r>
    </w:p>
    <w:p w:rsidR="00922B8B" w:rsidRDefault="00922B8B" w:rsidP="00922B8B">
      <w:pPr>
        <w:pStyle w:val="enumlev1"/>
        <w:rPr>
          <w:lang w:val="en-US"/>
        </w:rPr>
      </w:pPr>
      <w:r>
        <w:rPr>
          <w:lang w:val="en-US"/>
        </w:rPr>
        <w:t>–</w:t>
      </w:r>
      <w:r>
        <w:rPr>
          <w:lang w:val="en-US"/>
        </w:rPr>
        <w:tab/>
        <w:t>Method 1b is the measurement of spurious domain emission power supplied to the antenna port of the EUT. This method may be used when the fundamental rejection filter is not available and the dynamic range of the measurement receiver (possibly equipped with a preselector) is adequate.</w:t>
      </w:r>
    </w:p>
    <w:p w:rsidR="00922B8B" w:rsidRDefault="00922B8B" w:rsidP="00922B8B">
      <w:pPr>
        <w:pStyle w:val="enumlev1"/>
        <w:rPr>
          <w:lang w:val="en-US"/>
        </w:rPr>
      </w:pPr>
      <w:r>
        <w:rPr>
          <w:lang w:val="en-US"/>
        </w:rPr>
        <w:t>–</w:t>
      </w:r>
      <w:r>
        <w:rPr>
          <w:lang w:val="en-US"/>
        </w:rPr>
        <w:tab/>
        <w:t>Method 2 is the measurement of the spurious e.i.r.p., using a suitable test site.</w:t>
      </w:r>
    </w:p>
    <w:p w:rsidR="00922B8B" w:rsidRDefault="00922B8B" w:rsidP="00922B8B">
      <w:pPr>
        <w:rPr>
          <w:lang w:val="en-US"/>
        </w:rPr>
      </w:pPr>
      <w:r>
        <w:rPr>
          <w:lang w:val="en-US"/>
        </w:rPr>
        <w:lastRenderedPageBreak/>
        <w:t>Systems using waveguides should use Method 2, since terminating waveguides in a transition device can cause many testing problems. If the antenna port is a waveguide flange, distant spurious domain emissions might be greatly attenuated by the waveguide to coaxial transition, unless specific tapered waveguide sections are placed in the measurement line so that Method 1 may be utilized. Similarly, VLF/LF band transmitters should also be measured using Method 2 since the boundary between the transmitter, feeder cable and antenna is not always clearly defined.</w:t>
      </w:r>
    </w:p>
    <w:p w:rsidR="00922B8B" w:rsidRDefault="00922B8B" w:rsidP="00922B8B">
      <w:pPr>
        <w:rPr>
          <w:lang w:val="en-US"/>
        </w:rPr>
      </w:pPr>
      <w:r>
        <w:rPr>
          <w:lang w:val="en-US"/>
        </w:rPr>
        <w:t>The measurement method for radar systems should be guided by Recommendation ITU-R M.1177. For those systems for which acceptable methods of measurement do not exist, all practical measures should be taken to meet the appropriate limits of the power of spurious domain emissions.</w:t>
      </w:r>
    </w:p>
    <w:p w:rsidR="00922B8B" w:rsidRDefault="00922B8B" w:rsidP="00922B8B">
      <w:pPr>
        <w:pStyle w:val="Heading2"/>
        <w:rPr>
          <w:lang w:val="en-US"/>
        </w:rPr>
      </w:pPr>
      <w:bookmarkStart w:id="103" w:name="_Toc393687588"/>
      <w:bookmarkStart w:id="104" w:name="_Toc394112306"/>
      <w:r>
        <w:rPr>
          <w:lang w:val="en-US"/>
        </w:rPr>
        <w:t>3.2</w:t>
      </w:r>
      <w:r>
        <w:rPr>
          <w:lang w:val="en-US"/>
        </w:rPr>
        <w:tab/>
        <w:t>Method 1 – Measurement of the spurious domain emission power supplied to the antenna port</w:t>
      </w:r>
      <w:bookmarkEnd w:id="103"/>
      <w:bookmarkEnd w:id="104"/>
    </w:p>
    <w:p w:rsidR="00922B8B" w:rsidRDefault="00922B8B" w:rsidP="00922B8B">
      <w:pPr>
        <w:rPr>
          <w:lang w:val="en-US"/>
        </w:rPr>
      </w:pPr>
      <w:r>
        <w:rPr>
          <w:lang w:val="en-US"/>
        </w:rPr>
        <w:t xml:space="preserve">No particular test site or anechoic chamber is required and electromagnetic interference (EMI) should not affect the results of the tests. Whenever it is possible, the measurement should include the feeder cable. This method does not take into account attenuation due to antenna mismatch and radiation inefficiencies presented to any spurii, or the active generation of spurii by the antenna itself. </w:t>
      </w:r>
    </w:p>
    <w:p w:rsidR="00922B8B" w:rsidRDefault="00922B8B" w:rsidP="00922B8B">
      <w:pPr>
        <w:pStyle w:val="Heading3"/>
        <w:rPr>
          <w:lang w:val="en-US"/>
        </w:rPr>
      </w:pPr>
      <w:r>
        <w:rPr>
          <w:lang w:val="en-US"/>
        </w:rPr>
        <w:t>3.2.1</w:t>
      </w:r>
      <w:r>
        <w:rPr>
          <w:lang w:val="en-US"/>
        </w:rPr>
        <w:tab/>
        <w:t>Method 1a – Measurement using a fundamental rejection filter</w:t>
      </w:r>
    </w:p>
    <w:p w:rsidR="00922B8B" w:rsidRDefault="00922B8B" w:rsidP="00922B8B">
      <w:pPr>
        <w:rPr>
          <w:lang w:val="en-US"/>
        </w:rPr>
      </w:pPr>
      <w:r>
        <w:rPr>
          <w:lang w:val="en-US"/>
        </w:rPr>
        <w:t>The block-diagram of the measurement set-up for the spurious domain emission power to the antenna port is shown in Fig. 1a.</w:t>
      </w:r>
    </w:p>
    <w:p w:rsidR="00922B8B" w:rsidRDefault="004D27B4" w:rsidP="004D27B4">
      <w:pPr>
        <w:pStyle w:val="FigureNo"/>
        <w:rPr>
          <w:lang w:val="en-US"/>
        </w:rPr>
      </w:pPr>
      <w:r>
        <w:rPr>
          <w:lang w:val="en-US"/>
        </w:rPr>
        <w:t>FIGURE 1</w:t>
      </w:r>
      <w:r w:rsidR="00784A20">
        <w:rPr>
          <w:caps w:val="0"/>
          <w:lang w:val="en-US"/>
        </w:rPr>
        <w:t>a</w:t>
      </w:r>
    </w:p>
    <w:p w:rsidR="004D27B4" w:rsidRPr="004D27B4" w:rsidRDefault="004D27B4" w:rsidP="004D27B4">
      <w:pPr>
        <w:pStyle w:val="Figuretitle"/>
        <w:rPr>
          <w:lang w:val="en-US"/>
        </w:rPr>
      </w:pPr>
      <w:r w:rsidRPr="004D27B4">
        <w:rPr>
          <w:lang w:val="en-US"/>
        </w:rPr>
        <w:t>Method 1a: Measurement set-up for the spurious domain emission power</w:t>
      </w:r>
      <w:r>
        <w:rPr>
          <w:lang w:val="en-US"/>
        </w:rPr>
        <w:br/>
      </w:r>
      <w:r w:rsidRPr="004D27B4">
        <w:rPr>
          <w:lang w:val="en-US"/>
        </w:rPr>
        <w:t>to the antenna port using a fundamental rejection filter</w:t>
      </w:r>
    </w:p>
    <w:p w:rsidR="00922B8B" w:rsidRDefault="00784A20" w:rsidP="004D27B4">
      <w:pPr>
        <w:pStyle w:val="Figure"/>
      </w:pPr>
      <w:r>
        <w:object w:dxaOrig="7860" w:dyaOrig="7822">
          <v:shape id="_x0000_i1026" type="#_x0000_t75" style="width:294.1pt;height:293.45pt" o:ole="">
            <v:imagedata r:id="rId16" o:title=""/>
          </v:shape>
          <o:OLEObject Type="Embed" ProgID="CorelDRAW.Graphic.14" ShapeID="_x0000_i1026" DrawAspect="Content" ObjectID="_1560711284" r:id="rId17"/>
        </w:object>
      </w:r>
    </w:p>
    <w:p w:rsidR="00922B8B" w:rsidRDefault="00922B8B" w:rsidP="00922B8B">
      <w:pPr>
        <w:pStyle w:val="Heading4"/>
        <w:rPr>
          <w:lang w:val="en-US"/>
        </w:rPr>
      </w:pPr>
      <w:bookmarkStart w:id="105" w:name="_Toc393687589"/>
      <w:bookmarkStart w:id="106" w:name="_Toc394112307"/>
      <w:r>
        <w:rPr>
          <w:lang w:val="en-US"/>
        </w:rPr>
        <w:lastRenderedPageBreak/>
        <w:t>3.2.1.1</w:t>
      </w:r>
      <w:r>
        <w:rPr>
          <w:lang w:val="en-US"/>
        </w:rPr>
        <w:tab/>
        <w:t>Direct conducted approach</w:t>
      </w:r>
      <w:bookmarkEnd w:id="105"/>
      <w:bookmarkEnd w:id="106"/>
    </w:p>
    <w:p w:rsidR="00922B8B" w:rsidRDefault="00922B8B" w:rsidP="00922B8B">
      <w:pPr>
        <w:rPr>
          <w:lang w:val="en-US"/>
        </w:rPr>
      </w:pPr>
      <w:r>
        <w:rPr>
          <w:lang w:val="en-US"/>
        </w:rPr>
        <w:t xml:space="preserve">In this approach, it is required to calibrate all the measuring components individually (filter(s), coupler, cables), or to calibrate these connecting devices as a whole. In either case, the calibration is performed by using a calibrated adjustable level generator at the input of the measurement receiver. At each frequency, </w:t>
      </w:r>
      <w:r>
        <w:rPr>
          <w:i/>
          <w:lang w:val="en-US"/>
        </w:rPr>
        <w:t>f</w:t>
      </w:r>
      <w:r>
        <w:rPr>
          <w:lang w:val="en-US"/>
        </w:rPr>
        <w:t xml:space="preserve">, the calibration factor </w:t>
      </w:r>
      <w:r>
        <w:rPr>
          <w:i/>
          <w:lang w:val="en-US"/>
        </w:rPr>
        <w:t>k</w:t>
      </w:r>
      <w:r w:rsidRPr="002B7B9D">
        <w:rPr>
          <w:i/>
          <w:iCs/>
          <w:vertAlign w:val="subscript"/>
          <w:lang w:val="en-US"/>
        </w:rPr>
        <w:t>f</w:t>
      </w:r>
      <w:r>
        <w:rPr>
          <w:lang w:val="en-US"/>
        </w:rPr>
        <w:t xml:space="preserve"> is then determined as follows:</w:t>
      </w:r>
    </w:p>
    <w:p w:rsidR="00922B8B" w:rsidRDefault="00922B8B" w:rsidP="00922B8B">
      <w:pPr>
        <w:pStyle w:val="Blanc"/>
      </w:pPr>
    </w:p>
    <w:p w:rsidR="00922B8B" w:rsidRDefault="00922B8B" w:rsidP="00922B8B">
      <w:pPr>
        <w:pStyle w:val="Equation"/>
        <w:rPr>
          <w:lang w:val="en-US"/>
        </w:rPr>
      </w:pPr>
      <w:r>
        <w:rPr>
          <w:lang w:val="en-US"/>
        </w:rPr>
        <w:tab/>
      </w:r>
      <w:r>
        <w:rPr>
          <w:lang w:val="en-US"/>
        </w:rPr>
        <w:tab/>
      </w:r>
      <w:r>
        <w:rPr>
          <w:i/>
          <w:lang w:val="en-US"/>
        </w:rPr>
        <w:t>k</w:t>
      </w:r>
      <w:r w:rsidRPr="002B7B9D">
        <w:rPr>
          <w:i/>
          <w:iCs/>
          <w:vertAlign w:val="subscript"/>
          <w:lang w:val="en-US"/>
        </w:rPr>
        <w:t>f</w:t>
      </w:r>
      <w:r>
        <w:rPr>
          <w:lang w:val="en-US"/>
        </w:rPr>
        <w:t xml:space="preserve">  </w:t>
      </w:r>
      <w:r>
        <w:rPr>
          <w:rFonts w:ascii="Symbol" w:hAnsi="Symbol"/>
        </w:rPr>
        <w:t></w:t>
      </w:r>
      <w:r>
        <w:rPr>
          <w:lang w:val="en-US"/>
        </w:rPr>
        <w:t xml:space="preserve">   </w:t>
      </w:r>
      <w:r>
        <w:rPr>
          <w:i/>
          <w:lang w:val="en-US"/>
        </w:rPr>
        <w:t>I</w:t>
      </w:r>
      <w:r w:rsidRPr="002B7B9D">
        <w:rPr>
          <w:i/>
          <w:iCs/>
          <w:vertAlign w:val="subscript"/>
          <w:lang w:val="en-US"/>
        </w:rPr>
        <w:t>f</w:t>
      </w:r>
      <w:r>
        <w:rPr>
          <w:lang w:val="en-US"/>
        </w:rPr>
        <w:t xml:space="preserve">  – </w:t>
      </w:r>
      <w:r>
        <w:rPr>
          <w:i/>
          <w:lang w:val="en-US"/>
        </w:rPr>
        <w:t>O</w:t>
      </w:r>
      <w:r w:rsidRPr="002B7B9D">
        <w:rPr>
          <w:i/>
          <w:iCs/>
          <w:vertAlign w:val="subscript"/>
          <w:lang w:val="en-US"/>
        </w:rPr>
        <w:t>f</w:t>
      </w:r>
    </w:p>
    <w:p w:rsidR="00922B8B" w:rsidRDefault="00922B8B" w:rsidP="00922B8B">
      <w:pPr>
        <w:rPr>
          <w:lang w:val="en-US"/>
        </w:rPr>
      </w:pPr>
      <w:r>
        <w:rPr>
          <w:lang w:val="en-US"/>
        </w:rPr>
        <w:t>where:</w:t>
      </w:r>
    </w:p>
    <w:p w:rsidR="00922B8B" w:rsidRDefault="00922B8B" w:rsidP="00922B8B">
      <w:pPr>
        <w:pStyle w:val="Equationlegend"/>
      </w:pPr>
      <w:r>
        <w:tab/>
      </w:r>
      <w:r>
        <w:rPr>
          <w:i/>
        </w:rPr>
        <w:t>k</w:t>
      </w:r>
      <w:r>
        <w:rPr>
          <w:i/>
          <w:iCs/>
          <w:vertAlign w:val="subscript"/>
        </w:rPr>
        <w:t>f</w:t>
      </w:r>
      <w:r>
        <w:rPr>
          <w:rFonts w:ascii="Tms Rmn" w:hAnsi="Tms Rmn"/>
          <w:sz w:val="12"/>
        </w:rPr>
        <w:t> </w:t>
      </w:r>
      <w:r>
        <w:t>:</w:t>
      </w:r>
      <w:r>
        <w:tab/>
        <w:t xml:space="preserve">calibration factor (dB) at the frequency, </w:t>
      </w:r>
      <w:r>
        <w:rPr>
          <w:i/>
        </w:rPr>
        <w:t>f</w:t>
      </w:r>
    </w:p>
    <w:p w:rsidR="00922B8B" w:rsidRDefault="00922B8B" w:rsidP="00922B8B">
      <w:pPr>
        <w:pStyle w:val="Equationlegend"/>
      </w:pPr>
      <w:r>
        <w:tab/>
      </w:r>
      <w:r>
        <w:rPr>
          <w:i/>
        </w:rPr>
        <w:t>I</w:t>
      </w:r>
      <w:r>
        <w:rPr>
          <w:i/>
          <w:iCs/>
          <w:vertAlign w:val="subscript"/>
        </w:rPr>
        <w:t>f</w:t>
      </w:r>
      <w:r>
        <w:rPr>
          <w:rFonts w:ascii="Tms Rmn" w:hAnsi="Tms Rmn"/>
          <w:sz w:val="12"/>
        </w:rPr>
        <w:t> </w:t>
      </w:r>
      <w:r>
        <w:t>:</w:t>
      </w:r>
      <w:r>
        <w:tab/>
        <w:t>input power (delivered by the calibrated generator) (dBW) or (dBm), at the frequency, </w:t>
      </w:r>
      <w:r>
        <w:rPr>
          <w:i/>
        </w:rPr>
        <w:t>f</w:t>
      </w:r>
    </w:p>
    <w:p w:rsidR="00922B8B" w:rsidRDefault="00922B8B" w:rsidP="00922B8B">
      <w:pPr>
        <w:pStyle w:val="Equationlegend"/>
      </w:pPr>
      <w:r>
        <w:tab/>
      </w:r>
      <w:r>
        <w:rPr>
          <w:i/>
        </w:rPr>
        <w:t>O</w:t>
      </w:r>
      <w:r>
        <w:rPr>
          <w:i/>
          <w:iCs/>
          <w:vertAlign w:val="subscript"/>
        </w:rPr>
        <w:t>f</w:t>
      </w:r>
      <w:r>
        <w:rPr>
          <w:rFonts w:ascii="Tms Rmn" w:hAnsi="Tms Rmn"/>
          <w:sz w:val="12"/>
        </w:rPr>
        <w:t> </w:t>
      </w:r>
      <w:r>
        <w:t>:</w:t>
      </w:r>
      <w:r>
        <w:tab/>
        <w:t>output power (determined by the measurement receiver) in the same unit as </w:t>
      </w:r>
      <w:r>
        <w:rPr>
          <w:i/>
        </w:rPr>
        <w:t>I</w:t>
      </w:r>
      <w:r>
        <w:rPr>
          <w:i/>
          <w:iCs/>
          <w:vertAlign w:val="subscript"/>
        </w:rPr>
        <w:t>f</w:t>
      </w:r>
      <w:r>
        <w:t>, at the frequency, </w:t>
      </w:r>
      <w:r>
        <w:rPr>
          <w:i/>
        </w:rPr>
        <w:t>f</w:t>
      </w:r>
      <w:r>
        <w:t>.</w:t>
      </w:r>
    </w:p>
    <w:p w:rsidR="00922B8B" w:rsidRDefault="00922B8B" w:rsidP="00922B8B">
      <w:pPr>
        <w:rPr>
          <w:lang w:val="en-US"/>
        </w:rPr>
      </w:pPr>
      <w:r>
        <w:rPr>
          <w:lang w:val="en-US"/>
        </w:rPr>
        <w:t>This calibration factor represents the total insertion loss of all the devices connected between the generator and the measurement receiver.</w:t>
      </w:r>
    </w:p>
    <w:p w:rsidR="00922B8B" w:rsidRDefault="00922B8B" w:rsidP="00922B8B">
      <w:pPr>
        <w:rPr>
          <w:lang w:val="en-US"/>
        </w:rPr>
      </w:pPr>
      <w:r>
        <w:rPr>
          <w:lang w:val="en-US"/>
        </w:rPr>
        <w:t>If making individual device calibration measurements, calibration of the whole measurement set-up is derived by using the following formula:</w:t>
      </w:r>
    </w:p>
    <w:p w:rsidR="00922B8B" w:rsidRDefault="00922B8B" w:rsidP="00922B8B">
      <w:pPr>
        <w:pStyle w:val="Blanc"/>
      </w:pPr>
    </w:p>
    <w:p w:rsidR="00922B8B" w:rsidRDefault="00922B8B" w:rsidP="00922B8B">
      <w:pPr>
        <w:pStyle w:val="Equation"/>
        <w:rPr>
          <w:lang w:val="es-ES"/>
        </w:rPr>
      </w:pPr>
      <w:r>
        <w:rPr>
          <w:lang w:val="en-US"/>
        </w:rPr>
        <w:tab/>
      </w:r>
      <w:r>
        <w:rPr>
          <w:lang w:val="en-US"/>
        </w:rPr>
        <w:tab/>
      </w:r>
      <w:r w:rsidRPr="00E439F3">
        <w:rPr>
          <w:position w:val="-34"/>
          <w:lang w:val="es-ES"/>
        </w:rPr>
        <w:object w:dxaOrig="1560" w:dyaOrig="600">
          <v:shape id="_x0000_i1027" type="#_x0000_t75" style="width:77.45pt;height:29.9pt" o:ole="">
            <v:imagedata r:id="rId18" o:title=""/>
          </v:shape>
          <o:OLEObject Type="Embed" ProgID="Equation.3" ShapeID="_x0000_i1027" DrawAspect="Content" ObjectID="_1560711285" r:id="rId19"/>
        </w:object>
      </w:r>
    </w:p>
    <w:p w:rsidR="00922B8B" w:rsidRDefault="00922B8B" w:rsidP="00922B8B">
      <w:pPr>
        <w:spacing w:before="0"/>
        <w:rPr>
          <w:lang w:val="en-US"/>
        </w:rPr>
      </w:pPr>
      <w:r>
        <w:rPr>
          <w:lang w:val="en-US"/>
        </w:rPr>
        <w:t>where:</w:t>
      </w:r>
    </w:p>
    <w:p w:rsidR="00922B8B" w:rsidRDefault="00922B8B" w:rsidP="00922B8B">
      <w:pPr>
        <w:pStyle w:val="Equationlegend"/>
      </w:pPr>
      <w:r>
        <w:tab/>
      </w:r>
      <w:r>
        <w:rPr>
          <w:i/>
        </w:rPr>
        <w:t>k</w:t>
      </w:r>
      <w:r>
        <w:rPr>
          <w:i/>
          <w:iCs/>
          <w:vertAlign w:val="subscript"/>
        </w:rPr>
        <w:t>ms, f</w:t>
      </w:r>
      <w:r>
        <w:rPr>
          <w:rFonts w:ascii="Tms Rmn" w:hAnsi="Tms Rmn"/>
          <w:i/>
          <w:iCs/>
          <w:position w:val="-4"/>
          <w:sz w:val="12"/>
        </w:rPr>
        <w:t> </w:t>
      </w:r>
      <w:r>
        <w:t>:</w:t>
      </w:r>
      <w:r>
        <w:tab/>
        <w:t xml:space="preserve">calibration factor (dB) of the measurement set-up, at the frequency, </w:t>
      </w:r>
      <w:r>
        <w:rPr>
          <w:i/>
        </w:rPr>
        <w:t>f</w:t>
      </w:r>
    </w:p>
    <w:p w:rsidR="00922B8B" w:rsidRDefault="00922B8B" w:rsidP="00922B8B">
      <w:pPr>
        <w:pStyle w:val="Equationlegend"/>
      </w:pPr>
      <w:r>
        <w:tab/>
      </w:r>
      <w:r>
        <w:rPr>
          <w:i/>
        </w:rPr>
        <w:t>k</w:t>
      </w:r>
      <w:r>
        <w:rPr>
          <w:i/>
          <w:iCs/>
          <w:vertAlign w:val="subscript"/>
        </w:rPr>
        <w:t>i, f</w:t>
      </w:r>
      <w:r>
        <w:rPr>
          <w:rFonts w:ascii="Tms Rmn" w:hAnsi="Tms Rmn"/>
          <w:i/>
          <w:iCs/>
          <w:position w:val="-4"/>
          <w:sz w:val="12"/>
        </w:rPr>
        <w:t> </w:t>
      </w:r>
      <w:r>
        <w:t>:</w:t>
      </w:r>
      <w:r>
        <w:tab/>
        <w:t>individual calibration factor (dB) of each device in the measurement chain, at the frequency, </w:t>
      </w:r>
      <w:r>
        <w:rPr>
          <w:i/>
        </w:rPr>
        <w:t>f</w:t>
      </w:r>
      <w:r>
        <w:t>.</w:t>
      </w:r>
    </w:p>
    <w:p w:rsidR="00922B8B" w:rsidRDefault="00922B8B" w:rsidP="00922B8B">
      <w:pPr>
        <w:rPr>
          <w:lang w:val="en-US"/>
        </w:rPr>
      </w:pPr>
      <w:r>
        <w:rPr>
          <w:lang w:val="en-US"/>
        </w:rPr>
        <w:t xml:space="preserve">During measurement of actual spurious levels, </w:t>
      </w:r>
      <w:r>
        <w:rPr>
          <w:i/>
          <w:lang w:val="en-US"/>
        </w:rPr>
        <w:t>P</w:t>
      </w:r>
      <w:r>
        <w:rPr>
          <w:i/>
          <w:iCs/>
          <w:vertAlign w:val="subscript"/>
          <w:lang w:val="en-US"/>
        </w:rPr>
        <w:t>r, f</w:t>
      </w:r>
      <w:r>
        <w:rPr>
          <w:lang w:val="en-US"/>
        </w:rPr>
        <w:t xml:space="preserve"> (dBW) or (dBm) is the power (read on the measuring receiver) from the spurious domain emission at the frequency, </w:t>
      </w:r>
      <w:r>
        <w:rPr>
          <w:i/>
          <w:lang w:val="en-US"/>
        </w:rPr>
        <w:t>f</w:t>
      </w:r>
      <w:r>
        <w:rPr>
          <w:lang w:val="en-US"/>
        </w:rPr>
        <w:t xml:space="preserve">, the spurious domain emission power, </w:t>
      </w:r>
      <w:r>
        <w:rPr>
          <w:i/>
          <w:lang w:val="en-US"/>
        </w:rPr>
        <w:t>P</w:t>
      </w:r>
      <w:r>
        <w:rPr>
          <w:i/>
          <w:iCs/>
          <w:vertAlign w:val="subscript"/>
          <w:lang w:val="en-US"/>
        </w:rPr>
        <w:t>s, f</w:t>
      </w:r>
      <w:r>
        <w:rPr>
          <w:sz w:val="8"/>
          <w:lang w:val="en-US"/>
        </w:rPr>
        <w:t> </w:t>
      </w:r>
      <w:r>
        <w:rPr>
          <w:lang w:val="en-US"/>
        </w:rPr>
        <w:t xml:space="preserve"> (same unit as </w:t>
      </w:r>
      <w:r>
        <w:rPr>
          <w:i/>
          <w:lang w:val="en-US"/>
        </w:rPr>
        <w:t>P</w:t>
      </w:r>
      <w:r>
        <w:rPr>
          <w:i/>
          <w:iCs/>
          <w:vertAlign w:val="subscript"/>
          <w:lang w:val="en-US"/>
        </w:rPr>
        <w:t>r, f</w:t>
      </w:r>
      <w:r>
        <w:rPr>
          <w:rFonts w:ascii="Tms Rmn" w:hAnsi="Tms Rmn"/>
          <w:i/>
          <w:iCs/>
          <w:position w:val="-4"/>
          <w:sz w:val="12"/>
          <w:lang w:val="en-US"/>
        </w:rPr>
        <w:t> </w:t>
      </w:r>
      <w:r>
        <w:rPr>
          <w:lang w:val="en-US"/>
        </w:rPr>
        <w:t xml:space="preserve">) at the frequency, </w:t>
      </w:r>
      <w:r>
        <w:rPr>
          <w:i/>
          <w:lang w:val="en-US"/>
        </w:rPr>
        <w:t>f</w:t>
      </w:r>
      <w:r>
        <w:rPr>
          <w:lang w:val="en-US"/>
        </w:rPr>
        <w:t>, is calculated by using the following equation:</w:t>
      </w:r>
    </w:p>
    <w:p w:rsidR="00922B8B" w:rsidRDefault="00922B8B" w:rsidP="00922B8B">
      <w:pPr>
        <w:pStyle w:val="Blanc"/>
      </w:pPr>
    </w:p>
    <w:p w:rsidR="00922B8B" w:rsidRPr="002B7B9D" w:rsidRDefault="00922B8B" w:rsidP="00922B8B">
      <w:pPr>
        <w:pStyle w:val="Equation"/>
        <w:rPr>
          <w:lang w:val="en-US"/>
        </w:rPr>
      </w:pPr>
      <w:r w:rsidRPr="002B7B9D">
        <w:rPr>
          <w:lang w:val="en-US"/>
        </w:rPr>
        <w:tab/>
      </w:r>
      <w:r w:rsidRPr="002B7B9D">
        <w:rPr>
          <w:lang w:val="en-US"/>
        </w:rPr>
        <w:tab/>
      </w:r>
      <w:r w:rsidRPr="002B7B9D">
        <w:rPr>
          <w:i/>
          <w:lang w:val="en-US"/>
        </w:rPr>
        <w:t>P</w:t>
      </w:r>
      <w:r w:rsidRPr="002B7B9D">
        <w:rPr>
          <w:i/>
          <w:iCs/>
          <w:vertAlign w:val="subscript"/>
          <w:lang w:val="en-US"/>
        </w:rPr>
        <w:t>s</w:t>
      </w:r>
      <w:r w:rsidRPr="002B7B9D">
        <w:rPr>
          <w:vertAlign w:val="subscript"/>
          <w:lang w:val="en-US"/>
        </w:rPr>
        <w:t>,</w:t>
      </w:r>
      <w:r w:rsidRPr="002B7B9D">
        <w:rPr>
          <w:i/>
          <w:iCs/>
          <w:vertAlign w:val="subscript"/>
          <w:lang w:val="en-US"/>
        </w:rPr>
        <w:t> f</w:t>
      </w:r>
      <w:r w:rsidRPr="002B7B9D">
        <w:rPr>
          <w:lang w:val="en-US"/>
        </w:rPr>
        <w:t>  </w:t>
      </w:r>
      <w:r>
        <w:rPr>
          <w:rFonts w:ascii="Symbol" w:hAnsi="Symbol"/>
        </w:rPr>
        <w:t></w:t>
      </w:r>
      <w:r w:rsidRPr="002B7B9D">
        <w:rPr>
          <w:lang w:val="en-US"/>
        </w:rPr>
        <w:t> </w:t>
      </w:r>
      <w:r w:rsidRPr="002B7B9D">
        <w:rPr>
          <w:i/>
          <w:lang w:val="en-US"/>
        </w:rPr>
        <w:t>P</w:t>
      </w:r>
      <w:r w:rsidRPr="002B7B9D">
        <w:rPr>
          <w:i/>
          <w:iCs/>
          <w:vertAlign w:val="subscript"/>
          <w:lang w:val="en-US"/>
        </w:rPr>
        <w:t>r</w:t>
      </w:r>
      <w:r w:rsidRPr="002B7B9D">
        <w:rPr>
          <w:vertAlign w:val="subscript"/>
          <w:lang w:val="en-US"/>
        </w:rPr>
        <w:t>,</w:t>
      </w:r>
      <w:r w:rsidRPr="002B7B9D">
        <w:rPr>
          <w:i/>
          <w:iCs/>
          <w:vertAlign w:val="subscript"/>
          <w:lang w:val="en-US"/>
        </w:rPr>
        <w:t> f</w:t>
      </w:r>
      <w:r w:rsidRPr="002B7B9D">
        <w:rPr>
          <w:lang w:val="en-US"/>
        </w:rPr>
        <w:t>  </w:t>
      </w:r>
      <w:r>
        <w:rPr>
          <w:rFonts w:ascii="Symbol" w:hAnsi="Symbol"/>
        </w:rPr>
        <w:t></w:t>
      </w:r>
      <w:r w:rsidRPr="002B7B9D">
        <w:rPr>
          <w:lang w:val="en-US"/>
        </w:rPr>
        <w:t>  </w:t>
      </w:r>
      <w:r w:rsidRPr="002B7B9D">
        <w:rPr>
          <w:i/>
          <w:lang w:val="en-US"/>
        </w:rPr>
        <w:t>k</w:t>
      </w:r>
      <w:r w:rsidRPr="002B7B9D">
        <w:rPr>
          <w:i/>
          <w:iCs/>
          <w:vertAlign w:val="subscript"/>
          <w:lang w:val="en-US"/>
        </w:rPr>
        <w:t>ms</w:t>
      </w:r>
      <w:r w:rsidRPr="002B7B9D">
        <w:rPr>
          <w:vertAlign w:val="subscript"/>
          <w:lang w:val="en-US"/>
        </w:rPr>
        <w:t>,</w:t>
      </w:r>
      <w:r w:rsidRPr="002B7B9D">
        <w:rPr>
          <w:i/>
          <w:iCs/>
          <w:vertAlign w:val="subscript"/>
          <w:lang w:val="en-US"/>
        </w:rPr>
        <w:t> f</w:t>
      </w:r>
    </w:p>
    <w:p w:rsidR="00922B8B" w:rsidRDefault="00922B8B" w:rsidP="00922B8B">
      <w:pPr>
        <w:pStyle w:val="Blanc"/>
      </w:pPr>
    </w:p>
    <w:p w:rsidR="00922B8B" w:rsidRDefault="00922B8B" w:rsidP="00922B8B">
      <w:pPr>
        <w:pStyle w:val="Note"/>
        <w:rPr>
          <w:lang w:val="en-US"/>
        </w:rPr>
      </w:pPr>
      <w:r>
        <w:rPr>
          <w:lang w:val="en-US"/>
        </w:rPr>
        <w:t>NOTE 1 </w:t>
      </w:r>
      <w:r>
        <w:sym w:font="Symbol" w:char="F02D"/>
      </w:r>
      <w:r>
        <w:rPr>
          <w:lang w:val="en-US"/>
        </w:rPr>
        <w:t> Individual component calibration will normally lead to further measurement uncertainty because of mismatch loss.</w:t>
      </w:r>
    </w:p>
    <w:p w:rsidR="00922B8B" w:rsidRDefault="00922B8B" w:rsidP="00922B8B">
      <w:pPr>
        <w:pStyle w:val="Heading3"/>
        <w:rPr>
          <w:lang w:val="en-US"/>
        </w:rPr>
      </w:pPr>
      <w:bookmarkStart w:id="107" w:name="_Toc393687590"/>
      <w:bookmarkStart w:id="108" w:name="_Toc394112308"/>
      <w:r>
        <w:rPr>
          <w:lang w:val="en-US"/>
        </w:rPr>
        <w:t>3.2.1.2</w:t>
      </w:r>
      <w:r>
        <w:rPr>
          <w:lang w:val="en-US"/>
        </w:rPr>
        <w:tab/>
        <w:t>Substitution approach</w:t>
      </w:r>
      <w:bookmarkEnd w:id="107"/>
      <w:bookmarkEnd w:id="108"/>
    </w:p>
    <w:p w:rsidR="00922B8B" w:rsidRDefault="00922B8B" w:rsidP="00922B8B">
      <w:pPr>
        <w:rPr>
          <w:lang w:val="en-US"/>
        </w:rPr>
      </w:pPr>
      <w:r>
        <w:rPr>
          <w:lang w:val="en-US"/>
        </w:rPr>
        <w:t>This method does not require calibration of all measuring components. Instead, the spurious output power is recorded from the measuring device. Then this power level is matched by a signal from a calibrated signal generator which is substituted for the EUT. The power supplied by the generator is then equal to the power of the spurious domain emission.</w:t>
      </w:r>
    </w:p>
    <w:p w:rsidR="00922B8B" w:rsidRDefault="00922B8B" w:rsidP="00922B8B">
      <w:pPr>
        <w:pStyle w:val="Heading2"/>
        <w:rPr>
          <w:lang w:val="en-US"/>
        </w:rPr>
      </w:pPr>
      <w:r>
        <w:rPr>
          <w:lang w:val="en-US"/>
        </w:rPr>
        <w:t>3.2.2</w:t>
      </w:r>
      <w:r>
        <w:rPr>
          <w:lang w:val="en-US"/>
        </w:rPr>
        <w:tab/>
        <w:t>Method 1b – Measurement without a fundamental rejection filter</w:t>
      </w:r>
    </w:p>
    <w:p w:rsidR="00922B8B" w:rsidRDefault="00922B8B" w:rsidP="00922B8B">
      <w:pPr>
        <w:rPr>
          <w:lang w:val="en-US"/>
        </w:rPr>
      </w:pPr>
      <w:r>
        <w:rPr>
          <w:lang w:val="en-US"/>
        </w:rPr>
        <w:t>This approach provides an easy way of making a measurement in cases where no fundamental rejection filter is available. The block diagram of the measurement set-up for the spurious domain emission power to the antenna port is shown in Fig. 1b.</w:t>
      </w:r>
    </w:p>
    <w:p w:rsidR="004D27B4" w:rsidRDefault="004D27B4" w:rsidP="004D27B4">
      <w:pPr>
        <w:pStyle w:val="FigureNo"/>
        <w:rPr>
          <w:lang w:val="en-US"/>
        </w:rPr>
      </w:pPr>
      <w:r>
        <w:rPr>
          <w:lang w:val="en-US"/>
        </w:rPr>
        <w:lastRenderedPageBreak/>
        <w:t>Figure 1</w:t>
      </w:r>
      <w:r>
        <w:rPr>
          <w:caps w:val="0"/>
          <w:lang w:val="en-US"/>
        </w:rPr>
        <w:t>b</w:t>
      </w:r>
    </w:p>
    <w:p w:rsidR="004D27B4" w:rsidRPr="004D27B4" w:rsidRDefault="004D27B4" w:rsidP="004D27B4">
      <w:pPr>
        <w:pStyle w:val="Figuretitle"/>
        <w:rPr>
          <w:lang w:val="en-US"/>
        </w:rPr>
      </w:pPr>
      <w:r w:rsidRPr="004D27B4">
        <w:rPr>
          <w:lang w:val="en-US"/>
        </w:rPr>
        <w:t>Method 1b: Measurement set-up for the spurious domain emission power</w:t>
      </w:r>
      <w:r>
        <w:rPr>
          <w:lang w:val="en-US"/>
        </w:rPr>
        <w:br/>
      </w:r>
      <w:r w:rsidRPr="004D27B4">
        <w:rPr>
          <w:lang w:val="en-US"/>
        </w:rPr>
        <w:t>to the antenna port without using a fundamental rejection filter</w:t>
      </w:r>
    </w:p>
    <w:p w:rsidR="00922B8B" w:rsidRPr="004D27B4" w:rsidRDefault="00784A20" w:rsidP="00922B8B">
      <w:pPr>
        <w:pStyle w:val="FigureNo"/>
        <w:rPr>
          <w:lang w:val="en-US"/>
        </w:rPr>
      </w:pPr>
      <w:r>
        <w:object w:dxaOrig="7854" w:dyaOrig="7822">
          <v:shape id="_x0000_i1028" type="#_x0000_t75" style="width:294.1pt;height:292.75pt" o:ole="">
            <v:imagedata r:id="rId20" o:title=""/>
          </v:shape>
          <o:OLEObject Type="Embed" ProgID="CorelDRAW.Graphic.14" ShapeID="_x0000_i1028" DrawAspect="Content" ObjectID="_1560711286" r:id="rId21"/>
        </w:object>
      </w:r>
    </w:p>
    <w:p w:rsidR="00922B8B" w:rsidRDefault="00922B8B" w:rsidP="00922B8B">
      <w:pPr>
        <w:rPr>
          <w:lang w:val="en-US"/>
        </w:rPr>
      </w:pPr>
    </w:p>
    <w:p w:rsidR="00922B8B" w:rsidRDefault="00922B8B" w:rsidP="00922B8B">
      <w:pPr>
        <w:pStyle w:val="Heading4"/>
        <w:rPr>
          <w:lang w:val="en-US"/>
        </w:rPr>
      </w:pPr>
      <w:r>
        <w:rPr>
          <w:lang w:val="en-US"/>
        </w:rPr>
        <w:t>3.2.2.1</w:t>
      </w:r>
      <w:r>
        <w:rPr>
          <w:lang w:val="en-US"/>
        </w:rPr>
        <w:tab/>
        <w:t>Direct conducted approach</w:t>
      </w:r>
    </w:p>
    <w:p w:rsidR="00922B8B" w:rsidRDefault="00922B8B" w:rsidP="00922B8B">
      <w:pPr>
        <w:rPr>
          <w:lang w:val="en-US"/>
        </w:rPr>
      </w:pPr>
      <w:r>
        <w:rPr>
          <w:lang w:val="en-US"/>
        </w:rPr>
        <w:t>The measurement result can be directly given by using the following procedure:</w:t>
      </w:r>
    </w:p>
    <w:p w:rsidR="00922B8B" w:rsidRDefault="00922B8B" w:rsidP="00922B8B">
      <w:pPr>
        <w:pStyle w:val="enumlev1"/>
        <w:rPr>
          <w:lang w:val="en-US"/>
        </w:rPr>
      </w:pPr>
      <w:r>
        <w:rPr>
          <w:lang w:val="en-US"/>
        </w:rPr>
        <w:t>a)</w:t>
      </w:r>
      <w:r>
        <w:rPr>
          <w:lang w:val="en-US"/>
        </w:rPr>
        <w:tab/>
        <w:t>Measuring the relative level for the type of equipment in Category A</w:t>
      </w:r>
    </w:p>
    <w:p w:rsidR="00922B8B" w:rsidRDefault="00922B8B" w:rsidP="00922B8B">
      <w:pPr>
        <w:pStyle w:val="enumlev1"/>
        <w:rPr>
          <w:lang w:val="en-US"/>
        </w:rPr>
      </w:pPr>
      <w:r>
        <w:rPr>
          <w:lang w:val="en-US"/>
        </w:rPr>
        <w:tab/>
        <w:t xml:space="preserve">Attenuation relative to total mean or peak envelope power </w:t>
      </w:r>
      <w:r w:rsidR="002609AB">
        <w:rPr>
          <w:lang w:val="en-US"/>
        </w:rPr>
        <w:t>=</w:t>
      </w:r>
      <w:r>
        <w:rPr>
          <w:lang w:val="en-US"/>
        </w:rPr>
        <w:t xml:space="preserve"> </w:t>
      </w:r>
      <w:r>
        <w:rPr>
          <w:i/>
          <w:iCs/>
          <w:lang w:val="en-US"/>
        </w:rPr>
        <w:t>B</w:t>
      </w:r>
      <w:r>
        <w:rPr>
          <w:lang w:val="en-US"/>
        </w:rPr>
        <w:t xml:space="preserve"> – </w:t>
      </w:r>
      <w:r>
        <w:rPr>
          <w:i/>
          <w:iCs/>
          <w:lang w:val="en-US"/>
        </w:rPr>
        <w:t>D</w:t>
      </w:r>
    </w:p>
    <w:p w:rsidR="00922B8B" w:rsidRDefault="00922B8B" w:rsidP="00922B8B">
      <w:pPr>
        <w:pStyle w:val="enumlev1"/>
        <w:rPr>
          <w:lang w:val="en-US"/>
        </w:rPr>
      </w:pPr>
      <w:r>
        <w:rPr>
          <w:lang w:val="en-US"/>
        </w:rPr>
        <w:tab/>
        <w:t>where:</w:t>
      </w:r>
    </w:p>
    <w:p w:rsidR="00922B8B" w:rsidRDefault="00922B8B" w:rsidP="00922B8B">
      <w:pPr>
        <w:pStyle w:val="enumlev2"/>
        <w:rPr>
          <w:lang w:val="en-US"/>
        </w:rPr>
      </w:pPr>
      <w:r>
        <w:rPr>
          <w:i/>
          <w:iCs/>
          <w:lang w:val="en-US"/>
        </w:rPr>
        <w:t>B</w:t>
      </w:r>
      <w:r>
        <w:rPr>
          <w:lang w:val="en-US"/>
        </w:rPr>
        <w:t>:</w:t>
      </w:r>
      <w:r>
        <w:rPr>
          <w:lang w:val="en-US"/>
        </w:rPr>
        <w:tab/>
        <w:t>mean or peak envelope power of the fundamental emission read on the measuring receiver</w:t>
      </w:r>
    </w:p>
    <w:p w:rsidR="00922B8B" w:rsidRDefault="00922B8B" w:rsidP="00922B8B">
      <w:pPr>
        <w:pStyle w:val="enumlev2"/>
        <w:rPr>
          <w:lang w:val="en-US"/>
        </w:rPr>
      </w:pPr>
      <w:r>
        <w:rPr>
          <w:i/>
          <w:iCs/>
          <w:lang w:val="en-US"/>
        </w:rPr>
        <w:t>D</w:t>
      </w:r>
      <w:r>
        <w:rPr>
          <w:lang w:val="en-US"/>
        </w:rPr>
        <w:t>:</w:t>
      </w:r>
      <w:r>
        <w:rPr>
          <w:lang w:val="en-US"/>
        </w:rPr>
        <w:tab/>
        <w:t>maximum power of the spurious domain emission read on the measuring receiver; the value of (</w:t>
      </w:r>
      <w:r>
        <w:rPr>
          <w:i/>
          <w:iCs/>
          <w:lang w:val="en-US"/>
        </w:rPr>
        <w:t>B</w:t>
      </w:r>
      <w:r>
        <w:rPr>
          <w:lang w:val="en-US"/>
        </w:rPr>
        <w:t xml:space="preserve"> – </w:t>
      </w:r>
      <w:r>
        <w:rPr>
          <w:i/>
          <w:iCs/>
          <w:lang w:val="en-US"/>
        </w:rPr>
        <w:t>D</w:t>
      </w:r>
      <w:r>
        <w:rPr>
          <w:lang w:val="en-US"/>
        </w:rPr>
        <w:t>) can be directly compared with the relative limits in Category A.</w:t>
      </w:r>
    </w:p>
    <w:p w:rsidR="00922B8B" w:rsidRDefault="00922B8B" w:rsidP="00922B8B">
      <w:pPr>
        <w:pStyle w:val="enumlev1"/>
        <w:rPr>
          <w:lang w:val="en-US"/>
        </w:rPr>
      </w:pPr>
      <w:r>
        <w:rPr>
          <w:lang w:val="en-US"/>
        </w:rPr>
        <w:t>b)</w:t>
      </w:r>
      <w:r>
        <w:rPr>
          <w:lang w:val="en-US"/>
        </w:rPr>
        <w:tab/>
        <w:t>Measuring the absolute level for types of equipment in Category A and B</w:t>
      </w:r>
    </w:p>
    <w:p w:rsidR="00922B8B" w:rsidRDefault="00922B8B" w:rsidP="002609AB">
      <w:pPr>
        <w:pStyle w:val="enumlev1"/>
        <w:rPr>
          <w:lang w:val="en-US"/>
        </w:rPr>
      </w:pPr>
      <w:r>
        <w:rPr>
          <w:lang w:val="en-US"/>
        </w:rPr>
        <w:tab/>
        <w:t xml:space="preserve">The spurious domain emission power </w:t>
      </w:r>
      <w:r w:rsidR="002609AB">
        <w:rPr>
          <w:lang w:val="en-US"/>
        </w:rPr>
        <w:t>=</w:t>
      </w:r>
      <w:r>
        <w:rPr>
          <w:lang w:val="en-US"/>
        </w:rPr>
        <w:t xml:space="preserve"> </w:t>
      </w:r>
      <w:r>
        <w:rPr>
          <w:i/>
          <w:iCs/>
          <w:lang w:val="en-US"/>
        </w:rPr>
        <w:t>D</w:t>
      </w:r>
      <w:r>
        <w:rPr>
          <w:lang w:val="en-US"/>
        </w:rPr>
        <w:t xml:space="preserve"> </w:t>
      </w:r>
      <w:r w:rsidR="002609AB">
        <w:rPr>
          <w:lang w:val="en-US"/>
        </w:rPr>
        <w:t>+</w:t>
      </w:r>
      <w:r>
        <w:rPr>
          <w:lang w:val="en-US"/>
        </w:rPr>
        <w:t xml:space="preserve"> </w:t>
      </w:r>
      <w:r>
        <w:rPr>
          <w:i/>
          <w:iCs/>
          <w:lang w:val="en-US"/>
        </w:rPr>
        <w:t>C</w:t>
      </w:r>
    </w:p>
    <w:p w:rsidR="00922B8B" w:rsidRDefault="00922B8B" w:rsidP="00922B8B">
      <w:pPr>
        <w:pStyle w:val="enumlev1"/>
        <w:rPr>
          <w:lang w:val="en-US"/>
        </w:rPr>
      </w:pPr>
      <w:r>
        <w:rPr>
          <w:lang w:val="en-US"/>
        </w:rPr>
        <w:tab/>
        <w:t>where:</w:t>
      </w:r>
    </w:p>
    <w:p w:rsidR="00922B8B" w:rsidRDefault="00922B8B" w:rsidP="00922B8B">
      <w:pPr>
        <w:pStyle w:val="enumlev2"/>
        <w:rPr>
          <w:lang w:val="en-US"/>
        </w:rPr>
      </w:pPr>
      <w:r>
        <w:rPr>
          <w:i/>
          <w:iCs/>
          <w:lang w:val="en-US"/>
        </w:rPr>
        <w:t>C</w:t>
      </w:r>
      <w:r>
        <w:rPr>
          <w:lang w:val="en-US"/>
        </w:rPr>
        <w:t>:</w:t>
      </w:r>
      <w:r>
        <w:rPr>
          <w:lang w:val="en-US"/>
        </w:rPr>
        <w:tab/>
        <w:t>coupling factor of coupling device at the frequency of the spurious domain emission</w:t>
      </w:r>
    </w:p>
    <w:p w:rsidR="00922B8B" w:rsidRDefault="00922B8B" w:rsidP="00922B8B">
      <w:pPr>
        <w:pStyle w:val="enumlev2"/>
        <w:rPr>
          <w:lang w:val="en-US"/>
        </w:rPr>
      </w:pPr>
      <w:r>
        <w:rPr>
          <w:i/>
          <w:iCs/>
          <w:lang w:val="en-US"/>
        </w:rPr>
        <w:t>D</w:t>
      </w:r>
      <w:r>
        <w:rPr>
          <w:lang w:val="en-US"/>
        </w:rPr>
        <w:t>:</w:t>
      </w:r>
      <w:r>
        <w:rPr>
          <w:lang w:val="en-US"/>
        </w:rPr>
        <w:tab/>
        <w:t>maximum power of the spurious domain emission read on the measuring receiver.</w:t>
      </w:r>
    </w:p>
    <w:p w:rsidR="00922B8B" w:rsidRDefault="00922B8B" w:rsidP="002609AB">
      <w:pPr>
        <w:pStyle w:val="enumlev1"/>
        <w:rPr>
          <w:lang w:val="en-US"/>
        </w:rPr>
      </w:pPr>
      <w:r>
        <w:rPr>
          <w:lang w:val="en-US"/>
        </w:rPr>
        <w:tab/>
        <w:t>The value of (</w:t>
      </w:r>
      <w:r>
        <w:rPr>
          <w:i/>
          <w:iCs/>
          <w:lang w:val="en-US"/>
        </w:rPr>
        <w:t>D</w:t>
      </w:r>
      <w:r>
        <w:rPr>
          <w:lang w:val="en-US"/>
        </w:rPr>
        <w:t xml:space="preserve"> </w:t>
      </w:r>
      <w:r w:rsidR="002609AB">
        <w:rPr>
          <w:lang w:val="en-US"/>
        </w:rPr>
        <w:t>+</w:t>
      </w:r>
      <w:r>
        <w:rPr>
          <w:lang w:val="en-US"/>
        </w:rPr>
        <w:t xml:space="preserve"> </w:t>
      </w:r>
      <w:r>
        <w:rPr>
          <w:i/>
          <w:iCs/>
          <w:lang w:val="en-US"/>
        </w:rPr>
        <w:t>C</w:t>
      </w:r>
      <w:r>
        <w:rPr>
          <w:lang w:val="en-US"/>
        </w:rPr>
        <w:t>) can be directly compared with absolute limits in Category A and B.</w:t>
      </w:r>
    </w:p>
    <w:p w:rsidR="00922B8B" w:rsidRDefault="00922B8B" w:rsidP="00922B8B">
      <w:pPr>
        <w:pStyle w:val="Heading4"/>
        <w:rPr>
          <w:lang w:val="en-US"/>
        </w:rPr>
      </w:pPr>
      <w:r>
        <w:rPr>
          <w:lang w:val="en-US"/>
        </w:rPr>
        <w:t>3.2.2.2</w:t>
      </w:r>
      <w:r>
        <w:rPr>
          <w:lang w:val="en-US"/>
        </w:rPr>
        <w:tab/>
        <w:t>Substitution approach</w:t>
      </w:r>
    </w:p>
    <w:p w:rsidR="00922B8B" w:rsidRDefault="00922B8B" w:rsidP="00922B8B">
      <w:pPr>
        <w:rPr>
          <w:lang w:val="en-US"/>
        </w:rPr>
      </w:pPr>
      <w:r>
        <w:rPr>
          <w:lang w:val="en-US"/>
        </w:rPr>
        <w:t>Method 1b may also make use of the substitution approach described in § 3.2.1.2 for absolute level measurements.</w:t>
      </w:r>
    </w:p>
    <w:p w:rsidR="00922B8B" w:rsidRDefault="00922B8B" w:rsidP="004D27B4">
      <w:pPr>
        <w:pStyle w:val="Heading2"/>
        <w:rPr>
          <w:lang w:val="en-US"/>
        </w:rPr>
      </w:pPr>
      <w:bookmarkStart w:id="109" w:name="_Toc393687591"/>
      <w:bookmarkStart w:id="110" w:name="_Toc394112309"/>
      <w:r>
        <w:rPr>
          <w:lang w:val="en-US"/>
        </w:rPr>
        <w:lastRenderedPageBreak/>
        <w:t>3.3</w:t>
      </w:r>
      <w:r>
        <w:rPr>
          <w:lang w:val="en-US"/>
        </w:rPr>
        <w:tab/>
        <w:t>Method 2 – Measurement of the spurious domain emission e.i.r.p.</w:t>
      </w:r>
      <w:bookmarkEnd w:id="109"/>
      <w:bookmarkEnd w:id="110"/>
    </w:p>
    <w:p w:rsidR="00922B8B" w:rsidRDefault="00922B8B" w:rsidP="004D27B4">
      <w:pPr>
        <w:keepNext/>
        <w:keepLines/>
        <w:rPr>
          <w:lang w:val="en-US"/>
        </w:rPr>
      </w:pPr>
      <w:r>
        <w:rPr>
          <w:lang w:val="en-US"/>
        </w:rPr>
        <w:t>The block-diagram of the measuring set-up for the spurious domain emission e.i.r.p. is shown in Fig. 2.</w:t>
      </w:r>
    </w:p>
    <w:p w:rsidR="00922B8B" w:rsidRDefault="00922B8B" w:rsidP="00922B8B">
      <w:pPr>
        <w:rPr>
          <w:lang w:val="en-US"/>
        </w:rPr>
      </w:pPr>
      <w:r>
        <w:rPr>
          <w:lang w:val="en-US"/>
        </w:rPr>
        <w:t>The measurements must be made in the far field, which is often difficult for very low frequencies or for certain combinations of frequency and antenna size (e.g. transmissions at 14 GHz using a 1.2 m dish requires about 140 m to reach the far field). The measurements of the e.i.r.p. of the spurious domain emissions in any direction, in several polarizations and for any frequency could be very time consuming, although techniques to check compliance may reduce this workload. The use of this method to measure radars should be guided by Recommendation ITU</w:t>
      </w:r>
      <w:r>
        <w:rPr>
          <w:lang w:val="en-US"/>
        </w:rPr>
        <w:noBreakHyphen/>
        <w:t>R M.1177.</w:t>
      </w:r>
    </w:p>
    <w:p w:rsidR="004D27B4" w:rsidRDefault="004D27B4" w:rsidP="004D27B4">
      <w:pPr>
        <w:pStyle w:val="FigureNo"/>
        <w:rPr>
          <w:lang w:val="en-US"/>
        </w:rPr>
      </w:pPr>
      <w:r>
        <w:rPr>
          <w:lang w:val="en-US"/>
        </w:rPr>
        <w:t>figure 2</w:t>
      </w:r>
    </w:p>
    <w:p w:rsidR="004D27B4" w:rsidRPr="004D27B4" w:rsidRDefault="004D27B4" w:rsidP="004D27B4">
      <w:pPr>
        <w:pStyle w:val="Figuretitle"/>
        <w:rPr>
          <w:lang w:val="en-US"/>
        </w:rPr>
      </w:pPr>
      <w:r w:rsidRPr="004D27B4">
        <w:rPr>
          <w:lang w:val="en-US"/>
        </w:rPr>
        <w:t>Measuring set-up for the spurious domain emission e.i.r.p.</w:t>
      </w:r>
    </w:p>
    <w:p w:rsidR="004D27B4" w:rsidRPr="004D27B4" w:rsidRDefault="004D27B4" w:rsidP="00784A20">
      <w:pPr>
        <w:pStyle w:val="FigureNo"/>
      </w:pPr>
      <w:r>
        <w:object w:dxaOrig="10826" w:dyaOrig="6394">
          <v:shape id="_x0000_i1029" type="#_x0000_t75" style="width:406.2pt;height:239.75pt" o:ole="">
            <v:imagedata r:id="rId22" o:title=""/>
          </v:shape>
          <o:OLEObject Type="Embed" ProgID="CorelDRAW.Graphic.14" ShapeID="_x0000_i1029" DrawAspect="Content" ObjectID="_1560711287" r:id="rId23"/>
        </w:object>
      </w:r>
    </w:p>
    <w:p w:rsidR="00922B8B" w:rsidRDefault="00922B8B" w:rsidP="00922B8B">
      <w:pPr>
        <w:pStyle w:val="Heading3"/>
        <w:rPr>
          <w:lang w:val="en-US"/>
        </w:rPr>
      </w:pPr>
      <w:bookmarkStart w:id="111" w:name="_Toc393687592"/>
      <w:bookmarkStart w:id="112" w:name="_Toc394112310"/>
      <w:r>
        <w:rPr>
          <w:lang w:val="en-US"/>
        </w:rPr>
        <w:t>3.3.1</w:t>
      </w:r>
      <w:r>
        <w:rPr>
          <w:lang w:val="en-US"/>
        </w:rPr>
        <w:tab/>
        <w:t>Measurement sites for radiated measurements</w:t>
      </w:r>
      <w:bookmarkEnd w:id="111"/>
      <w:bookmarkEnd w:id="112"/>
    </w:p>
    <w:p w:rsidR="00922B8B" w:rsidRDefault="00922B8B" w:rsidP="002609AB">
      <w:pPr>
        <w:rPr>
          <w:lang w:val="en-US"/>
        </w:rPr>
      </w:pPr>
      <w:r>
        <w:rPr>
          <w:lang w:val="en-US"/>
        </w:rPr>
        <w:t>In the frequency range 30 to 1</w:t>
      </w:r>
      <w:r>
        <w:rPr>
          <w:rFonts w:ascii="Tms Rmn" w:hAnsi="Tms Rmn"/>
          <w:sz w:val="12"/>
          <w:lang w:val="en-US"/>
        </w:rPr>
        <w:t> </w:t>
      </w:r>
      <w:r>
        <w:rPr>
          <w:lang w:val="en-US"/>
        </w:rPr>
        <w:t xml:space="preserve">000 MHz, test sites shall be validated by making site attenuation measurements for both horizontal and vertical polarization fields. A measurement site shall be considered acceptable if the horizontal and vertical site attenuation measurements are within </w:t>
      </w:r>
      <w:r w:rsidR="002609AB">
        <w:rPr>
          <w:lang w:val="en-US"/>
        </w:rPr>
        <w:t>±</w:t>
      </w:r>
      <w:r>
        <w:rPr>
          <w:lang w:val="en-US"/>
        </w:rPr>
        <w:t>4 dB of the theoretical site attenuation.</w:t>
      </w:r>
    </w:p>
    <w:p w:rsidR="00922B8B" w:rsidRDefault="00922B8B" w:rsidP="00922B8B">
      <w:pPr>
        <w:rPr>
          <w:lang w:val="en-US"/>
        </w:rPr>
      </w:pPr>
      <w:r>
        <w:rPr>
          <w:lang w:val="en-US"/>
        </w:rPr>
        <w:t>The test site shall characteristically be flat, free of overhead wires and nearby reflecting structures, sufficiently large to permit antenna placement at the specified distance and provide adequate separation between antenna, EUT and reflecting structures. Reflecting structures are defined as those whose construction material is primarily conductive. The test site shall be provided with a horizontal metal ground-plane. The test site shall satisfy the site attenuation requirements of IEC/CISPR Publication No. 16</w:t>
      </w:r>
      <w:r>
        <w:rPr>
          <w:lang w:val="en-US"/>
        </w:rPr>
        <w:noBreakHyphen/>
        <w:t>1 for OATS.</w:t>
      </w:r>
    </w:p>
    <w:p w:rsidR="00922B8B" w:rsidRDefault="00922B8B" w:rsidP="002609AB">
      <w:pPr>
        <w:rPr>
          <w:lang w:val="en-US"/>
        </w:rPr>
      </w:pPr>
      <w:r>
        <w:rPr>
          <w:lang w:val="en-US"/>
        </w:rPr>
        <w:t xml:space="preserve">Tests may also be conducted in a semi-anechoic room (SAR). In that case, the walls and the ceiling of a shielded room are covered with absorber materials that ensure low wave reflection. Validation measurements of such anechoic chambers are very important to ensure that the site attenuation measurements can be performed within the </w:t>
      </w:r>
      <w:r w:rsidR="002609AB">
        <w:rPr>
          <w:lang w:val="en-US"/>
        </w:rPr>
        <w:t>±</w:t>
      </w:r>
      <w:r>
        <w:rPr>
          <w:lang w:val="en-US"/>
        </w:rPr>
        <w:t>4 dB criteria (see also IEC/CISPR Publications Nos. 16-1 and 22).</w:t>
      </w:r>
    </w:p>
    <w:p w:rsidR="00922B8B" w:rsidRDefault="00922B8B" w:rsidP="00922B8B">
      <w:pPr>
        <w:rPr>
          <w:lang w:val="en-US"/>
        </w:rPr>
      </w:pPr>
      <w:r>
        <w:rPr>
          <w:lang w:val="en-US"/>
        </w:rPr>
        <w:lastRenderedPageBreak/>
        <w:t>For both OATS and SAR a conducting ground-plane shall extend at least 1 m beyond the periphery of the EUT and the largest measuring antenna, and cover the entire area between the EUT and the antenna. It should be of metal with no holes or gaps, having dimensions larger than one tenth of the wavelength at the highest frequency of measurement. A larger size conducting ground</w:t>
      </w:r>
      <w:r>
        <w:rPr>
          <w:lang w:val="en-US"/>
        </w:rPr>
        <w:noBreakHyphen/>
        <w:t>plane may be required if the site attenuation requirements of the test site are not satisfied. These requirements are also applicable in the case of semi-anechoic chambers.</w:t>
      </w:r>
    </w:p>
    <w:p w:rsidR="00922B8B" w:rsidRDefault="00922B8B" w:rsidP="00922B8B">
      <w:pPr>
        <w:rPr>
          <w:lang w:val="en-US"/>
        </w:rPr>
      </w:pPr>
      <w:r>
        <w:rPr>
          <w:lang w:val="en-US"/>
        </w:rPr>
        <w:t>Additional equipment is becoming available as the site for spurious domain emission measurements. These are various chambers, such as fully anechoic rooms (FAR), stirred mode chambers (SMC), and transverse electromagnetic (TEM) or Gigahertz TEM (GTEM) systems. The SMC is described in IEC/CISPR Publication No. 16-1. These relatively new measurement systems are not universally accepted as yet by all standardization bodies. Drafts have been published (in Autumn 2000) for IEC 61000-4-20 (TEM) and IEC 61000-4-21 (SMC). The techniques used with these systems should be re</w:t>
      </w:r>
      <w:r>
        <w:rPr>
          <w:lang w:val="en-US"/>
        </w:rPr>
        <w:noBreakHyphen/>
        <w:t>examined when this Recommendation is updated in the future, with a view towards incorporating details of their use.</w:t>
      </w:r>
    </w:p>
    <w:p w:rsidR="00922B8B" w:rsidRDefault="00922B8B" w:rsidP="00922B8B">
      <w:pPr>
        <w:pStyle w:val="Heading3"/>
        <w:rPr>
          <w:lang w:val="en-US"/>
        </w:rPr>
      </w:pPr>
      <w:bookmarkStart w:id="113" w:name="_Toc393687593"/>
      <w:bookmarkStart w:id="114" w:name="_Toc394112311"/>
      <w:r>
        <w:rPr>
          <w:lang w:val="en-US"/>
        </w:rPr>
        <w:t>3.3.2</w:t>
      </w:r>
      <w:r>
        <w:rPr>
          <w:lang w:val="en-US"/>
        </w:rPr>
        <w:tab/>
        <w:t>Direct approach</w:t>
      </w:r>
      <w:bookmarkEnd w:id="113"/>
      <w:bookmarkEnd w:id="114"/>
    </w:p>
    <w:p w:rsidR="00922B8B" w:rsidRDefault="00922B8B" w:rsidP="00922B8B">
      <w:pPr>
        <w:rPr>
          <w:lang w:val="en-US"/>
        </w:rPr>
      </w:pPr>
      <w:r>
        <w:rPr>
          <w:lang w:val="en-US"/>
        </w:rPr>
        <w:t>In this approach, it is required to calibrate all the measuring components individually (filter(s), cables), or to calibrate the whole measuring set. See § 3.2.1 on direct approach for the determination of the calibration factor of the measuring set at the frequency, </w:t>
      </w:r>
      <w:r>
        <w:rPr>
          <w:i/>
          <w:lang w:val="en-US"/>
        </w:rPr>
        <w:t>f</w:t>
      </w:r>
      <w:r>
        <w:rPr>
          <w:lang w:val="en-US"/>
        </w:rPr>
        <w:t>.</w:t>
      </w:r>
    </w:p>
    <w:p w:rsidR="00922B8B" w:rsidRDefault="00922B8B" w:rsidP="00922B8B">
      <w:pPr>
        <w:rPr>
          <w:lang w:val="en-US"/>
        </w:rPr>
      </w:pPr>
      <w:r>
        <w:rPr>
          <w:lang w:val="en-US"/>
        </w:rPr>
        <w:t xml:space="preserve">The spurious domain emission e.i.r.p., </w:t>
      </w:r>
      <w:r>
        <w:rPr>
          <w:i/>
          <w:lang w:val="en-US"/>
        </w:rPr>
        <w:t>P</w:t>
      </w:r>
      <w:r>
        <w:rPr>
          <w:i/>
          <w:iCs/>
          <w:vertAlign w:val="subscript"/>
          <w:lang w:val="en-US"/>
        </w:rPr>
        <w:t>s</w:t>
      </w:r>
      <w:r>
        <w:rPr>
          <w:vertAlign w:val="subscript"/>
          <w:lang w:val="en-US"/>
        </w:rPr>
        <w:t>,</w:t>
      </w:r>
      <w:r>
        <w:rPr>
          <w:i/>
          <w:iCs/>
          <w:vertAlign w:val="subscript"/>
          <w:lang w:val="en-US"/>
        </w:rPr>
        <w:t> f</w:t>
      </w:r>
      <w:r>
        <w:rPr>
          <w:lang w:val="en-US"/>
        </w:rPr>
        <w:t xml:space="preserve">, at the frequency </w:t>
      </w:r>
      <w:r>
        <w:rPr>
          <w:i/>
          <w:lang w:val="en-US"/>
        </w:rPr>
        <w:t>f</w:t>
      </w:r>
      <w:r>
        <w:rPr>
          <w:lang w:val="en-US"/>
        </w:rPr>
        <w:t>, is given for free space conditions by the following equation:</w:t>
      </w:r>
    </w:p>
    <w:p w:rsidR="00922B8B" w:rsidRPr="002B7B9D" w:rsidRDefault="00922B8B" w:rsidP="00922B8B">
      <w:pPr>
        <w:pStyle w:val="Equation"/>
        <w:rPr>
          <w:lang w:val="en-US"/>
        </w:rPr>
      </w:pPr>
      <w:r w:rsidRPr="002B7B9D">
        <w:rPr>
          <w:lang w:val="en-US"/>
        </w:rPr>
        <w:tab/>
      </w:r>
      <w:r w:rsidRPr="002B7B9D">
        <w:rPr>
          <w:lang w:val="en-US"/>
        </w:rPr>
        <w:tab/>
      </w:r>
      <w:r w:rsidRPr="002B7B9D">
        <w:rPr>
          <w:i/>
          <w:lang w:val="en-US"/>
        </w:rPr>
        <w:t>P</w:t>
      </w:r>
      <w:r w:rsidRPr="002B7B9D">
        <w:rPr>
          <w:i/>
          <w:iCs/>
          <w:vertAlign w:val="subscript"/>
          <w:lang w:val="en-US"/>
        </w:rPr>
        <w:t>s</w:t>
      </w:r>
      <w:r w:rsidRPr="002B7B9D">
        <w:rPr>
          <w:vertAlign w:val="subscript"/>
          <w:lang w:val="en-US"/>
        </w:rPr>
        <w:t>,</w:t>
      </w:r>
      <w:r w:rsidRPr="002B7B9D">
        <w:rPr>
          <w:i/>
          <w:iCs/>
          <w:vertAlign w:val="subscript"/>
          <w:lang w:val="en-US"/>
        </w:rPr>
        <w:t xml:space="preserve"> f</w:t>
      </w:r>
      <w:r w:rsidRPr="002B7B9D">
        <w:rPr>
          <w:lang w:val="en-US"/>
        </w:rPr>
        <w:t xml:space="preserve">  </w:t>
      </w:r>
      <w:r>
        <w:rPr>
          <w:rFonts w:ascii="Symbol" w:hAnsi="Symbol"/>
        </w:rPr>
        <w:t></w:t>
      </w:r>
      <w:r w:rsidRPr="002B7B9D">
        <w:rPr>
          <w:lang w:val="en-US"/>
        </w:rPr>
        <w:t xml:space="preserve">  </w:t>
      </w:r>
      <w:r w:rsidRPr="002B7B9D">
        <w:rPr>
          <w:i/>
          <w:lang w:val="en-US"/>
        </w:rPr>
        <w:t>P</w:t>
      </w:r>
      <w:r w:rsidRPr="002B7B9D">
        <w:rPr>
          <w:i/>
          <w:iCs/>
          <w:vertAlign w:val="subscript"/>
          <w:lang w:val="en-US"/>
        </w:rPr>
        <w:t>r</w:t>
      </w:r>
      <w:r w:rsidRPr="002B7B9D">
        <w:rPr>
          <w:vertAlign w:val="subscript"/>
          <w:lang w:val="en-US"/>
        </w:rPr>
        <w:t>,</w:t>
      </w:r>
      <w:r w:rsidRPr="002B7B9D">
        <w:rPr>
          <w:i/>
          <w:iCs/>
          <w:vertAlign w:val="subscript"/>
          <w:lang w:val="en-US"/>
        </w:rPr>
        <w:t xml:space="preserve"> f</w:t>
      </w:r>
      <w:r w:rsidRPr="002B7B9D">
        <w:rPr>
          <w:lang w:val="en-US"/>
        </w:rPr>
        <w:t xml:space="preserve">  </w:t>
      </w:r>
      <w:r>
        <w:rPr>
          <w:rFonts w:ascii="Symbol" w:hAnsi="Symbol"/>
        </w:rPr>
        <w:t></w:t>
      </w:r>
      <w:r w:rsidRPr="002B7B9D">
        <w:rPr>
          <w:lang w:val="en-US"/>
        </w:rPr>
        <w:t xml:space="preserve">  </w:t>
      </w:r>
      <w:r w:rsidRPr="002B7B9D">
        <w:rPr>
          <w:i/>
          <w:lang w:val="en-US"/>
        </w:rPr>
        <w:t>k</w:t>
      </w:r>
      <w:r w:rsidRPr="002B7B9D">
        <w:rPr>
          <w:i/>
          <w:iCs/>
          <w:vertAlign w:val="subscript"/>
          <w:lang w:val="en-US"/>
        </w:rPr>
        <w:t>ms</w:t>
      </w:r>
      <w:r w:rsidRPr="002B7B9D">
        <w:rPr>
          <w:vertAlign w:val="subscript"/>
          <w:lang w:val="en-US"/>
        </w:rPr>
        <w:t>,</w:t>
      </w:r>
      <w:r w:rsidRPr="002B7B9D">
        <w:rPr>
          <w:i/>
          <w:iCs/>
          <w:vertAlign w:val="subscript"/>
          <w:lang w:val="en-US"/>
        </w:rPr>
        <w:t xml:space="preserve"> f</w:t>
      </w:r>
      <w:r w:rsidRPr="002B7B9D">
        <w:rPr>
          <w:lang w:val="en-US"/>
        </w:rPr>
        <w:t xml:space="preserve">  –  </w:t>
      </w:r>
      <w:r w:rsidRPr="002B7B9D">
        <w:rPr>
          <w:i/>
          <w:lang w:val="en-US"/>
        </w:rPr>
        <w:t>G</w:t>
      </w:r>
      <w:r w:rsidRPr="002B7B9D">
        <w:rPr>
          <w:i/>
          <w:iCs/>
          <w:vertAlign w:val="subscript"/>
          <w:lang w:val="en-US"/>
        </w:rPr>
        <w:t>f</w:t>
      </w:r>
      <w:r w:rsidRPr="002B7B9D">
        <w:rPr>
          <w:lang w:val="en-US"/>
        </w:rPr>
        <w:t xml:space="preserve">  </w:t>
      </w:r>
      <w:r>
        <w:rPr>
          <w:rFonts w:ascii="Symbol" w:hAnsi="Symbol"/>
        </w:rPr>
        <w:t></w:t>
      </w:r>
      <w:r w:rsidRPr="002B7B9D">
        <w:rPr>
          <w:lang w:val="en-US"/>
        </w:rPr>
        <w:t xml:space="preserve">  20 log </w:t>
      </w:r>
      <w:r w:rsidRPr="002B7B9D">
        <w:rPr>
          <w:i/>
          <w:lang w:val="en-US"/>
        </w:rPr>
        <w:t>f</w:t>
      </w:r>
      <w:r w:rsidRPr="002B7B9D">
        <w:rPr>
          <w:lang w:val="en-US"/>
        </w:rPr>
        <w:t xml:space="preserve">  </w:t>
      </w:r>
      <w:r>
        <w:rPr>
          <w:rFonts w:ascii="Symbol" w:hAnsi="Symbol"/>
        </w:rPr>
        <w:t></w:t>
      </w:r>
      <w:r w:rsidRPr="002B7B9D">
        <w:rPr>
          <w:lang w:val="en-US"/>
        </w:rPr>
        <w:t xml:space="preserve">  20 log </w:t>
      </w:r>
      <w:r w:rsidRPr="002B7B9D">
        <w:rPr>
          <w:i/>
          <w:lang w:val="en-US"/>
        </w:rPr>
        <w:t>d</w:t>
      </w:r>
      <w:r w:rsidRPr="002B7B9D">
        <w:rPr>
          <w:lang w:val="en-US"/>
        </w:rPr>
        <w:t xml:space="preserve">  –  27.6</w:t>
      </w:r>
    </w:p>
    <w:p w:rsidR="00922B8B" w:rsidRDefault="00922B8B" w:rsidP="00922B8B">
      <w:pPr>
        <w:rPr>
          <w:lang w:val="en-US"/>
        </w:rPr>
      </w:pPr>
      <w:r>
        <w:rPr>
          <w:lang w:val="en-US"/>
        </w:rPr>
        <w:t>where:</w:t>
      </w:r>
    </w:p>
    <w:p w:rsidR="00922B8B" w:rsidRDefault="00922B8B" w:rsidP="00922B8B">
      <w:pPr>
        <w:pStyle w:val="Equationlegend"/>
      </w:pPr>
      <w:r>
        <w:tab/>
      </w:r>
      <w:r>
        <w:rPr>
          <w:i/>
        </w:rPr>
        <w:t>P</w:t>
      </w:r>
      <w:r>
        <w:rPr>
          <w:i/>
          <w:iCs/>
          <w:vertAlign w:val="subscript"/>
        </w:rPr>
        <w:t>r</w:t>
      </w:r>
      <w:r>
        <w:rPr>
          <w:vertAlign w:val="subscript"/>
        </w:rPr>
        <w:t>,</w:t>
      </w:r>
      <w:r>
        <w:rPr>
          <w:i/>
          <w:iCs/>
          <w:vertAlign w:val="subscript"/>
        </w:rPr>
        <w:t> f</w:t>
      </w:r>
      <w:r>
        <w:rPr>
          <w:rFonts w:ascii="Tms Rmn" w:hAnsi="Tms Rmn"/>
          <w:i/>
          <w:iCs/>
          <w:position w:val="-4"/>
          <w:sz w:val="12"/>
        </w:rPr>
        <w:t> </w:t>
      </w:r>
      <w:r>
        <w:t>:</w:t>
      </w:r>
      <w:r>
        <w:tab/>
        <w:t xml:space="preserve">power of the spurious domain emission read on the measuring receiver at the frequency, </w:t>
      </w:r>
      <w:r>
        <w:rPr>
          <w:i/>
        </w:rPr>
        <w:t>f</w:t>
      </w:r>
      <w:r>
        <w:t xml:space="preserve"> (dBW or dBm, same units as </w:t>
      </w:r>
      <w:r>
        <w:rPr>
          <w:i/>
        </w:rPr>
        <w:t>P</w:t>
      </w:r>
      <w:r>
        <w:rPr>
          <w:i/>
          <w:iCs/>
          <w:vertAlign w:val="subscript"/>
        </w:rPr>
        <w:t>s</w:t>
      </w:r>
      <w:r>
        <w:rPr>
          <w:vertAlign w:val="subscript"/>
        </w:rPr>
        <w:t>,</w:t>
      </w:r>
      <w:r>
        <w:rPr>
          <w:i/>
          <w:iCs/>
          <w:vertAlign w:val="subscript"/>
        </w:rPr>
        <w:t> f</w:t>
      </w:r>
      <w:r>
        <w:rPr>
          <w:rFonts w:ascii="Tms Rmn" w:hAnsi="Tms Rmn"/>
          <w:sz w:val="12"/>
        </w:rPr>
        <w:t> </w:t>
      </w:r>
      <w:r>
        <w:t>)</w:t>
      </w:r>
    </w:p>
    <w:p w:rsidR="00922B8B" w:rsidRDefault="00922B8B" w:rsidP="00922B8B">
      <w:pPr>
        <w:pStyle w:val="Equationlegend"/>
      </w:pPr>
      <w:r>
        <w:tab/>
      </w:r>
      <w:r>
        <w:rPr>
          <w:i/>
          <w:iCs/>
        </w:rPr>
        <w:t>k</w:t>
      </w:r>
      <w:r>
        <w:rPr>
          <w:i/>
          <w:iCs/>
          <w:vertAlign w:val="subscript"/>
        </w:rPr>
        <w:t>ms</w:t>
      </w:r>
      <w:r>
        <w:rPr>
          <w:vertAlign w:val="subscript"/>
        </w:rPr>
        <w:t>,</w:t>
      </w:r>
      <w:r>
        <w:rPr>
          <w:i/>
          <w:iCs/>
          <w:vertAlign w:val="subscript"/>
        </w:rPr>
        <w:t> f</w:t>
      </w:r>
      <w:r>
        <w:rPr>
          <w:rFonts w:ascii="Tms Rmn" w:hAnsi="Tms Rmn"/>
          <w:i/>
          <w:iCs/>
          <w:position w:val="-4"/>
          <w:sz w:val="12"/>
        </w:rPr>
        <w:t> </w:t>
      </w:r>
      <w:r>
        <w:t>:</w:t>
      </w:r>
      <w:r>
        <w:tab/>
        <w:t xml:space="preserve">calibration factor of the measuring set-up at the frequency, </w:t>
      </w:r>
      <w:r>
        <w:rPr>
          <w:i/>
        </w:rPr>
        <w:t>f</w:t>
      </w:r>
      <w:r>
        <w:t xml:space="preserve"> (dB), (generally positive)</w:t>
      </w:r>
    </w:p>
    <w:p w:rsidR="00922B8B" w:rsidRDefault="00922B8B" w:rsidP="00922B8B">
      <w:pPr>
        <w:pStyle w:val="Equationlegend"/>
      </w:pPr>
      <w:r>
        <w:tab/>
      </w:r>
      <w:r>
        <w:rPr>
          <w:i/>
        </w:rPr>
        <w:t>G</w:t>
      </w:r>
      <w:r>
        <w:rPr>
          <w:i/>
          <w:iCs/>
          <w:vertAlign w:val="subscript"/>
        </w:rPr>
        <w:t>f</w:t>
      </w:r>
      <w:r>
        <w:rPr>
          <w:sz w:val="12"/>
        </w:rPr>
        <w:t> </w:t>
      </w:r>
      <w:r>
        <w:t>:</w:t>
      </w:r>
      <w:r>
        <w:tab/>
        <w:t xml:space="preserve">gain of the calibrated measuring antenna at the frequency, </w:t>
      </w:r>
      <w:r>
        <w:rPr>
          <w:i/>
        </w:rPr>
        <w:t>f</w:t>
      </w:r>
      <w:r>
        <w:t xml:space="preserve"> (dBi)</w:t>
      </w:r>
    </w:p>
    <w:p w:rsidR="00922B8B" w:rsidRDefault="00922B8B" w:rsidP="00922B8B">
      <w:pPr>
        <w:pStyle w:val="Equationlegend"/>
      </w:pPr>
      <w:r>
        <w:tab/>
      </w:r>
      <w:r>
        <w:rPr>
          <w:i/>
        </w:rPr>
        <w:t>f</w:t>
      </w:r>
      <w:r>
        <w:rPr>
          <w:sz w:val="12"/>
        </w:rPr>
        <w:t> </w:t>
      </w:r>
      <w:r>
        <w:t>:</w:t>
      </w:r>
      <w:r>
        <w:tab/>
        <w:t>frequency of the spurious domain emission (MHz)</w:t>
      </w:r>
    </w:p>
    <w:p w:rsidR="00922B8B" w:rsidRDefault="00922B8B" w:rsidP="00922B8B">
      <w:pPr>
        <w:pStyle w:val="Equationlegend"/>
      </w:pPr>
      <w:r>
        <w:tab/>
      </w:r>
      <w:r>
        <w:rPr>
          <w:i/>
        </w:rPr>
        <w:t>d</w:t>
      </w:r>
      <w:r>
        <w:rPr>
          <w:sz w:val="12"/>
        </w:rPr>
        <w:t> </w:t>
      </w:r>
      <w:r>
        <w:t>:</w:t>
      </w:r>
      <w:r>
        <w:tab/>
        <w:t>distance (m) between the transmitting antenna and the calibrated measuring antenna.</w:t>
      </w:r>
    </w:p>
    <w:p w:rsidR="00922B8B" w:rsidRDefault="00922B8B" w:rsidP="00922B8B">
      <w:pPr>
        <w:rPr>
          <w:lang w:val="en-US"/>
        </w:rPr>
      </w:pPr>
      <w:r>
        <w:rPr>
          <w:lang w:val="en-US"/>
        </w:rPr>
        <w:t>In addition the reflection gain has to be taken into consideration when an OATS is used.</w:t>
      </w:r>
      <w:bookmarkStart w:id="115" w:name="_Toc393687594"/>
      <w:bookmarkStart w:id="116" w:name="_Toc394112312"/>
    </w:p>
    <w:p w:rsidR="00922B8B" w:rsidRDefault="00922B8B" w:rsidP="00922B8B">
      <w:pPr>
        <w:pStyle w:val="Heading3"/>
        <w:rPr>
          <w:lang w:val="en-US"/>
        </w:rPr>
      </w:pPr>
      <w:r>
        <w:rPr>
          <w:lang w:val="en-US"/>
        </w:rPr>
        <w:t>3.3.3</w:t>
      </w:r>
      <w:r>
        <w:rPr>
          <w:lang w:val="en-US"/>
        </w:rPr>
        <w:tab/>
        <w:t>Substitution approach</w:t>
      </w:r>
      <w:bookmarkEnd w:id="115"/>
      <w:bookmarkEnd w:id="116"/>
    </w:p>
    <w:p w:rsidR="00922B8B" w:rsidRDefault="00922B8B" w:rsidP="00922B8B">
      <w:pPr>
        <w:rPr>
          <w:lang w:val="en-US"/>
        </w:rPr>
      </w:pPr>
      <w:r>
        <w:rPr>
          <w:lang w:val="en-US"/>
        </w:rPr>
        <w:t>In this approach, a calibrated substitution antenna and a calibrated generator are used, the test source being adjusted for the same received spurious signal.</w:t>
      </w:r>
    </w:p>
    <w:p w:rsidR="00922B8B" w:rsidRDefault="00922B8B" w:rsidP="00922B8B">
      <w:pPr>
        <w:pStyle w:val="Heading2"/>
        <w:rPr>
          <w:lang w:val="en-US"/>
        </w:rPr>
      </w:pPr>
      <w:bookmarkStart w:id="117" w:name="_Toc393687595"/>
      <w:bookmarkStart w:id="118" w:name="_Toc394112313"/>
      <w:r>
        <w:rPr>
          <w:lang w:val="en-US"/>
        </w:rPr>
        <w:t>3.4</w:t>
      </w:r>
      <w:r>
        <w:rPr>
          <w:lang w:val="en-US"/>
        </w:rPr>
        <w:tab/>
        <w:t>Special cabinet radiation measurement</w:t>
      </w:r>
      <w:bookmarkEnd w:id="117"/>
      <w:bookmarkEnd w:id="118"/>
    </w:p>
    <w:p w:rsidR="00922B8B" w:rsidRDefault="00922B8B" w:rsidP="00922B8B">
      <w:pPr>
        <w:rPr>
          <w:lang w:val="en-US"/>
        </w:rPr>
      </w:pPr>
      <w:r>
        <w:rPr>
          <w:lang w:val="en-US"/>
        </w:rPr>
        <w:t>To provide a means of measuring cabinet radiation, Method 2 can be used to measure transmitter cabinet spurious radiation. This method requires replacing the EUT antenna with a calibrated terminal load, and proceeding with the approaches listed above for Method 2, to obtain case e.i.r.p. The terminating dummy load should be placed in a small, separate shielded enclosure so that re</w:t>
      </w:r>
      <w:r>
        <w:rPr>
          <w:lang w:val="en-US"/>
        </w:rPr>
        <w:noBreakHyphen/>
        <w:t>radiation from the load does not interfere with the measuring of radiation from the cabinet under test. Additionally, connecting cables may radiate and adversely affect the measurements, so care must be taken to prevent this by using double shielded cables or using the shielded enclosure for the cables also.</w:t>
      </w:r>
    </w:p>
    <w:p w:rsidR="00922B8B" w:rsidRDefault="00922B8B" w:rsidP="00922B8B">
      <w:pPr>
        <w:pStyle w:val="AnnexNoTitle"/>
        <w:rPr>
          <w:lang w:val="en-US"/>
        </w:rPr>
      </w:pPr>
      <w:r>
        <w:rPr>
          <w:lang w:val="en-US"/>
        </w:rPr>
        <w:lastRenderedPageBreak/>
        <w:t>Annex 3</w:t>
      </w:r>
      <w:r>
        <w:rPr>
          <w:lang w:val="en-US"/>
        </w:rPr>
        <w:br/>
      </w:r>
      <w:r>
        <w:rPr>
          <w:lang w:val="en-US"/>
        </w:rPr>
        <w:br/>
        <w:t>Threshold levels of interference for the radio astronomy service</w:t>
      </w:r>
      <w:r>
        <w:rPr>
          <w:lang w:val="en-US"/>
        </w:rPr>
        <w:br/>
        <w:t>and space services using passive sensors</w:t>
      </w:r>
    </w:p>
    <w:p w:rsidR="00922B8B" w:rsidRDefault="00922B8B" w:rsidP="00922B8B">
      <w:pPr>
        <w:pStyle w:val="Heading1"/>
        <w:rPr>
          <w:lang w:val="en-US"/>
        </w:rPr>
      </w:pPr>
      <w:bookmarkStart w:id="119" w:name="_Toc393687596"/>
      <w:bookmarkStart w:id="120" w:name="_Toc394112314"/>
      <w:r>
        <w:rPr>
          <w:lang w:val="en-US"/>
        </w:rPr>
        <w:t>1</w:t>
      </w:r>
      <w:r>
        <w:rPr>
          <w:lang w:val="en-US"/>
        </w:rPr>
        <w:tab/>
        <w:t>Introduction</w:t>
      </w:r>
      <w:bookmarkEnd w:id="119"/>
      <w:bookmarkEnd w:id="120"/>
    </w:p>
    <w:p w:rsidR="00922B8B" w:rsidRDefault="00922B8B" w:rsidP="00922B8B">
      <w:pPr>
        <w:rPr>
          <w:lang w:val="en-US"/>
        </w:rPr>
      </w:pPr>
      <w:r>
        <w:rPr>
          <w:lang w:val="en-US"/>
        </w:rPr>
        <w:t>Threshold levels of interference for the radio astronomy service, Earth exploration-satellite and meteorological</w:t>
      </w:r>
      <w:r>
        <w:rPr>
          <w:lang w:val="en-US"/>
        </w:rPr>
        <w:noBreakHyphen/>
        <w:t>satellite services using passive sensors can be found in Recommendations ITU</w:t>
      </w:r>
      <w:r>
        <w:rPr>
          <w:lang w:val="en-US"/>
        </w:rPr>
        <w:noBreakHyphen/>
        <w:t>R RA.769 and ITU-R SA.1029. This Annex summarizes the levels provided in these Recommendations.</w:t>
      </w:r>
    </w:p>
    <w:p w:rsidR="00922B8B" w:rsidRDefault="00922B8B" w:rsidP="00922B8B">
      <w:pPr>
        <w:pStyle w:val="Heading1"/>
        <w:rPr>
          <w:lang w:val="en-US"/>
        </w:rPr>
      </w:pPr>
      <w:bookmarkStart w:id="121" w:name="_Toc393687597"/>
      <w:bookmarkStart w:id="122" w:name="_Toc394112315"/>
      <w:r>
        <w:rPr>
          <w:lang w:val="en-US"/>
        </w:rPr>
        <w:t>2</w:t>
      </w:r>
      <w:r>
        <w:rPr>
          <w:lang w:val="en-US"/>
        </w:rPr>
        <w:tab/>
        <w:t>Radio astronomy service (Recommendation ITU-R RA.769)</w:t>
      </w:r>
      <w:bookmarkEnd w:id="121"/>
      <w:bookmarkEnd w:id="122"/>
    </w:p>
    <w:p w:rsidR="00922B8B" w:rsidRDefault="00922B8B" w:rsidP="00922B8B">
      <w:pPr>
        <w:rPr>
          <w:lang w:val="en-US"/>
        </w:rPr>
      </w:pPr>
      <w:r>
        <w:rPr>
          <w:lang w:val="en-US"/>
        </w:rPr>
        <w:t>Table 8 gives the threshold levels of pfd for interference detrimental to the radio astronomy service as it appears in Recommendation ITU-R RA.769 for those frequency bands listed in this Recommendation; this includes all bands allocated to the radio astronomy service on a primary basis, except the eight bands allocated via RR No. 5.555. These are calculated for observations with a single antenna and reception in sidelobes of gain 0 dBi and an integration time of 2</w:t>
      </w:r>
      <w:r>
        <w:rPr>
          <w:rFonts w:ascii="Tms Rmn" w:hAnsi="Tms Rmn"/>
          <w:sz w:val="12"/>
          <w:lang w:val="en-US"/>
        </w:rPr>
        <w:t> </w:t>
      </w:r>
      <w:r>
        <w:rPr>
          <w:lang w:val="en-US"/>
        </w:rPr>
        <w:t>000 s. The values of pfd given in Table 8 apply generally, except for GSO satellites for which the pfd is 15 dB more stringent than shown (see Recommendation ITU</w:t>
      </w:r>
      <w:r>
        <w:rPr>
          <w:lang w:val="en-US"/>
        </w:rPr>
        <w:noBreakHyphen/>
        <w:t>R RA.769).</w:t>
      </w:r>
    </w:p>
    <w:p w:rsidR="00922B8B" w:rsidRDefault="00922B8B" w:rsidP="00922B8B">
      <w:pPr>
        <w:rPr>
          <w:lang w:val="en-US"/>
        </w:rPr>
      </w:pPr>
      <w:r>
        <w:rPr>
          <w:lang w:val="en-US"/>
        </w:rPr>
        <w:t>Annex 1 to Recommendation ITU-R RA.769 describes the methodology for calculating the sensitivity of various radio astronomy systems currently in use. It also provides, for assumed values of system parameters, tabulated levels of aggregate interference which are detrimental to both continuum and spectral-line measurements for various bands allocated to the radio astronomy service.</w:t>
      </w:r>
    </w:p>
    <w:p w:rsidR="00922B8B" w:rsidRDefault="00922B8B" w:rsidP="00922B8B">
      <w:pPr>
        <w:rPr>
          <w:lang w:val="en-US"/>
        </w:rPr>
      </w:pPr>
      <w:r>
        <w:rPr>
          <w:lang w:val="en-US"/>
        </w:rPr>
        <w:t>The assumed parameters used to derive these levels are representative of many types of radio astronomy systems and measurements and are an agreed acceptable standard within the radio astronomy service. However, there may be circumstances in coordination with a specific radio astronomy system, operating at a particular time and location in a particular band, where other values of these parameters may be used with the same methodology to derive a more appropriate level of detrimental interference. In addition, for consideration of interference from specific types of systems (e.g. GSO satellites or multiple-satellite systems) a systematic adjustment of the levels in Recommendation ITU</w:t>
      </w:r>
      <w:r>
        <w:rPr>
          <w:lang w:val="en-US"/>
        </w:rPr>
        <w:noBreakHyphen/>
        <w:t>R RA.769 may be warranted. Accordingly, when the levels contained in Table 8 are applied or referred to, account should be taken of the assumptions used to derive them.</w:t>
      </w:r>
    </w:p>
    <w:p w:rsidR="00922B8B" w:rsidRPr="002B7B9D" w:rsidRDefault="00922B8B" w:rsidP="000F3860">
      <w:pPr>
        <w:pStyle w:val="TableNo"/>
        <w:keepLines/>
        <w:rPr>
          <w:lang w:val="en-US"/>
        </w:rPr>
      </w:pPr>
      <w:r w:rsidRPr="002B7B9D">
        <w:rPr>
          <w:lang w:val="en-US"/>
        </w:rPr>
        <w:lastRenderedPageBreak/>
        <w:t>TABLE 8</w:t>
      </w:r>
    </w:p>
    <w:p w:rsidR="00922B8B" w:rsidRDefault="00922B8B" w:rsidP="000F3860">
      <w:pPr>
        <w:pStyle w:val="Tabletitle"/>
        <w:keepLines/>
        <w:rPr>
          <w:position w:val="6"/>
          <w:sz w:val="20"/>
          <w:lang w:val="en-US"/>
        </w:rPr>
      </w:pPr>
      <w:r>
        <w:rPr>
          <w:lang w:val="en-US"/>
        </w:rPr>
        <w:t>Threshold levels of pfd of interference detrimental</w:t>
      </w:r>
      <w:r>
        <w:rPr>
          <w:lang w:val="en-US"/>
        </w:rPr>
        <w:br/>
        <w:t>to the radio astronomy service</w:t>
      </w:r>
      <w:r>
        <w:rPr>
          <w:position w:val="6"/>
          <w:sz w:val="20"/>
          <w:lang w:val="en-US"/>
        </w:rPr>
        <w:t>*</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2463"/>
        <w:gridCol w:w="1541"/>
        <w:gridCol w:w="1848"/>
        <w:gridCol w:w="1541"/>
        <w:gridCol w:w="2246"/>
      </w:tblGrid>
      <w:tr w:rsidR="00922B8B" w:rsidTr="004D27B4">
        <w:trPr>
          <w:cantSplit/>
          <w:jc w:val="center"/>
        </w:trPr>
        <w:tc>
          <w:tcPr>
            <w:tcW w:w="2463" w:type="dxa"/>
            <w:tcBorders>
              <w:top w:val="nil"/>
              <w:left w:val="nil"/>
              <w:bottom w:val="single" w:sz="6" w:space="0" w:color="auto"/>
              <w:right w:val="single" w:sz="4" w:space="0" w:color="auto"/>
            </w:tcBorders>
          </w:tcPr>
          <w:p w:rsidR="00922B8B" w:rsidRDefault="00922B8B" w:rsidP="000F3860">
            <w:pPr>
              <w:pStyle w:val="Tablehead"/>
              <w:keepLines/>
              <w:rPr>
                <w:lang w:val="en-US"/>
              </w:rPr>
            </w:pPr>
          </w:p>
        </w:tc>
        <w:tc>
          <w:tcPr>
            <w:tcW w:w="3389" w:type="dxa"/>
            <w:gridSpan w:val="2"/>
            <w:tcBorders>
              <w:top w:val="single" w:sz="6" w:space="0" w:color="auto"/>
              <w:left w:val="single" w:sz="4" w:space="0" w:color="auto"/>
              <w:bottom w:val="single" w:sz="6" w:space="0" w:color="auto"/>
              <w:right w:val="single" w:sz="4" w:space="0" w:color="auto"/>
            </w:tcBorders>
          </w:tcPr>
          <w:p w:rsidR="00922B8B" w:rsidRDefault="00922B8B" w:rsidP="000F3860">
            <w:pPr>
              <w:pStyle w:val="Tablehead"/>
              <w:keepLines/>
              <w:rPr>
                <w:lang w:val="en-US"/>
              </w:rPr>
            </w:pPr>
            <w:r>
              <w:rPr>
                <w:lang w:val="en-US"/>
              </w:rPr>
              <w:t>Continuum observations</w:t>
            </w:r>
          </w:p>
        </w:tc>
        <w:tc>
          <w:tcPr>
            <w:tcW w:w="3787" w:type="dxa"/>
            <w:gridSpan w:val="2"/>
            <w:tcBorders>
              <w:top w:val="single" w:sz="6" w:space="0" w:color="auto"/>
              <w:left w:val="single" w:sz="4" w:space="0" w:color="auto"/>
              <w:bottom w:val="single" w:sz="6" w:space="0" w:color="auto"/>
              <w:right w:val="single" w:sz="4" w:space="0" w:color="auto"/>
            </w:tcBorders>
          </w:tcPr>
          <w:p w:rsidR="00922B8B" w:rsidRDefault="00922B8B" w:rsidP="000F3860">
            <w:pPr>
              <w:pStyle w:val="Tablehead"/>
              <w:keepLines/>
              <w:rPr>
                <w:lang w:val="en-US"/>
              </w:rPr>
            </w:pPr>
            <w:r>
              <w:rPr>
                <w:lang w:val="en-US"/>
              </w:rPr>
              <w:t>Spectral lines observations</w:t>
            </w:r>
          </w:p>
        </w:tc>
      </w:tr>
      <w:tr w:rsidR="00922B8B" w:rsidRPr="00EB70C7" w:rsidTr="004D27B4">
        <w:trPr>
          <w:cantSplit/>
          <w:jc w:val="center"/>
        </w:trPr>
        <w:tc>
          <w:tcPr>
            <w:tcW w:w="2463" w:type="dxa"/>
            <w:tcBorders>
              <w:top w:val="single" w:sz="6" w:space="0" w:color="auto"/>
              <w:left w:val="single" w:sz="4" w:space="0" w:color="auto"/>
              <w:bottom w:val="single" w:sz="6" w:space="0" w:color="auto"/>
              <w:right w:val="single" w:sz="6" w:space="0" w:color="auto"/>
            </w:tcBorders>
            <w:vAlign w:val="center"/>
          </w:tcPr>
          <w:p w:rsidR="00922B8B" w:rsidRDefault="00922B8B" w:rsidP="000F3860">
            <w:pPr>
              <w:pStyle w:val="Tablehead"/>
              <w:keepLines/>
              <w:rPr>
                <w:lang w:val="en-US"/>
              </w:rPr>
            </w:pPr>
            <w:r>
              <w:rPr>
                <w:lang w:val="en-US"/>
              </w:rPr>
              <w:t>Radio astronomy</w:t>
            </w:r>
            <w:r>
              <w:rPr>
                <w:lang w:val="en-US"/>
              </w:rPr>
              <w:br/>
              <w:t>band</w:t>
            </w:r>
            <w:r>
              <w:rPr>
                <w:vertAlign w:val="superscript"/>
              </w:rPr>
              <w:t>(1)</w:t>
            </w:r>
            <w:r>
              <w:rPr>
                <w:lang w:val="en-US"/>
              </w:rPr>
              <w:br/>
              <w:t>(MHz)</w:t>
            </w:r>
          </w:p>
        </w:tc>
        <w:tc>
          <w:tcPr>
            <w:tcW w:w="1541" w:type="dxa"/>
            <w:tcBorders>
              <w:top w:val="single" w:sz="6" w:space="0" w:color="auto"/>
              <w:left w:val="single" w:sz="6" w:space="0" w:color="auto"/>
              <w:bottom w:val="single" w:sz="6" w:space="0" w:color="auto"/>
              <w:right w:val="single" w:sz="4" w:space="0" w:color="auto"/>
            </w:tcBorders>
            <w:vAlign w:val="center"/>
          </w:tcPr>
          <w:p w:rsidR="00922B8B" w:rsidRDefault="00922B8B" w:rsidP="000F3860">
            <w:pPr>
              <w:pStyle w:val="Tablehead"/>
              <w:keepLines/>
              <w:rPr>
                <w:lang w:val="en-US"/>
              </w:rPr>
            </w:pPr>
            <w:r>
              <w:rPr>
                <w:lang w:val="en-US"/>
              </w:rPr>
              <w:t>pfd</w:t>
            </w:r>
            <w:r>
              <w:rPr>
                <w:lang w:val="en-US"/>
              </w:rPr>
              <w:br/>
              <w:t>(dB(W/m</w:t>
            </w:r>
            <w:r>
              <w:rPr>
                <w:vertAlign w:val="superscript"/>
              </w:rPr>
              <w:t>2</w:t>
            </w:r>
            <w:r>
              <w:rPr>
                <w:lang w:val="en-US"/>
              </w:rPr>
              <w:t>))</w:t>
            </w:r>
          </w:p>
        </w:tc>
        <w:tc>
          <w:tcPr>
            <w:tcW w:w="1848" w:type="dxa"/>
            <w:tcBorders>
              <w:top w:val="single" w:sz="4" w:space="0" w:color="auto"/>
              <w:left w:val="single" w:sz="4" w:space="0" w:color="auto"/>
              <w:bottom w:val="single" w:sz="4" w:space="0" w:color="auto"/>
              <w:right w:val="single" w:sz="4" w:space="0" w:color="auto"/>
            </w:tcBorders>
            <w:vAlign w:val="center"/>
          </w:tcPr>
          <w:p w:rsidR="00922B8B" w:rsidRDefault="00922B8B" w:rsidP="000F3860">
            <w:pPr>
              <w:pStyle w:val="Tablehead"/>
              <w:keepLines/>
              <w:rPr>
                <w:lang w:val="en-US"/>
              </w:rPr>
            </w:pPr>
            <w:r>
              <w:rPr>
                <w:lang w:val="en-US"/>
              </w:rPr>
              <w:t>Assumed</w:t>
            </w:r>
            <w:r>
              <w:rPr>
                <w:lang w:val="en-US"/>
              </w:rPr>
              <w:br/>
              <w:t>bandwidth</w:t>
            </w:r>
            <w:r>
              <w:rPr>
                <w:lang w:val="en-US"/>
              </w:rPr>
              <w:br/>
              <w:t>(MHz)</w:t>
            </w:r>
          </w:p>
        </w:tc>
        <w:tc>
          <w:tcPr>
            <w:tcW w:w="1541" w:type="dxa"/>
            <w:tcBorders>
              <w:top w:val="single" w:sz="6" w:space="0" w:color="auto"/>
              <w:left w:val="single" w:sz="4" w:space="0" w:color="auto"/>
              <w:bottom w:val="single" w:sz="6" w:space="0" w:color="auto"/>
              <w:right w:val="single" w:sz="6" w:space="0" w:color="auto"/>
            </w:tcBorders>
            <w:vAlign w:val="center"/>
          </w:tcPr>
          <w:p w:rsidR="00922B8B" w:rsidRDefault="00922B8B" w:rsidP="000F3860">
            <w:pPr>
              <w:pStyle w:val="Tablehead"/>
              <w:keepLines/>
              <w:rPr>
                <w:lang w:val="en-US"/>
              </w:rPr>
            </w:pPr>
            <w:r>
              <w:rPr>
                <w:lang w:val="en-US"/>
              </w:rPr>
              <w:t>pfd</w:t>
            </w:r>
            <w:r>
              <w:rPr>
                <w:lang w:val="en-US"/>
              </w:rPr>
              <w:br/>
              <w:t>(dB(W/m</w:t>
            </w:r>
            <w:r>
              <w:rPr>
                <w:vertAlign w:val="superscript"/>
              </w:rPr>
              <w:t>2</w:t>
            </w:r>
            <w:r>
              <w:rPr>
                <w:lang w:val="en-US"/>
              </w:rPr>
              <w:t>))</w:t>
            </w:r>
          </w:p>
        </w:tc>
        <w:tc>
          <w:tcPr>
            <w:tcW w:w="2246" w:type="dxa"/>
            <w:tcBorders>
              <w:top w:val="single" w:sz="6" w:space="0" w:color="auto"/>
              <w:left w:val="single" w:sz="6" w:space="0" w:color="auto"/>
              <w:bottom w:val="single" w:sz="6" w:space="0" w:color="auto"/>
              <w:right w:val="single" w:sz="4" w:space="0" w:color="auto"/>
            </w:tcBorders>
            <w:vAlign w:val="center"/>
          </w:tcPr>
          <w:p w:rsidR="00922B8B" w:rsidRDefault="00922B8B" w:rsidP="000F3860">
            <w:pPr>
              <w:pStyle w:val="Tablehead"/>
              <w:keepLines/>
              <w:rPr>
                <w:lang w:val="en-US"/>
              </w:rPr>
            </w:pPr>
            <w:r>
              <w:rPr>
                <w:lang w:val="en-US"/>
              </w:rPr>
              <w:t>Assumed spectral</w:t>
            </w:r>
            <w:r>
              <w:rPr>
                <w:lang w:val="en-US"/>
              </w:rPr>
              <w:br/>
              <w:t>line channel</w:t>
            </w:r>
            <w:r>
              <w:rPr>
                <w:lang w:val="en-US"/>
              </w:rPr>
              <w:br/>
              <w:t>bandwidth</w:t>
            </w:r>
            <w:r>
              <w:rPr>
                <w:lang w:val="en-US"/>
              </w:rPr>
              <w:br/>
              <w:t>(kHz)</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13.36-13.41</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–201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0.05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25.55-25.67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0.120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0F3860">
            <w:pPr>
              <w:pStyle w:val="Tabletext"/>
              <w:keepNext/>
              <w:keepLines/>
              <w:jc w:val="center"/>
            </w:pPr>
            <w:r>
              <w:t>73.0-74.6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–196</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0F3860">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150.05-153.0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–194</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2.95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322.0-328.6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6.6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–204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10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406.1-410.0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–189</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3.9</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608-614</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–185</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400-1</w:t>
            </w:r>
            <w:r>
              <w:rPr>
                <w:rFonts w:ascii="Tms Rmn" w:hAnsi="Tms Rmn"/>
                <w:sz w:val="12"/>
              </w:rPr>
              <w:t> </w:t>
            </w:r>
            <w:r>
              <w:t>427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27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–196</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610.6-1</w:t>
            </w:r>
            <w:r>
              <w:rPr>
                <w:rFonts w:ascii="Tms Rmn" w:hAnsi="Tms Rmn"/>
                <w:sz w:val="12"/>
              </w:rPr>
              <w:t> </w:t>
            </w:r>
            <w:r>
              <w:t>613.8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w:t>
            </w:r>
            <w:r>
              <w:rPr>
                <w:rFonts w:ascii="Tms Rmn" w:hAnsi="Tms Rmn"/>
                <w:sz w:val="12"/>
              </w:rPr>
              <w:t> </w:t>
            </w:r>
            <w:r>
              <w:t>660-1</w:t>
            </w:r>
            <w:r>
              <w:rPr>
                <w:rFonts w:ascii="Tms Rmn" w:hAnsi="Tms Rmn"/>
                <w:sz w:val="12"/>
              </w:rPr>
              <w:t> </w:t>
            </w:r>
            <w:r>
              <w:t>670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–181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–194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w:t>
            </w:r>
            <w:r>
              <w:rPr>
                <w:rFonts w:ascii="Tms Rmn" w:hAnsi="Tms Rmn"/>
                <w:sz w:val="12"/>
              </w:rPr>
              <w:t> </w:t>
            </w:r>
            <w:r>
              <w:t>690-2</w:t>
            </w:r>
            <w:r>
              <w:rPr>
                <w:rFonts w:ascii="Tms Rmn" w:hAnsi="Tms Rmn"/>
                <w:sz w:val="12"/>
              </w:rPr>
              <w:t> </w:t>
            </w:r>
            <w:r>
              <w:t>700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–177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w:t>
            </w:r>
            <w:r>
              <w:rPr>
                <w:rFonts w:ascii="Tms Rmn" w:hAnsi="Tms Rmn"/>
                <w:sz w:val="12"/>
              </w:rPr>
              <w:t> </w:t>
            </w:r>
            <w:r>
              <w:t>990-5</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–171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(GHz)</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tabs>
                <w:tab w:val="clear" w:pos="1985"/>
                <w:tab w:val="decimal" w:pos="851"/>
              </w:tabs>
              <w:spacing w:before="40" w:after="40"/>
            </w:pP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spacing w:before="40" w:after="40"/>
              <w:jc w:val="center"/>
            </w:pP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pP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10.6-10.7</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–160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100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15.35-15.4</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–156</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985"/>
              </w:tabs>
              <w:jc w:val="left"/>
            </w:pPr>
            <w:r>
              <w:t>50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22.21-22.5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–162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250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23.6-24.0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–147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99"/>
              </w:tabs>
              <w:ind w:right="621"/>
              <w:jc w:val="right"/>
            </w:pPr>
            <w:r>
              <w:t>400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–161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pPr>
            <w:r>
              <w:t>250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31.3-31.8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–141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500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42.5-43.5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–137</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1</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–153</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500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86-92</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–125</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6</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–144</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1</w:t>
            </w:r>
            <w:r>
              <w:rPr>
                <w:rFonts w:ascii="Tms Rmn" w:hAnsi="Tms Rmn"/>
                <w:sz w:val="12"/>
              </w:rPr>
              <w:t> </w:t>
            </w:r>
            <w:r>
              <w:t>000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105-116</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–121</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11</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pPr>
            <w:r>
              <w:t>–141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109"/>
              </w:tabs>
              <w:ind w:right="923"/>
              <w:jc w:val="right"/>
            </w:pPr>
            <w:r>
              <w:t>1</w:t>
            </w:r>
            <w:r>
              <w:rPr>
                <w:rFonts w:ascii="Tms Rmn" w:hAnsi="Tms Rmn"/>
                <w:sz w:val="12"/>
              </w:rPr>
              <w:t> </w:t>
            </w:r>
            <w:r>
              <w:t>000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164-168</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pPr>
            <w:r>
              <w:t>–120</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pPr>
            <w:r>
              <w:t>4</w:t>
            </w:r>
            <w:r>
              <w:rPr>
                <w:rFonts w:ascii="Tms Rmn" w:hAnsi="Tms Rmn"/>
                <w:sz w:val="12"/>
              </w:rPr>
              <w:t> </w:t>
            </w:r>
            <w: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(2)</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pPr>
            <w:r>
              <w:t>182-185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Pr>
                <w:vertAlign w:val="superscript"/>
              </w:rPr>
              <w:t>(3)</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–136</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1</w:t>
            </w:r>
            <w:r>
              <w:rPr>
                <w:rFonts w:ascii="Tms Rmn" w:hAnsi="Tms Rmn"/>
                <w:sz w:val="12"/>
                <w:lang w:val="en-US"/>
              </w:rPr>
              <w:t> </w:t>
            </w:r>
            <w:r>
              <w:rPr>
                <w:lang w:val="en-US"/>
              </w:rPr>
              <w:t>500</w:t>
            </w:r>
          </w:p>
        </w:tc>
      </w:tr>
      <w:tr w:rsidR="00922B8B" w:rsidTr="004D27B4">
        <w:trPr>
          <w:cantSplit/>
          <w:jc w:val="center"/>
        </w:trPr>
        <w:tc>
          <w:tcPr>
            <w:tcW w:w="2463" w:type="dxa"/>
            <w:tcBorders>
              <w:top w:val="single" w:sz="6" w:space="0" w:color="auto"/>
              <w:left w:val="single" w:sz="4" w:space="0" w:color="auto"/>
              <w:bottom w:val="nil"/>
              <w:right w:val="single" w:sz="6" w:space="0" w:color="auto"/>
            </w:tcBorders>
          </w:tcPr>
          <w:p w:rsidR="00922B8B" w:rsidRDefault="00922B8B" w:rsidP="004D27B4">
            <w:pPr>
              <w:pStyle w:val="Tabletext"/>
              <w:jc w:val="center"/>
              <w:rPr>
                <w:lang w:val="en-US"/>
              </w:rPr>
            </w:pPr>
            <w:r>
              <w:rPr>
                <w:lang w:val="en-US"/>
              </w:rPr>
              <w:t>217-231</w:t>
            </w:r>
          </w:p>
        </w:tc>
        <w:tc>
          <w:tcPr>
            <w:tcW w:w="1541"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rPr>
                <w:lang w:val="en-US"/>
              </w:rPr>
            </w:pPr>
            <w:r>
              <w:rPr>
                <w:lang w:val="en-US"/>
              </w:rPr>
              <w:t>–114</w:t>
            </w:r>
          </w:p>
        </w:tc>
        <w:tc>
          <w:tcPr>
            <w:tcW w:w="1848"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rPr>
                <w:lang w:val="en-US"/>
              </w:rPr>
            </w:pPr>
            <w:r>
              <w:rPr>
                <w:lang w:val="en-US"/>
              </w:rPr>
              <w:t>14</w:t>
            </w:r>
            <w:r>
              <w:rPr>
                <w:rFonts w:ascii="Tms Rmn" w:hAnsi="Tms Rmn"/>
                <w:sz w:val="12"/>
                <w:lang w:val="en-US"/>
              </w:rPr>
              <w:t> </w:t>
            </w:r>
            <w:r>
              <w:rPr>
                <w:lang w:val="en-US"/>
              </w:rPr>
              <w:t>000</w:t>
            </w:r>
          </w:p>
        </w:tc>
        <w:tc>
          <w:tcPr>
            <w:tcW w:w="1541" w:type="dxa"/>
            <w:tcBorders>
              <w:top w:val="single" w:sz="6" w:space="0" w:color="auto"/>
              <w:left w:val="single" w:sz="6" w:space="0" w:color="auto"/>
              <w:bottom w:val="nil"/>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–133</w:t>
            </w:r>
          </w:p>
        </w:tc>
        <w:tc>
          <w:tcPr>
            <w:tcW w:w="2246" w:type="dxa"/>
            <w:tcBorders>
              <w:top w:val="single" w:sz="6" w:space="0" w:color="auto"/>
              <w:left w:val="single" w:sz="6" w:space="0" w:color="auto"/>
              <w:bottom w:val="nil"/>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2</w:t>
            </w:r>
            <w:r>
              <w:rPr>
                <w:rFonts w:ascii="Tms Rmn" w:hAnsi="Tms Rmn"/>
                <w:sz w:val="12"/>
                <w:lang w:val="en-US"/>
              </w:rPr>
              <w:t> </w:t>
            </w:r>
            <w:r>
              <w:rPr>
                <w:lang w:val="en-US"/>
              </w:rPr>
              <w:t>500</w:t>
            </w:r>
          </w:p>
        </w:tc>
      </w:tr>
      <w:tr w:rsidR="00922B8B" w:rsidTr="004D27B4">
        <w:trPr>
          <w:cantSplit/>
          <w:jc w:val="center"/>
        </w:trPr>
        <w:tc>
          <w:tcPr>
            <w:tcW w:w="2463" w:type="dxa"/>
            <w:tcBorders>
              <w:top w:val="single" w:sz="6" w:space="0" w:color="auto"/>
              <w:left w:val="single" w:sz="4"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265-275</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851"/>
              </w:tabs>
              <w:jc w:val="left"/>
              <w:rPr>
                <w:lang w:val="en-US"/>
              </w:rPr>
            </w:pPr>
            <w:r>
              <w:rPr>
                <w:lang w:val="en-US"/>
              </w:rPr>
              <w:t>–113</w:t>
            </w:r>
          </w:p>
        </w:tc>
        <w:tc>
          <w:tcPr>
            <w:tcW w:w="184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621"/>
              <w:jc w:val="right"/>
              <w:rPr>
                <w:lang w:val="en-US"/>
              </w:rPr>
            </w:pPr>
            <w:r>
              <w:rPr>
                <w:lang w:val="en-US"/>
              </w:rPr>
              <w:t>10</w:t>
            </w:r>
            <w:r>
              <w:rPr>
                <w:rFonts w:ascii="Tms Rmn" w:hAnsi="Tms Rmn"/>
                <w:sz w:val="12"/>
                <w:lang w:val="en-US"/>
              </w:rPr>
              <w:t> </w:t>
            </w:r>
            <w:r>
              <w:rPr>
                <w:lang w:val="en-US"/>
              </w:rPr>
              <w:t>000</w:t>
            </w:r>
          </w:p>
        </w:tc>
        <w:tc>
          <w:tcPr>
            <w:tcW w:w="1541"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decimal" w:pos="794"/>
              </w:tabs>
              <w:rPr>
                <w:lang w:val="en-US"/>
              </w:rPr>
            </w:pPr>
            <w:r>
              <w:rPr>
                <w:lang w:val="en-US"/>
              </w:rPr>
              <w:t>–131</w:t>
            </w:r>
          </w:p>
        </w:tc>
        <w:tc>
          <w:tcPr>
            <w:tcW w:w="2246" w:type="dxa"/>
            <w:tcBorders>
              <w:top w:val="single" w:sz="6" w:space="0" w:color="auto"/>
              <w:left w:val="single" w:sz="6" w:space="0" w:color="auto"/>
              <w:bottom w:val="single" w:sz="6" w:space="0" w:color="auto"/>
              <w:right w:val="single" w:sz="4" w:space="0" w:color="auto"/>
            </w:tcBorders>
          </w:tcPr>
          <w:p w:rsidR="00922B8B" w:rsidRDefault="00922B8B" w:rsidP="004D27B4">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right="923"/>
              <w:jc w:val="right"/>
              <w:rPr>
                <w:lang w:val="en-US"/>
              </w:rPr>
            </w:pPr>
            <w:r>
              <w:rPr>
                <w:lang w:val="en-US"/>
              </w:rPr>
              <w:t>2</w:t>
            </w:r>
            <w:r>
              <w:rPr>
                <w:rFonts w:ascii="Tms Rmn" w:hAnsi="Tms Rmn"/>
                <w:sz w:val="12"/>
                <w:lang w:val="en-US"/>
              </w:rPr>
              <w:t> </w:t>
            </w:r>
            <w:r>
              <w:rPr>
                <w:lang w:val="en-US"/>
              </w:rPr>
              <w:t>500</w:t>
            </w:r>
          </w:p>
        </w:tc>
      </w:tr>
      <w:tr w:rsidR="00922B8B" w:rsidRPr="00EB70C7" w:rsidTr="004D27B4">
        <w:trPr>
          <w:cantSplit/>
          <w:jc w:val="center"/>
        </w:trPr>
        <w:tc>
          <w:tcPr>
            <w:tcW w:w="9639" w:type="dxa"/>
            <w:gridSpan w:val="5"/>
            <w:tcBorders>
              <w:top w:val="single" w:sz="6" w:space="0" w:color="auto"/>
              <w:left w:val="nil"/>
              <w:bottom w:val="nil"/>
              <w:right w:val="nil"/>
            </w:tcBorders>
          </w:tcPr>
          <w:p w:rsidR="00922B8B" w:rsidRDefault="00922B8B" w:rsidP="004D27B4">
            <w:pPr>
              <w:pStyle w:val="Tablelegend"/>
              <w:spacing w:before="200" w:after="60"/>
              <w:rPr>
                <w:lang w:val="en-US"/>
              </w:rPr>
            </w:pPr>
            <w:r>
              <w:rPr>
                <w:position w:val="6"/>
                <w:sz w:val="18"/>
                <w:lang w:val="en-US"/>
              </w:rPr>
              <w:t>*</w:t>
            </w:r>
            <w:r>
              <w:rPr>
                <w:lang w:val="en-US"/>
              </w:rPr>
              <w:tab/>
              <w:t>The levels are calculated under specific assumptions given in Recommendation ITU-R RA.769, in particular with an integration time of 2</w:t>
            </w:r>
            <w:r>
              <w:rPr>
                <w:rFonts w:ascii="Tms Rmn" w:hAnsi="Tms Rmn"/>
                <w:sz w:val="12"/>
                <w:lang w:val="en-US"/>
              </w:rPr>
              <w:t> </w:t>
            </w:r>
            <w:r>
              <w:rPr>
                <w:lang w:val="en-US"/>
              </w:rPr>
              <w:t>000 s.</w:t>
            </w:r>
          </w:p>
          <w:p w:rsidR="00922B8B" w:rsidRDefault="00922B8B" w:rsidP="004D27B4">
            <w:pPr>
              <w:pStyle w:val="Tablelegend"/>
              <w:spacing w:before="60" w:after="60"/>
              <w:rPr>
                <w:lang w:val="en-US"/>
              </w:rPr>
            </w:pPr>
            <w:r w:rsidRPr="002B7B9D">
              <w:rPr>
                <w:vertAlign w:val="superscript"/>
                <w:lang w:val="en-US"/>
              </w:rPr>
              <w:t>(1)</w:t>
            </w:r>
            <w:r w:rsidRPr="002B7B9D">
              <w:rPr>
                <w:lang w:val="en-US"/>
              </w:rPr>
              <w:tab/>
            </w:r>
            <w:r>
              <w:rPr>
                <w:lang w:val="en-US"/>
              </w:rPr>
              <w:t>These are the frequency bands listed in Recommendation ITU-R RA.769; eight further bands are allocated to the radio astronomy service on a primary basis via RR No. 5.555.</w:t>
            </w:r>
          </w:p>
          <w:p w:rsidR="00922B8B" w:rsidRDefault="00922B8B" w:rsidP="004D27B4">
            <w:pPr>
              <w:pStyle w:val="Tablelegend"/>
              <w:spacing w:before="60" w:after="60"/>
              <w:rPr>
                <w:lang w:val="en-US"/>
              </w:rPr>
            </w:pPr>
            <w:r w:rsidRPr="002B7B9D">
              <w:rPr>
                <w:vertAlign w:val="superscript"/>
                <w:lang w:val="en-US"/>
              </w:rPr>
              <w:t>(2)</w:t>
            </w:r>
            <w:r>
              <w:rPr>
                <w:vertAlign w:val="superscript"/>
                <w:lang w:val="en-US"/>
              </w:rPr>
              <w:tab/>
            </w:r>
            <w:r>
              <w:rPr>
                <w:lang w:val="en-US"/>
              </w:rPr>
              <w:t>Not listed in Table 2 of Recommendation ITU-R RA.769.</w:t>
            </w:r>
          </w:p>
          <w:p w:rsidR="00922B8B" w:rsidRDefault="00922B8B" w:rsidP="004D27B4">
            <w:pPr>
              <w:pStyle w:val="Tablelegend"/>
              <w:spacing w:before="60" w:after="60"/>
              <w:rPr>
                <w:lang w:val="en-US"/>
              </w:rPr>
            </w:pPr>
            <w:r w:rsidRPr="002B7B9D">
              <w:rPr>
                <w:vertAlign w:val="superscript"/>
                <w:lang w:val="en-US"/>
              </w:rPr>
              <w:t>(3)</w:t>
            </w:r>
            <w:r>
              <w:rPr>
                <w:vertAlign w:val="superscript"/>
                <w:lang w:val="en-US"/>
              </w:rPr>
              <w:tab/>
            </w:r>
            <w:r>
              <w:rPr>
                <w:lang w:val="en-US"/>
              </w:rPr>
              <w:t>Not listed in Table 1 of Recommendation ITU-R RA.769.</w:t>
            </w:r>
          </w:p>
        </w:tc>
      </w:tr>
    </w:tbl>
    <w:p w:rsidR="00922B8B" w:rsidRDefault="00922B8B" w:rsidP="00922B8B">
      <w:pPr>
        <w:pStyle w:val="Tablefin"/>
      </w:pPr>
    </w:p>
    <w:p w:rsidR="00922B8B" w:rsidRDefault="00922B8B" w:rsidP="00922B8B">
      <w:pPr>
        <w:pStyle w:val="Heading1"/>
        <w:rPr>
          <w:lang w:val="en-US"/>
        </w:rPr>
      </w:pPr>
      <w:bookmarkStart w:id="123" w:name="_Toc393687598"/>
      <w:bookmarkStart w:id="124" w:name="_Toc394112316"/>
      <w:r>
        <w:rPr>
          <w:lang w:val="en-US"/>
        </w:rPr>
        <w:lastRenderedPageBreak/>
        <w:t>3</w:t>
      </w:r>
      <w:r>
        <w:rPr>
          <w:lang w:val="en-US"/>
        </w:rPr>
        <w:tab/>
        <w:t>Earth exploration-satellite and meteorological-satellite passive sensing (Recommen</w:t>
      </w:r>
      <w:r>
        <w:rPr>
          <w:lang w:val="en-US"/>
        </w:rPr>
        <w:softHyphen/>
        <w:t>dation ITU</w:t>
      </w:r>
      <w:r>
        <w:rPr>
          <w:lang w:val="en-US"/>
        </w:rPr>
        <w:noBreakHyphen/>
        <w:t>R SA.1029)</w:t>
      </w:r>
      <w:bookmarkEnd w:id="123"/>
      <w:bookmarkEnd w:id="124"/>
    </w:p>
    <w:p w:rsidR="00922B8B" w:rsidRDefault="00922B8B" w:rsidP="00922B8B">
      <w:pPr>
        <w:rPr>
          <w:lang w:val="en-US"/>
        </w:rPr>
      </w:pPr>
      <w:r>
        <w:rPr>
          <w:lang w:val="en-US"/>
        </w:rPr>
        <w:t>The</w:t>
      </w:r>
      <w:r>
        <w:rPr>
          <w:sz w:val="23"/>
          <w:lang w:val="en-US"/>
        </w:rPr>
        <w:t xml:space="preserve"> </w:t>
      </w:r>
      <w:r>
        <w:rPr>
          <w:lang w:val="en-US"/>
        </w:rPr>
        <w:t>permissible</w:t>
      </w:r>
      <w:r>
        <w:rPr>
          <w:sz w:val="23"/>
          <w:lang w:val="en-US"/>
        </w:rPr>
        <w:t xml:space="preserve"> </w:t>
      </w:r>
      <w:r>
        <w:rPr>
          <w:lang w:val="en-US"/>
        </w:rPr>
        <w:t>interference</w:t>
      </w:r>
      <w:r>
        <w:rPr>
          <w:sz w:val="23"/>
          <w:lang w:val="en-US"/>
        </w:rPr>
        <w:t xml:space="preserve"> </w:t>
      </w:r>
      <w:r>
        <w:rPr>
          <w:lang w:val="en-US"/>
        </w:rPr>
        <w:t>levels</w:t>
      </w:r>
      <w:r>
        <w:rPr>
          <w:sz w:val="23"/>
          <w:lang w:val="en-US"/>
        </w:rPr>
        <w:t xml:space="preserve"> </w:t>
      </w:r>
      <w:r>
        <w:rPr>
          <w:lang w:val="en-US"/>
        </w:rPr>
        <w:t>given</w:t>
      </w:r>
      <w:r>
        <w:rPr>
          <w:sz w:val="23"/>
          <w:lang w:val="en-US"/>
        </w:rPr>
        <w:t xml:space="preserve"> </w:t>
      </w:r>
      <w:r>
        <w:rPr>
          <w:lang w:val="en-US"/>
        </w:rPr>
        <w:t>in</w:t>
      </w:r>
      <w:r>
        <w:rPr>
          <w:sz w:val="23"/>
          <w:lang w:val="en-US"/>
        </w:rPr>
        <w:t xml:space="preserve"> </w:t>
      </w:r>
      <w:r>
        <w:rPr>
          <w:lang w:val="en-US"/>
        </w:rPr>
        <w:t>Table</w:t>
      </w:r>
      <w:r>
        <w:rPr>
          <w:sz w:val="23"/>
          <w:lang w:val="en-US"/>
        </w:rPr>
        <w:t xml:space="preserve"> </w:t>
      </w:r>
      <w:r>
        <w:rPr>
          <w:lang w:val="en-US"/>
        </w:rPr>
        <w:t>9</w:t>
      </w:r>
      <w:r>
        <w:rPr>
          <w:sz w:val="23"/>
          <w:lang w:val="en-US"/>
        </w:rPr>
        <w:t xml:space="preserve"> </w:t>
      </w:r>
      <w:r>
        <w:rPr>
          <w:lang w:val="en-US"/>
        </w:rPr>
        <w:t>are</w:t>
      </w:r>
      <w:r>
        <w:rPr>
          <w:sz w:val="23"/>
          <w:lang w:val="en-US"/>
        </w:rPr>
        <w:t xml:space="preserve"> </w:t>
      </w:r>
      <w:r>
        <w:rPr>
          <w:lang w:val="en-US"/>
        </w:rPr>
        <w:t>based</w:t>
      </w:r>
      <w:r>
        <w:rPr>
          <w:sz w:val="23"/>
          <w:lang w:val="en-US"/>
        </w:rPr>
        <w:t xml:space="preserve"> </w:t>
      </w:r>
      <w:r>
        <w:rPr>
          <w:lang w:val="en-US"/>
        </w:rPr>
        <w:t>on</w:t>
      </w:r>
      <w:r>
        <w:rPr>
          <w:sz w:val="22"/>
          <w:lang w:val="en-US"/>
        </w:rPr>
        <w:t xml:space="preserve"> </w:t>
      </w:r>
      <w:r>
        <w:rPr>
          <w:lang w:val="en-US"/>
        </w:rPr>
        <w:t>Recommendation</w:t>
      </w:r>
      <w:r>
        <w:rPr>
          <w:sz w:val="22"/>
          <w:lang w:val="en-US"/>
        </w:rPr>
        <w:t xml:space="preserve"> </w:t>
      </w:r>
      <w:r>
        <w:rPr>
          <w:lang w:val="en-US"/>
        </w:rPr>
        <w:t>ITU</w:t>
      </w:r>
      <w:r>
        <w:rPr>
          <w:lang w:val="en-US"/>
        </w:rPr>
        <w:noBreakHyphen/>
        <w:t>R</w:t>
      </w:r>
      <w:r>
        <w:rPr>
          <w:sz w:val="23"/>
          <w:lang w:val="en-US"/>
        </w:rPr>
        <w:t> </w:t>
      </w:r>
      <w:r>
        <w:rPr>
          <w:lang w:val="en-US"/>
        </w:rPr>
        <w:t>SA.1029. They refer to power levels at the receiver input and do not include characteristics of the receiving antenna. The gain of the receiving antenna may be inferred from the values of resolution (km) given in Table 2 of Recommendation ITU-R SA.515 and the knowledge that a typical orbital altitude for spaceborne remote sensors can be taken as 500 km. Note that for spaceborne remote sensing, the sensor antenna is normally directed at the Earth’s surface. Note that the levels in Table 9 are described as permissible in the context that they meet the interference criteria of passive sensors. However, use of permissible may not necessarily conform with a strict regulatory definition.</w:t>
      </w:r>
    </w:p>
    <w:p w:rsidR="00922B8B" w:rsidRDefault="00922B8B" w:rsidP="000F3860">
      <w:pPr>
        <w:pStyle w:val="TableNo"/>
        <w:rPr>
          <w:lang w:val="en-US"/>
        </w:rPr>
      </w:pPr>
      <w:r>
        <w:rPr>
          <w:lang w:val="en-US"/>
        </w:rPr>
        <w:t>TABLE 9</w:t>
      </w:r>
    </w:p>
    <w:p w:rsidR="00922B8B" w:rsidRDefault="00922B8B" w:rsidP="00922B8B">
      <w:pPr>
        <w:pStyle w:val="Tabletitle"/>
        <w:rPr>
          <w:lang w:val="en-US"/>
        </w:rPr>
      </w:pPr>
      <w:r>
        <w:rPr>
          <w:lang w:val="en-US"/>
        </w:rPr>
        <w:t>Permissible interference levels at the receiver input for passive sensing</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2552"/>
        <w:gridCol w:w="2552"/>
        <w:gridCol w:w="2552"/>
      </w:tblGrid>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Frequency</w:t>
            </w:r>
            <w:r>
              <w:rPr>
                <w:lang w:val="en-US"/>
              </w:rPr>
              <w:br/>
              <w:t>(GHz)</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level</w:t>
            </w:r>
            <w:r>
              <w:rPr>
                <w:lang w:val="en-US"/>
              </w:rPr>
              <w:br/>
              <w:t>(dBW)</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reference bandwidth</w:t>
            </w:r>
            <w:r>
              <w:rPr>
                <w:lang w:val="en-US"/>
              </w:rPr>
              <w:br/>
              <w:t>(MHz)</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1.4-1.427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27</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2.69-2.7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4.2-4.4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6.5-6.7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10.6-10.7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15.2-15.4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18.6-18.8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vertAlign w:val="superscript"/>
                <w:lang w:val="en-US"/>
              </w:rPr>
            </w:pPr>
            <w:r>
              <w:rPr>
                <w:lang w:val="en-US"/>
              </w:rPr>
              <w:t>–155</w:t>
            </w:r>
            <w:r>
              <w:rPr>
                <w:vertAlign w:val="superscript"/>
              </w:rPr>
              <w:t>(1)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21.2-21.4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22.21-22.5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23.6-24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31.3-31.8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36-37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50.2-50.4</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52.6-59</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60.3-61.3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–161/–166</w:t>
            </w:r>
            <w:r>
              <w:rPr>
                <w:vertAlign w:val="superscript"/>
              </w:rPr>
              <w:t>(2)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86-92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–153</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100-102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105-126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150-151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155.5-158.5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164-168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175-192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bl>
    <w:p w:rsidR="00922B8B" w:rsidRDefault="00922B8B" w:rsidP="00922B8B">
      <w:pPr>
        <w:pStyle w:val="Tablefin"/>
      </w:pPr>
    </w:p>
    <w:p w:rsidR="00922B8B" w:rsidRDefault="000F3860" w:rsidP="000F3860">
      <w:pPr>
        <w:pStyle w:val="TableNo"/>
        <w:rPr>
          <w:lang w:val="en-US"/>
        </w:rPr>
      </w:pPr>
      <w:r>
        <w:rPr>
          <w:lang w:val="en-US"/>
        </w:rPr>
        <w:lastRenderedPageBreak/>
        <w:t xml:space="preserve">TABLE </w:t>
      </w:r>
      <w:r w:rsidR="00922B8B">
        <w:rPr>
          <w:lang w:val="en-US"/>
        </w:rPr>
        <w:t>9 (</w:t>
      </w:r>
      <w:r w:rsidR="00922B8B">
        <w:rPr>
          <w:i/>
          <w:iCs/>
          <w:lang w:val="en-US"/>
        </w:rPr>
        <w:t>end</w:t>
      </w:r>
      <w:r w:rsidR="00922B8B">
        <w:rPr>
          <w:lang w:val="en-US"/>
        </w:rPr>
        <w:t>)</w:t>
      </w:r>
    </w:p>
    <w:p w:rsidR="00922B8B" w:rsidRDefault="00922B8B" w:rsidP="00922B8B">
      <w:pPr>
        <w:pStyle w:val="Blanc"/>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2552"/>
        <w:gridCol w:w="2552"/>
        <w:gridCol w:w="2552"/>
      </w:tblGrid>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Frequency</w:t>
            </w:r>
            <w:r>
              <w:rPr>
                <w:lang w:val="en-US"/>
              </w:rPr>
              <w:br/>
              <w:t>(GHz)</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level</w:t>
            </w:r>
            <w:r>
              <w:rPr>
                <w:lang w:val="en-US"/>
              </w:rPr>
              <w:br/>
              <w:t>(dBW)</w:t>
            </w:r>
          </w:p>
        </w:tc>
        <w:tc>
          <w:tcPr>
            <w:tcW w:w="255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Interference reference bandwidth</w:t>
            </w:r>
            <w:r>
              <w:rPr>
                <w:lang w:val="en-US"/>
              </w:rPr>
              <w:br/>
              <w:t>(MHz)</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200-202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217-231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235-238</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250-252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275-277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300-302</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324-326</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345-347</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363-365</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Tr="004D27B4">
        <w:trPr>
          <w:jc w:val="center"/>
        </w:trPr>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379-381</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–160</w:t>
            </w:r>
          </w:p>
        </w:tc>
        <w:tc>
          <w:tcPr>
            <w:tcW w:w="255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center"/>
              <w:rPr>
                <w:lang w:val="en-US"/>
              </w:rPr>
            </w:pPr>
            <w:r>
              <w:rPr>
                <w:lang w:val="en-US"/>
              </w:rPr>
              <w:t>200</w:t>
            </w:r>
          </w:p>
        </w:tc>
      </w:tr>
      <w:tr w:rsidR="00922B8B" w:rsidRPr="00EB70C7" w:rsidTr="004D27B4">
        <w:trPr>
          <w:jc w:val="center"/>
        </w:trPr>
        <w:tc>
          <w:tcPr>
            <w:tcW w:w="7656" w:type="dxa"/>
            <w:gridSpan w:val="3"/>
            <w:tcBorders>
              <w:top w:val="nil"/>
              <w:left w:val="nil"/>
              <w:bottom w:val="nil"/>
              <w:right w:val="nil"/>
            </w:tcBorders>
          </w:tcPr>
          <w:p w:rsidR="00922B8B" w:rsidRDefault="00922B8B" w:rsidP="004D27B4">
            <w:pPr>
              <w:pStyle w:val="Tablelegend"/>
              <w:spacing w:after="60"/>
              <w:rPr>
                <w:lang w:val="en-US"/>
              </w:rPr>
            </w:pPr>
            <w:r w:rsidRPr="00041661">
              <w:rPr>
                <w:vertAlign w:val="superscript"/>
                <w:lang w:val="en-US"/>
              </w:rPr>
              <w:t>(1)</w:t>
            </w:r>
            <w:r>
              <w:rPr>
                <w:vertAlign w:val="superscript"/>
                <w:lang w:val="en-US"/>
              </w:rPr>
              <w:tab/>
            </w:r>
            <w:r>
              <w:rPr>
                <w:lang w:val="en-US"/>
              </w:rPr>
              <w:t>This value is under study.</w:t>
            </w:r>
          </w:p>
          <w:p w:rsidR="00922B8B" w:rsidRDefault="00922B8B" w:rsidP="004D27B4">
            <w:pPr>
              <w:pStyle w:val="Tablelegend"/>
              <w:spacing w:before="0"/>
              <w:rPr>
                <w:lang w:val="en-GB"/>
              </w:rPr>
            </w:pPr>
            <w:r w:rsidRPr="00041661">
              <w:rPr>
                <w:vertAlign w:val="superscript"/>
                <w:lang w:val="en-US"/>
              </w:rPr>
              <w:t>(2)</w:t>
            </w:r>
            <w:r>
              <w:rPr>
                <w:vertAlign w:val="superscript"/>
                <w:lang w:val="en-GB"/>
              </w:rPr>
              <w:tab/>
            </w:r>
            <w:r>
              <w:rPr>
                <w:lang w:val="en-GB"/>
              </w:rPr>
              <w:t>Second number for pushbroom sensors.</w:t>
            </w:r>
          </w:p>
        </w:tc>
      </w:tr>
    </w:tbl>
    <w:p w:rsidR="00922B8B" w:rsidRDefault="00922B8B" w:rsidP="00922B8B">
      <w:pPr>
        <w:pStyle w:val="Tablefin"/>
      </w:pPr>
    </w:p>
    <w:p w:rsidR="00922B8B" w:rsidRPr="00214783" w:rsidRDefault="00922B8B" w:rsidP="00922B8B">
      <w:pPr>
        <w:rPr>
          <w:lang w:val="en-GB"/>
        </w:rPr>
      </w:pPr>
    </w:p>
    <w:p w:rsidR="00922B8B" w:rsidRDefault="00922B8B" w:rsidP="00922B8B">
      <w:pPr>
        <w:pStyle w:val="AnnexNoTitle"/>
        <w:rPr>
          <w:lang w:val="en-GB"/>
        </w:rPr>
      </w:pPr>
      <w:r>
        <w:rPr>
          <w:lang w:val="en-GB"/>
        </w:rPr>
        <w:t>Annex 4</w:t>
      </w:r>
      <w:r>
        <w:rPr>
          <w:lang w:val="en-GB"/>
        </w:rPr>
        <w:br/>
      </w:r>
      <w:r>
        <w:rPr>
          <w:lang w:val="en-GB"/>
        </w:rPr>
        <w:br/>
        <w:t>List of ITU-R Recommendations relating to spurious emissions</w:t>
      </w:r>
      <w:r>
        <w:rPr>
          <w:lang w:val="en-GB"/>
        </w:rPr>
        <w:br/>
        <w:t>for some specific services</w:t>
      </w:r>
    </w:p>
    <w:p w:rsidR="00922B8B" w:rsidRDefault="00922B8B" w:rsidP="00922B8B">
      <w:pPr>
        <w:pStyle w:val="Normalaftertitle"/>
        <w:tabs>
          <w:tab w:val="left" w:pos="3402"/>
        </w:tabs>
        <w:ind w:left="3402" w:hanging="3402"/>
        <w:rPr>
          <w:lang w:val="en-GB"/>
        </w:rPr>
      </w:pPr>
      <w:r>
        <w:rPr>
          <w:lang w:val="en-GB"/>
        </w:rPr>
        <w:t>Recommendation ITU-R SM.239</w:t>
      </w:r>
      <w:r>
        <w:rPr>
          <w:lang w:val="en-GB"/>
        </w:rPr>
        <w:tab/>
        <w:t>Spurious emissions from sound and television broadcast receivers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S.726</w:t>
      </w:r>
      <w:r>
        <w:rPr>
          <w:lang w:val="en-GB"/>
        </w:rPr>
        <w:tab/>
        <w:t>Maximum permissible level of spurious emissions from very small aperture terminals (VSATs)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RA.611</w:t>
      </w:r>
      <w:r>
        <w:rPr>
          <w:lang w:val="en-GB"/>
        </w:rPr>
        <w:tab/>
        <w:t>Protection of the radioastronomy service from spurious emissions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M.1177</w:t>
      </w:r>
      <w:r>
        <w:rPr>
          <w:lang w:val="en-GB"/>
        </w:rPr>
        <w:tab/>
        <w:t>Techniques for measurement of unwanted emissions of radar systems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F.1191</w:t>
      </w:r>
      <w:r>
        <w:rPr>
          <w:lang w:val="en-GB"/>
        </w:rPr>
        <w:tab/>
        <w:t>Bandwidths and unwanted emissions of digital fixed service systems</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BT.803</w:t>
      </w:r>
      <w:r>
        <w:rPr>
          <w:lang w:val="en-GB"/>
        </w:rPr>
        <w:tab/>
        <w:t>The avoidance of interference generated by digital television studio equipment</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M.478</w:t>
      </w:r>
      <w:r>
        <w:rPr>
          <w:lang w:val="en-GB"/>
        </w:rPr>
        <w:tab/>
        <w:t>Technical characteristics of equipment and principles governing the allocation of frequency channels between 25 and 3 000 MHz for the FM land mobile service</w:t>
      </w:r>
    </w:p>
    <w:p w:rsidR="00922B8B" w:rsidRDefault="00922B8B" w:rsidP="00922B8B">
      <w:pPr>
        <w:tabs>
          <w:tab w:val="clear" w:pos="794"/>
          <w:tab w:val="clear" w:pos="1191"/>
          <w:tab w:val="clear" w:pos="1588"/>
          <w:tab w:val="left" w:pos="3402"/>
          <w:tab w:val="left" w:pos="3544"/>
        </w:tabs>
        <w:ind w:left="3402" w:hanging="3402"/>
        <w:rPr>
          <w:lang w:val="en-GB"/>
        </w:rPr>
      </w:pPr>
      <w:r>
        <w:rPr>
          <w:lang w:val="en-GB"/>
        </w:rPr>
        <w:t>Recommendation ITU-R M.1343</w:t>
      </w:r>
      <w:r>
        <w:rPr>
          <w:lang w:val="en-GB"/>
        </w:rPr>
        <w:tab/>
        <w:t>Essential technical requirements of mobile earth stations for global non-geostationary mobile-satellite service systems in the bands 1</w:t>
      </w:r>
      <w:r>
        <w:rPr>
          <w:lang w:val="en-GB"/>
        </w:rPr>
        <w:noBreakHyphen/>
        <w:t>3 GHz</w:t>
      </w:r>
    </w:p>
    <w:p w:rsidR="00922B8B" w:rsidRDefault="00922B8B" w:rsidP="002609AB">
      <w:pPr>
        <w:pStyle w:val="AnnexNoTitle"/>
        <w:rPr>
          <w:lang w:val="en-GB"/>
        </w:rPr>
      </w:pPr>
      <w:r>
        <w:rPr>
          <w:lang w:val="en-GB"/>
        </w:rPr>
        <w:lastRenderedPageBreak/>
        <w:t>Annex 5</w:t>
      </w:r>
      <w:r>
        <w:rPr>
          <w:lang w:val="en-GB"/>
        </w:rPr>
        <w:br/>
      </w:r>
      <w:r>
        <w:rPr>
          <w:lang w:val="en-GB"/>
        </w:rPr>
        <w:br/>
        <w:t xml:space="preserve">Examples of applying 43 </w:t>
      </w:r>
      <w:r w:rsidR="002609AB">
        <w:rPr>
          <w:lang w:val="en-GB"/>
        </w:rPr>
        <w:t>+</w:t>
      </w:r>
      <w:r>
        <w:rPr>
          <w:lang w:val="en-GB"/>
        </w:rPr>
        <w:t xml:space="preserve"> 10 log </w:t>
      </w:r>
      <w:r>
        <w:rPr>
          <w:i/>
          <w:lang w:val="en-GB"/>
        </w:rPr>
        <w:t>P</w:t>
      </w:r>
      <w:r>
        <w:rPr>
          <w:lang w:val="en-GB"/>
        </w:rPr>
        <w:t xml:space="preserve"> to calculate</w:t>
      </w:r>
      <w:r>
        <w:rPr>
          <w:lang w:val="en-GB"/>
        </w:rPr>
        <w:br/>
        <w:t>attenuation requirements</w:t>
      </w:r>
    </w:p>
    <w:p w:rsidR="00922B8B" w:rsidRPr="00041661" w:rsidRDefault="00922B8B" w:rsidP="002609AB">
      <w:pPr>
        <w:pStyle w:val="Normalaftertitle"/>
        <w:rPr>
          <w:lang w:val="en-US"/>
        </w:rPr>
      </w:pPr>
      <w:r w:rsidRPr="00041661">
        <w:rPr>
          <w:lang w:val="en-US"/>
        </w:rPr>
        <w:t xml:space="preserve">All unwanted emissions are to be at least </w:t>
      </w:r>
      <w:r w:rsidRPr="00041661">
        <w:rPr>
          <w:i/>
          <w:lang w:val="en-US"/>
        </w:rPr>
        <w:t>x</w:t>
      </w:r>
      <w:r w:rsidRPr="00041661">
        <w:rPr>
          <w:lang w:val="en-US"/>
        </w:rPr>
        <w:t xml:space="preserve"> dB down from the total mean power </w:t>
      </w:r>
      <w:r w:rsidRPr="00041661">
        <w:rPr>
          <w:i/>
          <w:lang w:val="en-US"/>
        </w:rPr>
        <w:t>P</w:t>
      </w:r>
      <w:r w:rsidRPr="00041661">
        <w:rPr>
          <w:lang w:val="en-US"/>
        </w:rPr>
        <w:t>, i.e. –</w:t>
      </w:r>
      <w:r w:rsidRPr="00041661">
        <w:rPr>
          <w:i/>
          <w:lang w:val="en-US"/>
        </w:rPr>
        <w:t>x</w:t>
      </w:r>
      <w:r w:rsidRPr="00041661">
        <w:rPr>
          <w:lang w:val="en-US"/>
        </w:rPr>
        <w:t xml:space="preserve"> dBc. The power </w:t>
      </w:r>
      <w:r w:rsidRPr="00041661">
        <w:rPr>
          <w:i/>
          <w:lang w:val="en-US"/>
        </w:rPr>
        <w:t>P</w:t>
      </w:r>
      <w:r w:rsidRPr="00041661">
        <w:rPr>
          <w:lang w:val="en-US"/>
        </w:rPr>
        <w:t xml:space="preserve"> (W) is to be measured in a bandwidth wide enough to include the total mean power. The spurious domain emissions are to be measured in the reference bandwidths given in this Recommendation. </w:t>
      </w:r>
      <w:r>
        <w:rPr>
          <w:lang w:val="en-GB"/>
        </w:rPr>
        <w:t xml:space="preserve">The measurement of the spurious domain emission power is independent of the value of necessary bandwidth. </w:t>
      </w:r>
      <w:r>
        <w:rPr>
          <w:lang w:val="en-US"/>
        </w:rPr>
        <w:t xml:space="preserve">Note that the attenuation of 43 </w:t>
      </w:r>
      <w:r w:rsidR="002609AB">
        <w:rPr>
          <w:lang w:val="en-US"/>
        </w:rPr>
        <w:t>+</w:t>
      </w:r>
      <w:r>
        <w:rPr>
          <w:lang w:val="en-US"/>
        </w:rPr>
        <w:t xml:space="preserve"> 10 log </w:t>
      </w:r>
      <w:r>
        <w:rPr>
          <w:i/>
          <w:lang w:val="en-US"/>
        </w:rPr>
        <w:t>P</w:t>
      </w:r>
      <w:r>
        <w:rPr>
          <w:lang w:val="en-US"/>
        </w:rPr>
        <w:t xml:space="preserve"> always results in an absolute spurious domain emission power level of –</w:t>
      </w:r>
      <w:r>
        <w:rPr>
          <w:sz w:val="4"/>
          <w:lang w:val="en-US"/>
        </w:rPr>
        <w:t> </w:t>
      </w:r>
      <w:r>
        <w:rPr>
          <w:lang w:val="en-US"/>
        </w:rPr>
        <w:t>43 dBW or –</w:t>
      </w:r>
      <w:r>
        <w:rPr>
          <w:sz w:val="4"/>
          <w:lang w:val="en-US"/>
        </w:rPr>
        <w:t> </w:t>
      </w:r>
      <w:r>
        <w:rPr>
          <w:lang w:val="en-US"/>
        </w:rPr>
        <w:t xml:space="preserve">13 dBm. </w:t>
      </w:r>
      <w:r w:rsidRPr="00041661">
        <w:rPr>
          <w:lang w:val="en-US"/>
        </w:rPr>
        <w:t>Because this absolute emission power limit can become too stringent for high power transmitters, alternate relative powers are also provided in Table 2.</w:t>
      </w:r>
    </w:p>
    <w:p w:rsidR="00922B8B" w:rsidRDefault="00922B8B" w:rsidP="00922B8B">
      <w:pPr>
        <w:pStyle w:val="Headingi"/>
        <w:rPr>
          <w:lang w:val="en-US"/>
        </w:rPr>
      </w:pPr>
      <w:bookmarkStart w:id="125" w:name="_Toc393687599"/>
      <w:bookmarkStart w:id="126" w:name="_Toc394112317"/>
      <w:r>
        <w:rPr>
          <w:lang w:val="en-US"/>
        </w:rPr>
        <w:t>Example 1:</w:t>
      </w:r>
      <w:bookmarkEnd w:id="125"/>
      <w:bookmarkEnd w:id="126"/>
    </w:p>
    <w:p w:rsidR="00922B8B" w:rsidRDefault="00922B8B" w:rsidP="002609AB">
      <w:pPr>
        <w:rPr>
          <w:lang w:val="en-US"/>
        </w:rPr>
      </w:pPr>
      <w:r>
        <w:rPr>
          <w:lang w:val="en-US"/>
        </w:rPr>
        <w:t>A land mobile transmitter, with any value of necessary bandwidth, must meet a spurious domain emission attenuation of 43 </w:t>
      </w:r>
      <w:r w:rsidR="002609AB">
        <w:rPr>
          <w:lang w:val="en-US"/>
        </w:rPr>
        <w:t>+</w:t>
      </w:r>
      <w:r>
        <w:rPr>
          <w:lang w:val="en-US"/>
        </w:rPr>
        <w:t xml:space="preserve"> 10 log </w:t>
      </w:r>
      <w:r>
        <w:rPr>
          <w:i/>
          <w:lang w:val="en-US"/>
        </w:rPr>
        <w:t>P</w:t>
      </w:r>
      <w:r>
        <w:rPr>
          <w:lang w:val="en-US"/>
        </w:rPr>
        <w:t>, or 70 dBc, whichever is less stringent. To measure spurious domain emissions in the frequency range between 30 and 1</w:t>
      </w:r>
      <w:r>
        <w:rPr>
          <w:rFonts w:ascii="Tms Rmn" w:hAnsi="Tms Rmn"/>
          <w:sz w:val="12"/>
          <w:lang w:val="en-US"/>
        </w:rPr>
        <w:t> </w:t>
      </w:r>
      <w:r>
        <w:rPr>
          <w:lang w:val="en-US"/>
        </w:rPr>
        <w:t xml:space="preserve">000 MHz, </w:t>
      </w:r>
      <w:r>
        <w:rPr>
          <w:i/>
          <w:lang w:val="en-US"/>
        </w:rPr>
        <w:t>recommends</w:t>
      </w:r>
      <w:r>
        <w:rPr>
          <w:lang w:val="en-US"/>
        </w:rPr>
        <w:t xml:space="preserve"> 4.1 indicates use of a reference bandwidth of 100 kHz. For other frequency ranges, the measurement must use the appropriate reference bandwidths given in </w:t>
      </w:r>
      <w:r>
        <w:rPr>
          <w:i/>
          <w:lang w:val="en-US"/>
        </w:rPr>
        <w:t>recommends</w:t>
      </w:r>
      <w:r>
        <w:rPr>
          <w:lang w:val="en-US"/>
        </w:rPr>
        <w:t xml:space="preserve"> 4.1.</w:t>
      </w:r>
    </w:p>
    <w:p w:rsidR="00922B8B" w:rsidRDefault="00922B8B" w:rsidP="00922B8B">
      <w:pPr>
        <w:pStyle w:val="Headingi"/>
        <w:rPr>
          <w:iCs/>
          <w:lang w:val="en-US"/>
        </w:rPr>
      </w:pPr>
      <w:r>
        <w:rPr>
          <w:iCs/>
          <w:lang w:val="en-US"/>
        </w:rPr>
        <w:t>With a measured total mean power of 10 W:</w:t>
      </w:r>
    </w:p>
    <w:p w:rsidR="00922B8B" w:rsidRDefault="00922B8B" w:rsidP="002609AB">
      <w:pPr>
        <w:pStyle w:val="enumlev1"/>
        <w:rPr>
          <w:lang w:val="en-US"/>
        </w:rPr>
      </w:pPr>
      <w:r>
        <w:rPr>
          <w:lang w:val="en-US"/>
        </w:rPr>
        <w:tab/>
        <w:t xml:space="preserve">Attenuation relative to total mean power </w:t>
      </w:r>
      <w:r w:rsidR="002609AB">
        <w:rPr>
          <w:lang w:val="en-US"/>
        </w:rPr>
        <w:t>=</w:t>
      </w:r>
      <w:r>
        <w:rPr>
          <w:lang w:val="en-US"/>
        </w:rPr>
        <w:t xml:space="preserve"> 43 </w:t>
      </w:r>
      <w:r w:rsidR="002609AB">
        <w:rPr>
          <w:lang w:val="en-US"/>
        </w:rPr>
        <w:t>+</w:t>
      </w:r>
      <w:r>
        <w:rPr>
          <w:lang w:val="en-US"/>
        </w:rPr>
        <w:t> 10 log 10 </w:t>
      </w:r>
      <w:r w:rsidR="002609AB">
        <w:rPr>
          <w:lang w:val="en-US"/>
        </w:rPr>
        <w:t>=</w:t>
      </w:r>
      <w:r>
        <w:rPr>
          <w:lang w:val="en-US"/>
        </w:rPr>
        <w:t> 53 dB</w:t>
      </w:r>
    </w:p>
    <w:p w:rsidR="00922B8B" w:rsidRDefault="00922B8B" w:rsidP="00922B8B">
      <w:pPr>
        <w:pStyle w:val="enumlev1"/>
        <w:rPr>
          <w:lang w:val="en-US"/>
        </w:rPr>
      </w:pPr>
      <w:r>
        <w:rPr>
          <w:lang w:val="en-US"/>
        </w:rPr>
        <w:tab/>
        <w:t>The 53 dBc is less stringent than 70 dBc, so the 53 dBc value is used.</w:t>
      </w:r>
    </w:p>
    <w:p w:rsidR="00922B8B" w:rsidRDefault="00922B8B" w:rsidP="00922B8B">
      <w:pPr>
        <w:rPr>
          <w:lang w:val="en-US"/>
        </w:rPr>
      </w:pPr>
      <w:r>
        <w:rPr>
          <w:lang w:val="en-US"/>
        </w:rPr>
        <w:t>Therefore:</w:t>
      </w:r>
    </w:p>
    <w:p w:rsidR="00922B8B" w:rsidRDefault="00922B8B" w:rsidP="00922B8B">
      <w:pPr>
        <w:pStyle w:val="enumlev1"/>
        <w:rPr>
          <w:lang w:val="en-US"/>
        </w:rPr>
      </w:pPr>
      <w:r>
        <w:rPr>
          <w:lang w:val="en-US"/>
        </w:rPr>
        <w:tab/>
        <w:t>Spurious domain emissions must not exceed 53 dBc in a 100 kHz reference bandwidth, or converting to an absolute level</w:t>
      </w:r>
    </w:p>
    <w:p w:rsidR="00922B8B" w:rsidRDefault="00922B8B" w:rsidP="002609AB">
      <w:pPr>
        <w:pStyle w:val="enumlev1"/>
        <w:rPr>
          <w:lang w:val="en-US"/>
        </w:rPr>
      </w:pPr>
      <w:r>
        <w:rPr>
          <w:lang w:val="en-US"/>
        </w:rPr>
        <w:tab/>
        <w:t xml:space="preserve">Spurious domain emissions must not exceed 10 dBW – 53 dBc </w:t>
      </w:r>
      <w:r w:rsidR="002609AB">
        <w:rPr>
          <w:lang w:val="en-US"/>
        </w:rPr>
        <w:t>=</w:t>
      </w:r>
      <w:r>
        <w:rPr>
          <w:lang w:val="en-US"/>
        </w:rPr>
        <w:t xml:space="preserve"> –</w:t>
      </w:r>
      <w:r>
        <w:rPr>
          <w:rFonts w:ascii="Tms Rmn" w:hAnsi="Tms Rmn"/>
          <w:sz w:val="6"/>
          <w:lang w:val="en-US"/>
        </w:rPr>
        <w:t> </w:t>
      </w:r>
      <w:r>
        <w:rPr>
          <w:lang w:val="en-US"/>
        </w:rPr>
        <w:t>43 dBW in a 100 kHz reference bandwidth.</w:t>
      </w:r>
    </w:p>
    <w:p w:rsidR="00922B8B" w:rsidRDefault="00922B8B" w:rsidP="00922B8B">
      <w:pPr>
        <w:pStyle w:val="Headingi"/>
        <w:rPr>
          <w:lang w:val="en-US"/>
        </w:rPr>
      </w:pPr>
      <w:r>
        <w:rPr>
          <w:lang w:val="en-US"/>
        </w:rPr>
        <w:t>With a measured total mean power of 1</w:t>
      </w:r>
      <w:r>
        <w:rPr>
          <w:rFonts w:ascii="Tms Rmn" w:hAnsi="Tms Rmn"/>
          <w:sz w:val="12"/>
          <w:lang w:val="en-US"/>
        </w:rPr>
        <w:t> </w:t>
      </w:r>
      <w:r>
        <w:rPr>
          <w:lang w:val="en-US"/>
        </w:rPr>
        <w:t>000 W:</w:t>
      </w:r>
    </w:p>
    <w:p w:rsidR="00922B8B" w:rsidRDefault="00922B8B" w:rsidP="002609AB">
      <w:pPr>
        <w:pStyle w:val="enumlev1"/>
        <w:rPr>
          <w:lang w:val="en-US"/>
        </w:rPr>
      </w:pPr>
      <w:r>
        <w:rPr>
          <w:lang w:val="en-US"/>
        </w:rPr>
        <w:tab/>
        <w:t xml:space="preserve">Attenuation relative to total mean power </w:t>
      </w:r>
      <w:r w:rsidR="002609AB">
        <w:rPr>
          <w:lang w:val="en-US"/>
        </w:rPr>
        <w:t>=</w:t>
      </w:r>
      <w:r>
        <w:rPr>
          <w:lang w:val="en-US"/>
        </w:rPr>
        <w:t xml:space="preserve"> 43 </w:t>
      </w:r>
      <w:r w:rsidR="002609AB">
        <w:rPr>
          <w:lang w:val="en-US"/>
        </w:rPr>
        <w:t>+</w:t>
      </w:r>
      <w:r>
        <w:rPr>
          <w:lang w:val="en-US"/>
        </w:rPr>
        <w:t xml:space="preserve"> 10 log 1</w:t>
      </w:r>
      <w:r>
        <w:rPr>
          <w:rFonts w:ascii="Tms Rmn" w:hAnsi="Tms Rmn"/>
          <w:sz w:val="12"/>
          <w:lang w:val="en-US"/>
        </w:rPr>
        <w:t> </w:t>
      </w:r>
      <w:r>
        <w:rPr>
          <w:lang w:val="en-US"/>
        </w:rPr>
        <w:t xml:space="preserve">000 </w:t>
      </w:r>
      <w:r w:rsidR="002609AB">
        <w:rPr>
          <w:lang w:val="en-US"/>
        </w:rPr>
        <w:t>=</w:t>
      </w:r>
      <w:r>
        <w:rPr>
          <w:lang w:val="en-US"/>
        </w:rPr>
        <w:t xml:space="preserve"> 73 dB</w:t>
      </w:r>
    </w:p>
    <w:p w:rsidR="00922B8B" w:rsidRDefault="00922B8B" w:rsidP="00922B8B">
      <w:pPr>
        <w:pStyle w:val="enumlev1"/>
        <w:rPr>
          <w:lang w:val="en-US"/>
        </w:rPr>
      </w:pPr>
      <w:r>
        <w:rPr>
          <w:lang w:val="en-US"/>
        </w:rPr>
        <w:tab/>
        <w:t>The 73 dBc is more stringent than 70 dBc limit, so the 70 dBc value is used.</w:t>
      </w:r>
    </w:p>
    <w:p w:rsidR="00922B8B" w:rsidRDefault="00922B8B" w:rsidP="00922B8B">
      <w:pPr>
        <w:rPr>
          <w:lang w:val="en-US"/>
        </w:rPr>
      </w:pPr>
      <w:r>
        <w:rPr>
          <w:lang w:val="en-US"/>
        </w:rPr>
        <w:t>Therefore:</w:t>
      </w:r>
    </w:p>
    <w:p w:rsidR="00922B8B" w:rsidRDefault="00922B8B" w:rsidP="00922B8B">
      <w:pPr>
        <w:pStyle w:val="enumlev1"/>
        <w:rPr>
          <w:lang w:val="en-US"/>
        </w:rPr>
      </w:pPr>
      <w:r>
        <w:rPr>
          <w:lang w:val="en-US"/>
        </w:rPr>
        <w:tab/>
        <w:t>Spurious domain emissions must not exceed 70 dBc in a 100 kHz reference bandwidth, or converting to an absolute level</w:t>
      </w:r>
    </w:p>
    <w:p w:rsidR="00922B8B" w:rsidRDefault="00922B8B" w:rsidP="002609AB">
      <w:pPr>
        <w:pStyle w:val="enumlev1"/>
        <w:rPr>
          <w:lang w:val="en-US"/>
        </w:rPr>
      </w:pPr>
      <w:r>
        <w:rPr>
          <w:lang w:val="en-US"/>
        </w:rPr>
        <w:tab/>
        <w:t xml:space="preserve">Spurious domain emissions must not exceed 30 dBW – 70 dBc </w:t>
      </w:r>
      <w:r w:rsidR="002609AB">
        <w:rPr>
          <w:lang w:val="en-US"/>
        </w:rPr>
        <w:t>=</w:t>
      </w:r>
      <w:r>
        <w:rPr>
          <w:lang w:val="en-US"/>
        </w:rPr>
        <w:t xml:space="preserve"> –</w:t>
      </w:r>
      <w:r>
        <w:rPr>
          <w:sz w:val="6"/>
          <w:lang w:val="en-US"/>
        </w:rPr>
        <w:t> </w:t>
      </w:r>
      <w:r>
        <w:rPr>
          <w:lang w:val="en-US"/>
        </w:rPr>
        <w:t>40 dBW in a 100 kHz reference bandwidth.</w:t>
      </w:r>
    </w:p>
    <w:p w:rsidR="00922B8B" w:rsidRDefault="00922B8B" w:rsidP="00922B8B">
      <w:pPr>
        <w:pStyle w:val="Headingi"/>
        <w:rPr>
          <w:lang w:val="en-US"/>
        </w:rPr>
      </w:pPr>
      <w:bookmarkStart w:id="127" w:name="_Toc393687600"/>
      <w:bookmarkStart w:id="128" w:name="_Toc394112318"/>
      <w:r>
        <w:rPr>
          <w:lang w:val="en-US"/>
        </w:rPr>
        <w:t>Example 2:</w:t>
      </w:r>
      <w:bookmarkEnd w:id="127"/>
      <w:bookmarkEnd w:id="128"/>
    </w:p>
    <w:p w:rsidR="00922B8B" w:rsidRDefault="00922B8B" w:rsidP="002609AB">
      <w:pPr>
        <w:rPr>
          <w:lang w:val="en-US"/>
        </w:rPr>
      </w:pPr>
      <w:r>
        <w:rPr>
          <w:lang w:val="en-US"/>
        </w:rPr>
        <w:t>A space services transmitter, with any value of necessary bandwidth, must meet a spurious domain emission attenuation of 43 </w:t>
      </w:r>
      <w:r w:rsidR="002609AB">
        <w:rPr>
          <w:lang w:val="en-US"/>
        </w:rPr>
        <w:t>+</w:t>
      </w:r>
      <w:r>
        <w:rPr>
          <w:lang w:val="en-US"/>
        </w:rPr>
        <w:t> 10 log </w:t>
      </w:r>
      <w:r>
        <w:rPr>
          <w:i/>
          <w:lang w:val="en-US"/>
        </w:rPr>
        <w:t>P</w:t>
      </w:r>
      <w:r>
        <w:rPr>
          <w:lang w:val="en-US"/>
        </w:rPr>
        <w:t>, or 60 dBc, whichever is less stringent. To measure spurious domain emissions at any frequency, footnote</w:t>
      </w:r>
      <w:r>
        <w:rPr>
          <w:position w:val="6"/>
          <w:sz w:val="20"/>
          <w:lang w:val="en-US"/>
        </w:rPr>
        <w:t>(3)</w:t>
      </w:r>
      <w:r>
        <w:rPr>
          <w:lang w:val="en-US"/>
        </w:rPr>
        <w:t xml:space="preserve"> of Table 2 indicates using a reference bandwidth of 4 kHz.</w:t>
      </w:r>
    </w:p>
    <w:p w:rsidR="00922B8B" w:rsidRDefault="00922B8B" w:rsidP="00922B8B">
      <w:pPr>
        <w:pStyle w:val="Headingi"/>
        <w:rPr>
          <w:lang w:val="en-US"/>
        </w:rPr>
      </w:pPr>
      <w:r>
        <w:rPr>
          <w:lang w:val="en-US"/>
        </w:rPr>
        <w:t>With a measured total mean power of 20 W:</w:t>
      </w:r>
    </w:p>
    <w:p w:rsidR="00922B8B" w:rsidRDefault="00922B8B" w:rsidP="002609AB">
      <w:pPr>
        <w:pStyle w:val="enumlev1"/>
        <w:rPr>
          <w:lang w:val="en-US"/>
        </w:rPr>
      </w:pPr>
      <w:r>
        <w:rPr>
          <w:lang w:val="en-US"/>
        </w:rPr>
        <w:tab/>
        <w:t>Attenuation relative to total mean power </w:t>
      </w:r>
      <w:r w:rsidR="002609AB">
        <w:rPr>
          <w:lang w:val="en-US"/>
        </w:rPr>
        <w:t>=</w:t>
      </w:r>
      <w:r>
        <w:rPr>
          <w:lang w:val="en-US"/>
        </w:rPr>
        <w:t> 43 </w:t>
      </w:r>
      <w:r w:rsidR="002609AB">
        <w:rPr>
          <w:lang w:val="en-US"/>
        </w:rPr>
        <w:t>+</w:t>
      </w:r>
      <w:r>
        <w:rPr>
          <w:lang w:val="en-US"/>
        </w:rPr>
        <w:t> 10 log 20 </w:t>
      </w:r>
      <w:r w:rsidR="002609AB">
        <w:rPr>
          <w:lang w:val="en-US"/>
        </w:rPr>
        <w:t>=</w:t>
      </w:r>
      <w:r>
        <w:rPr>
          <w:lang w:val="en-US"/>
        </w:rPr>
        <w:t> 56 dB</w:t>
      </w:r>
    </w:p>
    <w:p w:rsidR="00922B8B" w:rsidRDefault="00922B8B" w:rsidP="00922B8B">
      <w:pPr>
        <w:pStyle w:val="enumlev1"/>
        <w:rPr>
          <w:lang w:val="en-US"/>
        </w:rPr>
      </w:pPr>
      <w:r>
        <w:rPr>
          <w:lang w:val="en-US"/>
        </w:rPr>
        <w:tab/>
        <w:t>The 56 dBc is less stringent than the 60 dBc limit, so the 56 dBc value is used.</w:t>
      </w:r>
    </w:p>
    <w:p w:rsidR="00922B8B" w:rsidRDefault="00922B8B" w:rsidP="00922B8B">
      <w:pPr>
        <w:rPr>
          <w:lang w:val="en-US"/>
        </w:rPr>
      </w:pPr>
      <w:r>
        <w:rPr>
          <w:lang w:val="en-US"/>
        </w:rPr>
        <w:lastRenderedPageBreak/>
        <w:t>Therefore:</w:t>
      </w:r>
    </w:p>
    <w:p w:rsidR="00922B8B" w:rsidRDefault="00922B8B" w:rsidP="00922B8B">
      <w:pPr>
        <w:pStyle w:val="enumlev1"/>
        <w:rPr>
          <w:lang w:val="en-US"/>
        </w:rPr>
      </w:pPr>
      <w:r>
        <w:rPr>
          <w:lang w:val="en-US"/>
        </w:rPr>
        <w:tab/>
        <w:t>Spurious domain emissions must not exceed 56 dBc in a 4 kHz reference bandwidth or converting to an absolute level</w:t>
      </w:r>
    </w:p>
    <w:p w:rsidR="00922B8B" w:rsidRDefault="00922B8B" w:rsidP="002609AB">
      <w:pPr>
        <w:pStyle w:val="enumlev1"/>
        <w:rPr>
          <w:lang w:val="en-US"/>
        </w:rPr>
      </w:pPr>
      <w:r>
        <w:rPr>
          <w:lang w:val="en-US"/>
        </w:rPr>
        <w:tab/>
        <w:t>Spurious domain emissions must not exceed 13 dBW – 56 dBc </w:t>
      </w:r>
      <w:r w:rsidR="002609AB">
        <w:rPr>
          <w:lang w:val="en-US"/>
        </w:rPr>
        <w:t>=</w:t>
      </w:r>
      <w:r>
        <w:rPr>
          <w:lang w:val="en-US"/>
        </w:rPr>
        <w:t> –</w:t>
      </w:r>
      <w:r>
        <w:rPr>
          <w:rFonts w:ascii="Tms Rmn" w:hAnsi="Tms Rmn"/>
          <w:sz w:val="6"/>
          <w:lang w:val="en-US"/>
        </w:rPr>
        <w:t> </w:t>
      </w:r>
      <w:r>
        <w:rPr>
          <w:lang w:val="en-US"/>
        </w:rPr>
        <w:t>43 dBW in a 4 kHz reference bandwidth.</w:t>
      </w:r>
    </w:p>
    <w:p w:rsidR="00922B8B" w:rsidRDefault="00922B8B" w:rsidP="000F3860">
      <w:pPr>
        <w:pStyle w:val="TableNo"/>
        <w:rPr>
          <w:lang w:val="en-US"/>
        </w:rPr>
      </w:pPr>
      <w:r>
        <w:rPr>
          <w:lang w:val="en-US"/>
        </w:rPr>
        <w:t>TABLE 10</w:t>
      </w:r>
    </w:p>
    <w:p w:rsidR="00922B8B" w:rsidRDefault="00922B8B" w:rsidP="00922B8B">
      <w:pPr>
        <w:pStyle w:val="Tabletitle"/>
        <w:rPr>
          <w:lang w:val="en-US"/>
        </w:rPr>
      </w:pPr>
      <w:r>
        <w:rPr>
          <w:lang w:val="en-US"/>
        </w:rPr>
        <w:t>Absolute levels of spurious domain emissions – Category A</w:t>
      </w:r>
    </w:p>
    <w:tbl>
      <w:tblPr>
        <w:tblW w:w="9640"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4218"/>
        <w:gridCol w:w="5422"/>
      </w:tblGrid>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vertAlign w:val="superscript"/>
                <w:lang w:val="en-US"/>
              </w:rPr>
              <w:t>(1), (2)</w:t>
            </w:r>
          </w:p>
        </w:tc>
        <w:tc>
          <w:tcPr>
            <w:tcW w:w="542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Maximum permitted spurious domain emission</w:t>
            </w:r>
            <w:r>
              <w:rPr>
                <w:lang w:val="en-US"/>
              </w:rPr>
              <w:br/>
              <w:t xml:space="preserve">power in the relevant reference bandwidth </w:t>
            </w:r>
            <w:r>
              <w:rPr>
                <w:lang w:val="en-US"/>
              </w:rPr>
              <w:br/>
              <w:t>(see</w:t>
            </w:r>
            <w:r>
              <w:rPr>
                <w:i/>
                <w:lang w:val="en-US"/>
              </w:rPr>
              <w:t xml:space="preserve"> recommends</w:t>
            </w:r>
            <w:r>
              <w:rPr>
                <w:lang w:val="en-US"/>
              </w:rPr>
              <w:t xml:space="preserve"> 4.1) (dBm)</w:t>
            </w:r>
            <w:r>
              <w:rPr>
                <w:lang w:val="en-US"/>
              </w:rPr>
              <w:br/>
              <w:t xml:space="preserve">with </w:t>
            </w:r>
            <w:r>
              <w:rPr>
                <w:i/>
                <w:lang w:val="en-US"/>
              </w:rPr>
              <w:t>P</w:t>
            </w:r>
            <w:r>
              <w:rPr>
                <w:lang w:val="en-US"/>
              </w:rPr>
              <w:t xml:space="preserve">, </w:t>
            </w:r>
            <w:r>
              <w:rPr>
                <w:i/>
                <w:lang w:val="en-US"/>
              </w:rPr>
              <w:t>PEP</w:t>
            </w:r>
            <w:r>
              <w:rPr>
                <w:lang w:val="en-US"/>
              </w:rPr>
              <w:t xml:space="preserve"> or </w:t>
            </w:r>
            <w:r>
              <w:rPr>
                <w:i/>
                <w:lang w:val="en-US"/>
              </w:rPr>
              <w:t>X</w:t>
            </w:r>
            <w:r>
              <w:rPr>
                <w:lang w:val="en-US"/>
              </w:rPr>
              <w:t xml:space="preserve">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All services except those services quoted below</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500 W</w:t>
            </w:r>
            <w:r>
              <w:rPr>
                <w:lang w:val="en-US"/>
              </w:rPr>
              <w:br/>
              <w:t xml:space="preserve">10 log </w:t>
            </w:r>
            <w:r>
              <w:rPr>
                <w:i/>
                <w:iCs/>
                <w:lang w:val="en-US"/>
              </w:rPr>
              <w:t>P</w:t>
            </w:r>
            <w:r>
              <w:rPr>
                <w:lang w:val="en-US"/>
              </w:rPr>
              <w:t> – 40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Space services (mobile earth stations)</w:t>
            </w:r>
            <w:r w:rsidRPr="00041661">
              <w:rPr>
                <w:vertAlign w:val="superscript"/>
                <w:lang w:val="en-US"/>
              </w:rPr>
              <w:t>(3), (4)</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rsidRPr="00041661">
              <w:rPr>
                <w:lang w:val="en-US"/>
              </w:rPr>
              <w:t>Space services (fixed earth stations)</w:t>
            </w:r>
            <w:r w:rsidRPr="00041661">
              <w:rPr>
                <w:vertAlign w:val="superscript"/>
                <w:lang w:val="en-US"/>
              </w:rPr>
              <w:t>(3), (4)</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t>Space services space stations</w:t>
            </w:r>
            <w:r>
              <w:rPr>
                <w:vertAlign w:val="superscript"/>
              </w:rPr>
              <w:t>(3), (5), (6)</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Pr>
                <w:szCs w:val="18"/>
              </w:rPr>
              <w:sym w:font="Symbol" w:char="F0A3"/>
            </w:r>
            <w:r>
              <w:rPr>
                <w:lang w:val="en-US"/>
              </w:rPr>
              <w:t xml:space="preserve"> 50 W</w:t>
            </w:r>
            <w:r>
              <w:rPr>
                <w:lang w:val="en-US"/>
              </w:rPr>
              <w:br/>
              <w:t xml:space="preserve">10 log </w:t>
            </w:r>
            <w:r>
              <w:rPr>
                <w:i/>
                <w:iCs/>
                <w:lang w:val="en-US"/>
              </w:rPr>
              <w:t>P</w:t>
            </w:r>
            <w:r>
              <w:rPr>
                <w:lang w:val="en-US"/>
              </w:rPr>
              <w:t> – 30</w:t>
            </w:r>
            <w:r>
              <w:rPr>
                <w:lang w:val="en-US"/>
              </w:rPr>
              <w:tab/>
            </w:r>
            <w:r>
              <w:rPr>
                <w:lang w:val="en-US"/>
              </w:rPr>
              <w:tab/>
              <w:t xml:space="preserve">if </w:t>
            </w:r>
            <w:r>
              <w:rPr>
                <w:i/>
                <w:iCs/>
                <w:lang w:val="en-US"/>
              </w:rPr>
              <w:t>P</w:t>
            </w:r>
            <w:r>
              <w:rPr>
                <w:lang w:val="en-US"/>
              </w:rPr>
              <w:t xml:space="preserve"> </w:t>
            </w:r>
            <w:r>
              <w:rPr>
                <w:szCs w:val="18"/>
              </w:rPr>
              <w:sym w:font="Symbol" w:char="F0B3"/>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vertAlign w:val="superscript"/>
                <w:lang w:val="en-US"/>
              </w:rPr>
            </w:pPr>
            <w:r>
              <w:t>Radiodetermination</w:t>
            </w:r>
            <w:r>
              <w:rPr>
                <w:vertAlign w:val="superscript"/>
              </w:rPr>
              <w:t>(7)</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PEP</w:t>
            </w:r>
            <w:r>
              <w:rPr>
                <w:lang w:val="en-US"/>
              </w:rPr>
              <w:t xml:space="preserve"> </w:t>
            </w:r>
            <w:r>
              <w:rPr>
                <w:szCs w:val="18"/>
              </w:rPr>
              <w:sym w:font="Symbol" w:char="F0A3"/>
            </w:r>
            <w:r>
              <w:rPr>
                <w:lang w:val="en-US"/>
              </w:rPr>
              <w:t xml:space="preserve"> 50 W</w:t>
            </w:r>
            <w:r>
              <w:rPr>
                <w:lang w:val="en-US"/>
              </w:rPr>
              <w:br/>
              <w:t xml:space="preserve">10 log </w:t>
            </w:r>
            <w:r>
              <w:rPr>
                <w:i/>
                <w:iCs/>
                <w:lang w:val="en-US"/>
              </w:rPr>
              <w:t>PEP</w:t>
            </w:r>
            <w:r>
              <w:rPr>
                <w:lang w:val="en-US"/>
              </w:rPr>
              <w:t> – 30</w:t>
            </w:r>
            <w:r>
              <w:rPr>
                <w:lang w:val="en-US"/>
              </w:rPr>
              <w:tab/>
              <w:t xml:space="preserve">if </w:t>
            </w:r>
            <w:r>
              <w:rPr>
                <w:i/>
                <w:iCs/>
                <w:lang w:val="en-US"/>
              </w:rPr>
              <w:t>PEP</w:t>
            </w:r>
            <w:r>
              <w:rPr>
                <w:lang w:val="en-US"/>
              </w:rPr>
              <w:t xml:space="preserve"> </w:t>
            </w:r>
            <w:r>
              <w:rPr>
                <w:szCs w:val="18"/>
              </w:rPr>
              <w:sym w:font="Symbol" w:char="F03E"/>
            </w:r>
            <w:r>
              <w:rPr>
                <w:lang w:val="en-US"/>
              </w:rPr>
              <w:t xml:space="preserve"> 50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TV</w:t>
            </w:r>
            <w:r>
              <w:rPr>
                <w:vertAlign w:val="superscript"/>
              </w:rPr>
              <w:t>(8)</w:t>
            </w:r>
            <w:r>
              <w:rPr>
                <w:lang w:val="en-US"/>
              </w:rPr>
              <w:br/>
              <w:t>VHF transmitters</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sym w:font="Symbol" w:char="F0A3"/>
            </w:r>
            <w:r>
              <w:rPr>
                <w:lang w:val="en-US"/>
              </w:rPr>
              <w:t xml:space="preserve"> 25 W </w:t>
            </w:r>
            <w:r>
              <w:rPr>
                <w:lang w:val="en-US"/>
              </w:rPr>
              <w:br/>
              <w:t xml:space="preserve">10 log </w:t>
            </w:r>
            <w:r>
              <w:rPr>
                <w:i/>
                <w:iCs/>
                <w:lang w:val="en-US"/>
              </w:rPr>
              <w:t>P</w:t>
            </w:r>
            <w:r>
              <w:rPr>
                <w:lang w:val="en-US"/>
              </w:rPr>
              <w:t> – 30</w:t>
            </w:r>
            <w:r>
              <w:rPr>
                <w:lang w:val="en-US"/>
              </w:rPr>
              <w:tab/>
            </w:r>
            <w:r>
              <w:rPr>
                <w:lang w:val="en-US"/>
              </w:rPr>
              <w:tab/>
              <w:t xml:space="preserve">if 25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w:t>
            </w:r>
            <w:r>
              <w:rPr>
                <w:rFonts w:ascii="Tms Rmn" w:hAnsi="Tms Rmn"/>
                <w:sz w:val="12"/>
                <w:lang w:val="en-US"/>
              </w:rPr>
              <w:t> </w:t>
            </w:r>
            <w:r>
              <w:rPr>
                <w:lang w:val="en-US"/>
              </w:rPr>
              <w:t>000 W</w:t>
            </w:r>
            <w:r>
              <w:rPr>
                <w:lang w:val="en-US"/>
              </w:rPr>
              <w:br/>
              <w:t>0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TV</w:t>
            </w:r>
            <w:r>
              <w:rPr>
                <w:vertAlign w:val="superscript"/>
              </w:rPr>
              <w:t>(8)</w:t>
            </w:r>
            <w:r>
              <w:rPr>
                <w:lang w:val="en-US"/>
              </w:rPr>
              <w:br/>
              <w:t>UHF transmitters</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25 W</w:t>
            </w:r>
            <w:r>
              <w:rPr>
                <w:lang w:val="en-US"/>
              </w:rPr>
              <w:br/>
              <w:t xml:space="preserve">10 log </w:t>
            </w:r>
            <w:r>
              <w:rPr>
                <w:i/>
                <w:iCs/>
                <w:lang w:val="en-US"/>
              </w:rPr>
              <w:t>P</w:t>
            </w:r>
            <w:r>
              <w:rPr>
                <w:lang w:val="en-US"/>
              </w:rPr>
              <w:t> – 30</w:t>
            </w:r>
            <w:r>
              <w:rPr>
                <w:lang w:val="en-US"/>
              </w:rPr>
              <w:tab/>
            </w:r>
            <w:r>
              <w:rPr>
                <w:lang w:val="en-US"/>
              </w:rPr>
              <w:tab/>
              <w:t xml:space="preserve">if 25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12</w:t>
            </w:r>
            <w:r>
              <w:rPr>
                <w:rFonts w:ascii="Tms Rmn" w:hAnsi="Tms Rmn"/>
                <w:sz w:val="12"/>
                <w:lang w:val="en-US"/>
              </w:rPr>
              <w:t> </w:t>
            </w:r>
            <w:r>
              <w:rPr>
                <w:lang w:val="en-US"/>
              </w:rPr>
              <w:t>000 W</w:t>
            </w:r>
            <w:r>
              <w:rPr>
                <w:lang w:val="en-US"/>
              </w:rPr>
              <w:br/>
              <w:t>10.8 dBm</w:t>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12</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Broadcast FM</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–16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250 W</w:t>
            </w:r>
            <w:r>
              <w:rPr>
                <w:lang w:val="en-US"/>
              </w:rPr>
              <w:br/>
              <w:t xml:space="preserve">10 log </w:t>
            </w:r>
            <w:r>
              <w:rPr>
                <w:i/>
                <w:iCs/>
                <w:lang w:val="en-US"/>
              </w:rPr>
              <w:t>P</w:t>
            </w:r>
            <w:r>
              <w:rPr>
                <w:lang w:val="en-US"/>
              </w:rPr>
              <w:t> – 40</w:t>
            </w:r>
            <w:r>
              <w:rPr>
                <w:lang w:val="en-US"/>
              </w:rPr>
              <w:tab/>
            </w:r>
            <w:r>
              <w:rPr>
                <w:lang w:val="en-US"/>
              </w:rPr>
              <w:tab/>
              <w:t xml:space="preserve">if 250 W </w:t>
            </w:r>
            <w:r w:rsidR="002609AB">
              <w:rPr>
                <w:lang w:val="en-US"/>
              </w:rPr>
              <w:t>&lt;</w:t>
            </w:r>
            <w:r>
              <w:rPr>
                <w:lang w:val="en-US"/>
              </w:rPr>
              <w:t xml:space="preserve"> </w:t>
            </w:r>
            <w:r>
              <w:rPr>
                <w:i/>
                <w:iCs/>
                <w:lang w:val="en-US"/>
              </w:rPr>
              <w:t>P</w:t>
            </w:r>
            <w:r>
              <w:rPr>
                <w:lang w:val="en-US"/>
              </w:rPr>
              <w:t xml:space="preserve"> </w:t>
            </w:r>
            <w:r w:rsidR="002609AB">
              <w:rPr>
                <w:lang w:val="en-US"/>
              </w:rPr>
              <w:t>≤</w:t>
            </w:r>
            <w:r>
              <w:rPr>
                <w:lang w:val="en-US"/>
              </w:rPr>
              <w:t xml:space="preserve"> 10</w:t>
            </w:r>
            <w:r>
              <w:rPr>
                <w:rFonts w:ascii="Tms Rmn" w:hAnsi="Tms Rmn"/>
                <w:sz w:val="12"/>
                <w:lang w:val="en-US"/>
              </w:rPr>
              <w:t> </w:t>
            </w:r>
            <w:r>
              <w:rPr>
                <w:lang w:val="en-US"/>
              </w:rPr>
              <w:t>000 W</w:t>
            </w:r>
            <w:r>
              <w:rPr>
                <w:lang w:val="en-US"/>
              </w:rPr>
              <w:br/>
              <w:t>0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10</w:t>
            </w:r>
            <w:r>
              <w:rPr>
                <w:rFonts w:ascii="Tms Rmn" w:hAnsi="Tms Rmn"/>
                <w:sz w:val="12"/>
                <w:lang w:val="en-US"/>
              </w:rPr>
              <w:t> </w:t>
            </w:r>
            <w:r>
              <w:rPr>
                <w:lang w:val="en-US"/>
              </w:rPr>
              <w:t>000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t>Broadcast MF/HF</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 xml:space="preserve">10 log </w:t>
            </w:r>
            <w:r>
              <w:rPr>
                <w:i/>
                <w:iCs/>
                <w:lang w:val="en-US"/>
              </w:rPr>
              <w:t>P</w:t>
            </w:r>
            <w:r>
              <w:rPr>
                <w:lang w:val="en-US"/>
              </w:rPr>
              <w:t> – 20</w:t>
            </w:r>
            <w:r>
              <w:rPr>
                <w:lang w:val="en-US"/>
              </w:rPr>
              <w:tab/>
            </w:r>
            <w:r>
              <w:rPr>
                <w:lang w:val="en-US"/>
              </w:rPr>
              <w:tab/>
              <w:t xml:space="preserve">if </w:t>
            </w:r>
            <w:r>
              <w:rPr>
                <w:i/>
                <w:iCs/>
                <w:lang w:val="en-US"/>
              </w:rPr>
              <w:t>P</w:t>
            </w:r>
            <w:r>
              <w:rPr>
                <w:lang w:val="en-US"/>
              </w:rPr>
              <w:t xml:space="preserve"> </w:t>
            </w:r>
            <w:r w:rsidR="002609AB">
              <w:rPr>
                <w:lang w:val="en-US"/>
              </w:rPr>
              <w:t>≤</w:t>
            </w:r>
            <w:r>
              <w:rPr>
                <w:lang w:val="en-US"/>
              </w:rPr>
              <w:t xml:space="preserve"> 5</w:t>
            </w:r>
            <w:r>
              <w:rPr>
                <w:rFonts w:ascii="Tms Rmn" w:hAnsi="Tms Rmn"/>
                <w:sz w:val="12"/>
                <w:lang w:val="en-US"/>
              </w:rPr>
              <w:t> </w:t>
            </w:r>
            <w:r>
              <w:rPr>
                <w:lang w:val="en-US"/>
              </w:rPr>
              <w:t>000 W</w:t>
            </w:r>
            <w:r>
              <w:rPr>
                <w:lang w:val="en-US"/>
              </w:rPr>
              <w:br/>
              <w:t>17 dBm</w:t>
            </w:r>
            <w:r>
              <w:rPr>
                <w:lang w:val="en-US"/>
              </w:rPr>
              <w:tab/>
            </w:r>
            <w:r>
              <w:rPr>
                <w:lang w:val="en-US"/>
              </w:rPr>
              <w:tab/>
            </w:r>
            <w:r>
              <w:rPr>
                <w:lang w:val="en-US"/>
              </w:rPr>
              <w:tab/>
            </w:r>
            <w:r>
              <w:rPr>
                <w:lang w:val="en-US"/>
              </w:rPr>
              <w:tab/>
              <w:t xml:space="preserve">if </w:t>
            </w:r>
            <w:r>
              <w:rPr>
                <w:i/>
                <w:iCs/>
                <w:lang w:val="en-US"/>
              </w:rPr>
              <w:t>P</w:t>
            </w:r>
            <w:r>
              <w:rPr>
                <w:lang w:val="en-US"/>
              </w:rPr>
              <w:t xml:space="preserve"> </w:t>
            </w:r>
            <w:r w:rsidR="002609AB">
              <w:rPr>
                <w:lang w:val="en-US"/>
              </w:rPr>
              <w:t>&gt;</w:t>
            </w:r>
            <w:r>
              <w:rPr>
                <w:lang w:val="en-US"/>
              </w:rPr>
              <w:t xml:space="preserve"> 5</w:t>
            </w:r>
            <w:r>
              <w:rPr>
                <w:rFonts w:ascii="Tms Rmn" w:hAnsi="Tms Rmn"/>
                <w:sz w:val="12"/>
                <w:lang w:val="en-US"/>
              </w:rPr>
              <w:t> </w:t>
            </w:r>
            <w:r>
              <w:rPr>
                <w:lang w:val="en-US"/>
              </w:rPr>
              <w:t>000 W</w:t>
            </w:r>
          </w:p>
        </w:tc>
      </w:tr>
      <w:tr w:rsidR="00922B8B"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t>SSB from mobile stations</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 xml:space="preserve">10 log </w:t>
            </w:r>
            <w:r>
              <w:rPr>
                <w:i/>
                <w:iCs/>
                <w:lang w:val="en-US"/>
              </w:rPr>
              <w:t>PEP</w:t>
            </w:r>
            <w:r>
              <w:rPr>
                <w:lang w:val="en-US"/>
              </w:rPr>
              <w:t> –13</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Amateur services operating below 30 MHz (including with SSB)</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PEP</w:t>
            </w:r>
            <w:r>
              <w:rPr>
                <w:lang w:val="en-US"/>
              </w:rPr>
              <w:t xml:space="preserve"> </w:t>
            </w:r>
            <w:r w:rsidR="002609AB">
              <w:rPr>
                <w:lang w:val="en-US"/>
              </w:rPr>
              <w:t>≤</w:t>
            </w:r>
            <w:r>
              <w:rPr>
                <w:lang w:val="en-US"/>
              </w:rPr>
              <w:t xml:space="preserve"> 5 W</w:t>
            </w:r>
            <w:r>
              <w:rPr>
                <w:lang w:val="en-US"/>
              </w:rPr>
              <w:br/>
              <w:t xml:space="preserve">10 log </w:t>
            </w:r>
            <w:r>
              <w:rPr>
                <w:i/>
                <w:iCs/>
                <w:lang w:val="en-US"/>
              </w:rPr>
              <w:t>PEP</w:t>
            </w:r>
            <w:r>
              <w:rPr>
                <w:lang w:val="en-US"/>
              </w:rPr>
              <w:t> – 20</w:t>
            </w:r>
            <w:r>
              <w:rPr>
                <w:lang w:val="en-US"/>
              </w:rPr>
              <w:tab/>
              <w:t xml:space="preserve">if </w:t>
            </w:r>
            <w:r>
              <w:rPr>
                <w:i/>
                <w:iCs/>
                <w:lang w:val="en-US"/>
              </w:rPr>
              <w:t>PEP</w:t>
            </w:r>
            <w:r>
              <w:rPr>
                <w:lang w:val="en-US"/>
              </w:rPr>
              <w:t xml:space="preserve"> </w:t>
            </w:r>
            <w:r w:rsidR="002609AB">
              <w:rPr>
                <w:lang w:val="en-US"/>
              </w:rPr>
              <w:t>&gt;</w:t>
            </w:r>
            <w:r>
              <w:rPr>
                <w:lang w:val="en-US"/>
              </w:rPr>
              <w:t xml:space="preserve"> 5 W</w:t>
            </w:r>
          </w:p>
        </w:tc>
      </w:tr>
      <w:tr w:rsidR="00922B8B" w:rsidRPr="00EB70C7" w:rsidTr="004D27B4">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Services operating below 30 MHz,</w:t>
            </w:r>
            <w:r>
              <w:rPr>
                <w:lang w:val="en-US"/>
              </w:rPr>
              <w:br/>
              <w:t>except space, radiodetermination, broadcast, those using SSB from mobile stations,</w:t>
            </w:r>
            <w:r>
              <w:rPr>
                <w:lang w:val="en-US"/>
              </w:rPr>
              <w:br/>
              <w:t>and amateur</w:t>
            </w:r>
            <w:r>
              <w:rPr>
                <w:vertAlign w:val="superscript"/>
                <w:lang w:val="en-US"/>
              </w:rPr>
              <w:t>(9)</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–13 dBm</w:t>
            </w:r>
            <w:r>
              <w:rPr>
                <w:lang w:val="en-US"/>
              </w:rPr>
              <w:tab/>
            </w:r>
            <w:r>
              <w:rPr>
                <w:lang w:val="en-US"/>
              </w:rPr>
              <w:tab/>
            </w:r>
            <w:r>
              <w:rPr>
                <w:lang w:val="en-US"/>
              </w:rPr>
              <w:tab/>
            </w:r>
            <w:r>
              <w:rPr>
                <w:lang w:val="en-US"/>
              </w:rPr>
              <w:tab/>
              <w:t xml:space="preserve">if </w:t>
            </w:r>
            <w:r>
              <w:rPr>
                <w:i/>
                <w:iCs/>
                <w:lang w:val="en-US"/>
              </w:rPr>
              <w:t>X</w:t>
            </w:r>
            <w:r>
              <w:rPr>
                <w:lang w:val="en-US"/>
              </w:rPr>
              <w:t xml:space="preserve"> </w:t>
            </w:r>
            <w:r w:rsidR="002609AB">
              <w:rPr>
                <w:lang w:val="en-US"/>
              </w:rPr>
              <w:t>≤</w:t>
            </w:r>
            <w:r>
              <w:rPr>
                <w:lang w:val="en-US"/>
              </w:rPr>
              <w:t xml:space="preserve"> 50 W</w:t>
            </w:r>
            <w:r>
              <w:rPr>
                <w:lang w:val="en-US"/>
              </w:rPr>
              <w:br/>
              <w:t xml:space="preserve">10 log </w:t>
            </w:r>
            <w:r>
              <w:rPr>
                <w:i/>
                <w:iCs/>
                <w:lang w:val="en-US"/>
              </w:rPr>
              <w:t>X</w:t>
            </w:r>
            <w:r>
              <w:rPr>
                <w:lang w:val="en-US"/>
              </w:rPr>
              <w:t> – 30</w:t>
            </w:r>
            <w:r>
              <w:rPr>
                <w:lang w:val="en-US"/>
              </w:rPr>
              <w:tab/>
            </w:r>
            <w:r>
              <w:rPr>
                <w:lang w:val="en-US"/>
              </w:rPr>
              <w:tab/>
              <w:t xml:space="preserve">if </w:t>
            </w:r>
            <w:r>
              <w:rPr>
                <w:i/>
                <w:iCs/>
                <w:lang w:val="en-US"/>
              </w:rPr>
              <w:t>X</w:t>
            </w:r>
            <w:r>
              <w:rPr>
                <w:lang w:val="en-US"/>
              </w:rPr>
              <w:t xml:space="preserve"> </w:t>
            </w:r>
            <w:r w:rsidR="002609AB">
              <w:rPr>
                <w:lang w:val="en-US"/>
              </w:rPr>
              <w:t>&gt;</w:t>
            </w:r>
            <w:r>
              <w:rPr>
                <w:lang w:val="en-US"/>
              </w:rPr>
              <w:t xml:space="preserve"> 50 W</w:t>
            </w:r>
            <w:r>
              <w:rPr>
                <w:lang w:val="en-US"/>
              </w:rPr>
              <w:br/>
              <w:t>where:</w:t>
            </w:r>
          </w:p>
          <w:p w:rsidR="00922B8B" w:rsidRDefault="00922B8B" w:rsidP="002609AB">
            <w:pPr>
              <w:pStyle w:val="Tabletext"/>
              <w:tabs>
                <w:tab w:val="clear" w:pos="1985"/>
                <w:tab w:val="clear" w:pos="2268"/>
                <w:tab w:val="left" w:pos="2143"/>
              </w:tabs>
              <w:jc w:val="left"/>
              <w:rPr>
                <w:lang w:val="en-US"/>
              </w:rPr>
            </w:pPr>
            <w:r>
              <w:rPr>
                <w:lang w:val="en-US"/>
              </w:rPr>
              <w:tab/>
            </w:r>
            <w:r>
              <w:rPr>
                <w:lang w:val="en-US"/>
              </w:rPr>
              <w:tab/>
            </w:r>
            <w:r>
              <w:rPr>
                <w:lang w:val="en-US"/>
              </w:rPr>
              <w:tab/>
            </w:r>
            <w:r>
              <w:rPr>
                <w:lang w:val="en-US"/>
              </w:rPr>
              <w:tab/>
            </w:r>
            <w:r>
              <w:rPr>
                <w:lang w:val="en-US"/>
              </w:rPr>
              <w:tab/>
            </w:r>
            <w:r>
              <w:rPr>
                <w:lang w:val="en-US"/>
              </w:rPr>
              <w:tab/>
            </w:r>
            <w:r>
              <w:rPr>
                <w:i/>
                <w:lang w:val="en-US"/>
              </w:rPr>
              <w:t>X</w:t>
            </w:r>
            <w:r>
              <w:rPr>
                <w:lang w:val="en-US"/>
              </w:rPr>
              <w:t xml:space="preserve"> </w:t>
            </w:r>
            <w:r w:rsidR="002609AB">
              <w:rPr>
                <w:lang w:val="en-US"/>
              </w:rPr>
              <w:t>=</w:t>
            </w:r>
            <w:r>
              <w:rPr>
                <w:lang w:val="en-US"/>
              </w:rPr>
              <w:t xml:space="preserve"> </w:t>
            </w:r>
            <w:r>
              <w:rPr>
                <w:i/>
                <w:lang w:val="en-US"/>
              </w:rPr>
              <w:t>PEP</w:t>
            </w:r>
            <w:r>
              <w:rPr>
                <w:lang w:val="en-US"/>
              </w:rPr>
              <w:t xml:space="preserve"> for SSB modulation</w:t>
            </w:r>
            <w:r>
              <w:rPr>
                <w:lang w:val="en-US"/>
              </w:rPr>
              <w:br/>
            </w:r>
            <w:r>
              <w:rPr>
                <w:lang w:val="en-US"/>
              </w:rPr>
              <w:tab/>
            </w:r>
            <w:r>
              <w:rPr>
                <w:lang w:val="en-US"/>
              </w:rPr>
              <w:tab/>
            </w:r>
            <w:r>
              <w:rPr>
                <w:lang w:val="en-US"/>
              </w:rPr>
              <w:tab/>
            </w:r>
            <w:r>
              <w:rPr>
                <w:lang w:val="en-US"/>
              </w:rPr>
              <w:tab/>
            </w:r>
            <w:r>
              <w:rPr>
                <w:lang w:val="en-US"/>
              </w:rPr>
              <w:tab/>
            </w:r>
            <w:r>
              <w:rPr>
                <w:lang w:val="en-US"/>
              </w:rPr>
              <w:tab/>
            </w:r>
            <w:r>
              <w:rPr>
                <w:i/>
                <w:lang w:val="en-US"/>
              </w:rPr>
              <w:t>X</w:t>
            </w:r>
            <w:r>
              <w:rPr>
                <w:lang w:val="en-US"/>
              </w:rPr>
              <w:t xml:space="preserve"> </w:t>
            </w:r>
            <w:r w:rsidR="002609AB">
              <w:rPr>
                <w:lang w:val="en-US"/>
              </w:rPr>
              <w:t>=</w:t>
            </w:r>
            <w:r>
              <w:rPr>
                <w:lang w:val="en-US"/>
              </w:rPr>
              <w:t xml:space="preserve"> </w:t>
            </w:r>
            <w:r>
              <w:rPr>
                <w:i/>
                <w:lang w:val="en-US"/>
              </w:rPr>
              <w:t>P</w:t>
            </w:r>
            <w:r>
              <w:rPr>
                <w:lang w:val="en-US"/>
              </w:rPr>
              <w:t xml:space="preserve"> for other modulation</w:t>
            </w:r>
          </w:p>
        </w:tc>
      </w:tr>
    </w:tbl>
    <w:p w:rsidR="00922B8B" w:rsidRDefault="00922B8B" w:rsidP="00922B8B">
      <w:pPr>
        <w:pStyle w:val="Tablefin"/>
      </w:pPr>
    </w:p>
    <w:p w:rsidR="00922B8B" w:rsidRDefault="00922B8B" w:rsidP="000F3860">
      <w:pPr>
        <w:pStyle w:val="TableNo"/>
        <w:rPr>
          <w:lang w:val="en-US"/>
        </w:rPr>
      </w:pPr>
      <w:r>
        <w:rPr>
          <w:lang w:val="en-US"/>
        </w:rPr>
        <w:lastRenderedPageBreak/>
        <w:t>TABLE 10 (</w:t>
      </w:r>
      <w:r w:rsidRPr="00214783">
        <w:rPr>
          <w:i/>
          <w:iCs/>
          <w:lang w:val="en-US"/>
        </w:rPr>
        <w:t>end</w:t>
      </w:r>
      <w:r>
        <w:rPr>
          <w:lang w:val="en-US"/>
        </w:rPr>
        <w:t>)</w:t>
      </w:r>
    </w:p>
    <w:tbl>
      <w:tblPr>
        <w:tblW w:w="9640"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tblPr>
      <w:tblGrid>
        <w:gridCol w:w="4218"/>
        <w:gridCol w:w="5422"/>
      </w:tblGrid>
      <w:tr w:rsidR="00922B8B" w:rsidRPr="00EB70C7" w:rsidTr="005D4470">
        <w:trPr>
          <w:jc w:val="center"/>
        </w:trPr>
        <w:tc>
          <w:tcPr>
            <w:tcW w:w="4218"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Service category in accordance</w:t>
            </w:r>
            <w:r>
              <w:rPr>
                <w:lang w:val="en-US"/>
              </w:rPr>
              <w:br/>
              <w:t>with RR Article 1</w:t>
            </w:r>
            <w:r>
              <w:rPr>
                <w:lang w:val="en-US"/>
              </w:rPr>
              <w:br/>
              <w:t>or equipment type</w:t>
            </w:r>
            <w:r>
              <w:rPr>
                <w:vertAlign w:val="superscript"/>
                <w:lang w:val="en-US"/>
              </w:rPr>
              <w:t>(1), (2)</w:t>
            </w:r>
          </w:p>
        </w:tc>
        <w:tc>
          <w:tcPr>
            <w:tcW w:w="5422" w:type="dxa"/>
            <w:tcBorders>
              <w:top w:val="single" w:sz="6" w:space="0" w:color="auto"/>
              <w:left w:val="single" w:sz="6" w:space="0" w:color="auto"/>
              <w:bottom w:val="single" w:sz="6" w:space="0" w:color="auto"/>
              <w:right w:val="single" w:sz="6" w:space="0" w:color="auto"/>
            </w:tcBorders>
            <w:vAlign w:val="center"/>
          </w:tcPr>
          <w:p w:rsidR="00922B8B" w:rsidRDefault="00922B8B" w:rsidP="004D27B4">
            <w:pPr>
              <w:pStyle w:val="Tablehead"/>
              <w:rPr>
                <w:lang w:val="en-US"/>
              </w:rPr>
            </w:pPr>
            <w:r>
              <w:rPr>
                <w:lang w:val="en-US"/>
              </w:rPr>
              <w:t>Maximum permitted spurious domain emission</w:t>
            </w:r>
            <w:r>
              <w:rPr>
                <w:lang w:val="en-US"/>
              </w:rPr>
              <w:br/>
              <w:t xml:space="preserve">power in the relevant reference bandwidth </w:t>
            </w:r>
            <w:r>
              <w:rPr>
                <w:lang w:val="en-US"/>
              </w:rPr>
              <w:br/>
              <w:t>(see</w:t>
            </w:r>
            <w:r>
              <w:rPr>
                <w:i/>
                <w:lang w:val="en-US"/>
              </w:rPr>
              <w:t xml:space="preserve"> recommends</w:t>
            </w:r>
            <w:r>
              <w:rPr>
                <w:lang w:val="en-US"/>
              </w:rPr>
              <w:t xml:space="preserve"> 4.1) (dBm)</w:t>
            </w:r>
            <w:r>
              <w:rPr>
                <w:lang w:val="en-US"/>
              </w:rPr>
              <w:br/>
              <w:t xml:space="preserve">with </w:t>
            </w:r>
            <w:r>
              <w:rPr>
                <w:i/>
                <w:lang w:val="en-US"/>
              </w:rPr>
              <w:t>P</w:t>
            </w:r>
            <w:r>
              <w:rPr>
                <w:lang w:val="en-US"/>
              </w:rPr>
              <w:t xml:space="preserve">, </w:t>
            </w:r>
            <w:r>
              <w:rPr>
                <w:i/>
                <w:lang w:val="en-US"/>
              </w:rPr>
              <w:t>PEP</w:t>
            </w:r>
            <w:r>
              <w:rPr>
                <w:lang w:val="en-US"/>
              </w:rPr>
              <w:t xml:space="preserve"> or </w:t>
            </w:r>
            <w:r>
              <w:rPr>
                <w:i/>
                <w:lang w:val="en-US"/>
              </w:rPr>
              <w:t>X</w:t>
            </w:r>
            <w:r>
              <w:rPr>
                <w:lang w:val="en-US"/>
              </w:rPr>
              <w:t xml:space="preserve"> (W)</w:t>
            </w:r>
          </w:p>
        </w:tc>
      </w:tr>
      <w:tr w:rsidR="00922B8B" w:rsidRPr="00EB70C7" w:rsidTr="005D4470">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Low power device radio equipment</w:t>
            </w:r>
            <w:r>
              <w:rPr>
                <w:vertAlign w:val="superscript"/>
                <w:lang w:val="en-US"/>
              </w:rPr>
              <w:t>(10)</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2609AB">
            <w:pPr>
              <w:pStyle w:val="Tabletext"/>
              <w:jc w:val="left"/>
              <w:rPr>
                <w:lang w:val="en-US"/>
              </w:rPr>
            </w:pPr>
            <w:r>
              <w:rPr>
                <w:lang w:val="en-US"/>
              </w:rPr>
              <w:t>–26 dBm</w:t>
            </w:r>
            <w:r>
              <w:rPr>
                <w:lang w:val="en-US"/>
              </w:rPr>
              <w:tab/>
            </w:r>
            <w:r>
              <w:rPr>
                <w:lang w:val="en-US"/>
              </w:rPr>
              <w:tab/>
            </w:r>
            <w:r>
              <w:rPr>
                <w:lang w:val="en-US"/>
              </w:rPr>
              <w:tab/>
            </w:r>
            <w:r>
              <w:rPr>
                <w:lang w:val="en-US"/>
              </w:rPr>
              <w:tab/>
              <w:t xml:space="preserve">if </w:t>
            </w:r>
            <w:r>
              <w:rPr>
                <w:i/>
                <w:lang w:val="en-US"/>
              </w:rPr>
              <w:t>P</w:t>
            </w:r>
            <w:r>
              <w:rPr>
                <w:lang w:val="en-US"/>
              </w:rPr>
              <w:t xml:space="preserve"> </w:t>
            </w:r>
            <w:r w:rsidR="002609AB">
              <w:rPr>
                <w:lang w:val="en-US"/>
              </w:rPr>
              <w:t>≤</w:t>
            </w:r>
            <w:r>
              <w:rPr>
                <w:lang w:val="en-US"/>
              </w:rPr>
              <w:t xml:space="preserve"> 0.025 W</w:t>
            </w:r>
            <w:r>
              <w:rPr>
                <w:lang w:val="en-US"/>
              </w:rPr>
              <w:br/>
              <w:t xml:space="preserve">10 log </w:t>
            </w:r>
            <w:r>
              <w:rPr>
                <w:i/>
                <w:iCs/>
                <w:lang w:val="en-US"/>
              </w:rPr>
              <w:t>P</w:t>
            </w:r>
            <w:r>
              <w:rPr>
                <w:lang w:val="en-US"/>
              </w:rPr>
              <w:t> – 10</w:t>
            </w:r>
            <w:r>
              <w:rPr>
                <w:lang w:val="en-US"/>
              </w:rPr>
              <w:tab/>
            </w:r>
            <w:r>
              <w:rPr>
                <w:lang w:val="en-US"/>
              </w:rPr>
              <w:tab/>
              <w:t xml:space="preserve">if 0.025 W </w:t>
            </w:r>
            <w:r w:rsidR="002609AB">
              <w:rPr>
                <w:lang w:val="en-US"/>
              </w:rPr>
              <w:t>&lt;</w:t>
            </w:r>
            <w:r>
              <w:rPr>
                <w:lang w:val="en-US"/>
              </w:rPr>
              <w:t xml:space="preserve"> </w:t>
            </w:r>
            <w:r>
              <w:rPr>
                <w:i/>
                <w:lang w:val="en-US"/>
              </w:rPr>
              <w:t>P</w:t>
            </w:r>
            <w:r>
              <w:rPr>
                <w:lang w:val="en-US"/>
              </w:rPr>
              <w:t xml:space="preserve"> </w:t>
            </w:r>
            <w:r w:rsidR="002609AB">
              <w:rPr>
                <w:lang w:val="en-US"/>
              </w:rPr>
              <w:t>&lt;</w:t>
            </w:r>
            <w:r>
              <w:rPr>
                <w:lang w:val="en-US"/>
              </w:rPr>
              <w:t xml:space="preserve"> 0.100 W</w:t>
            </w:r>
          </w:p>
        </w:tc>
      </w:tr>
      <w:tr w:rsidR="00922B8B" w:rsidTr="005D4470">
        <w:trPr>
          <w:jc w:val="center"/>
        </w:trPr>
        <w:tc>
          <w:tcPr>
            <w:tcW w:w="4218"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sidRPr="00041661">
              <w:rPr>
                <w:lang w:val="en-US"/>
              </w:rPr>
              <w:t>EPIRB, ELT, PLB, SART, ship emergency, lifeboat, and survival craft transmitters, land, aeronautical or maritime transmitters when used in emergency</w:t>
            </w:r>
          </w:p>
        </w:tc>
        <w:tc>
          <w:tcPr>
            <w:tcW w:w="5422" w:type="dxa"/>
            <w:tcBorders>
              <w:top w:val="single" w:sz="6" w:space="0" w:color="auto"/>
              <w:left w:val="single" w:sz="6" w:space="0" w:color="auto"/>
              <w:bottom w:val="single" w:sz="6" w:space="0" w:color="auto"/>
              <w:right w:val="single" w:sz="6" w:space="0" w:color="auto"/>
            </w:tcBorders>
          </w:tcPr>
          <w:p w:rsidR="00922B8B" w:rsidRDefault="00922B8B" w:rsidP="004D27B4">
            <w:pPr>
              <w:pStyle w:val="Tabletext"/>
              <w:jc w:val="left"/>
              <w:rPr>
                <w:lang w:val="en-US"/>
              </w:rPr>
            </w:pPr>
            <w:r>
              <w:rPr>
                <w:lang w:val="en-US"/>
              </w:rPr>
              <w:t>No limit</w:t>
            </w:r>
          </w:p>
        </w:tc>
      </w:tr>
      <w:tr w:rsidR="00922B8B" w:rsidRPr="00EB70C7" w:rsidTr="005D4470">
        <w:tblPrEx>
          <w:tblBorders>
            <w:top w:val="none" w:sz="0" w:space="0" w:color="auto"/>
            <w:left w:val="none" w:sz="0" w:space="0" w:color="auto"/>
            <w:bottom w:val="none" w:sz="0" w:space="0" w:color="auto"/>
            <w:right w:val="none" w:sz="0" w:space="0" w:color="auto"/>
          </w:tblBorders>
        </w:tblPrEx>
        <w:trPr>
          <w:jc w:val="center"/>
        </w:trPr>
        <w:tc>
          <w:tcPr>
            <w:tcW w:w="9640" w:type="dxa"/>
            <w:gridSpan w:val="2"/>
          </w:tcPr>
          <w:p w:rsidR="00922B8B" w:rsidRDefault="00922B8B" w:rsidP="004D27B4">
            <w:pPr>
              <w:pStyle w:val="Tablelegend"/>
              <w:spacing w:before="60"/>
              <w:ind w:left="482" w:hanging="567"/>
              <w:rPr>
                <w:lang w:val="en-US"/>
              </w:rPr>
            </w:pPr>
            <w:r>
              <w:rPr>
                <w:i/>
                <w:iCs/>
                <w:lang w:val="en-US"/>
              </w:rPr>
              <w:t>P</w:t>
            </w:r>
            <w:r>
              <w:rPr>
                <w:sz w:val="12"/>
                <w:lang w:val="en-US"/>
              </w:rPr>
              <w:t> </w:t>
            </w:r>
            <w:r>
              <w:rPr>
                <w:lang w:val="en-US"/>
              </w:rPr>
              <w:t>:</w:t>
            </w:r>
            <w:r>
              <w:rPr>
                <w:lang w:val="en-US"/>
              </w:rPr>
              <w:tab/>
            </w:r>
            <w:r>
              <w:rPr>
                <w:lang w:val="en-US"/>
              </w:rPr>
              <w:tab/>
              <w:t>mean power (W) at the antenna transmission line, in accordance with RR No. 1.158. When burst transmission is used, the mean power P and the mean power of any spurious domain emissions are measured using power averaging over the burst duration.</w:t>
            </w:r>
          </w:p>
          <w:p w:rsidR="00922B8B" w:rsidRDefault="00922B8B" w:rsidP="004D27B4">
            <w:pPr>
              <w:pStyle w:val="Tablelegend"/>
              <w:spacing w:before="60"/>
              <w:ind w:left="482" w:hanging="567"/>
              <w:rPr>
                <w:lang w:val="en-US"/>
              </w:rPr>
            </w:pPr>
            <w:r>
              <w:rPr>
                <w:i/>
                <w:iCs/>
                <w:lang w:val="en-US"/>
              </w:rPr>
              <w:t>PEP</w:t>
            </w:r>
            <w:r>
              <w:rPr>
                <w:sz w:val="12"/>
                <w:lang w:val="en-US"/>
              </w:rPr>
              <w:t> </w:t>
            </w:r>
            <w:r>
              <w:rPr>
                <w:lang w:val="en-US"/>
              </w:rPr>
              <w:t>:</w:t>
            </w:r>
            <w:r>
              <w:rPr>
                <w:lang w:val="en-US"/>
              </w:rPr>
              <w:tab/>
              <w:t>peak envelope power (W) at the antenna transmission line, in accordance with RR No. 1.157.</w:t>
            </w:r>
          </w:p>
          <w:p w:rsidR="00922B8B" w:rsidRDefault="00922B8B" w:rsidP="004D27B4">
            <w:pPr>
              <w:pStyle w:val="Tablelegend"/>
              <w:spacing w:before="60"/>
              <w:ind w:left="482" w:hanging="567"/>
              <w:rPr>
                <w:lang w:val="en-US"/>
              </w:rPr>
            </w:pPr>
            <w:r>
              <w:rPr>
                <w:lang w:val="en-US"/>
              </w:rPr>
              <w:tab/>
            </w:r>
            <w:r>
              <w:rPr>
                <w:lang w:val="en-US"/>
              </w:rPr>
              <w:tab/>
              <w:t>When the term P is used, both the power supplied to the antenna transmission line and spurious domain emissions should be evaluated in terms of mean power and mean power in the reference bandwidth respectively. When the term PEP is used, both the power supplied to the antenna transmission line and spurious domain emissions should be evaluated in terms of peak envelope power and peak envelope power in the reference bandwidth respectively. However, when measurement of spurious domain emission in terms of PEP is difficult due to the nature of spurious domain emission (e.g. Gaussian noise), it is allowed to evaluate both power supplied to the antenna transmission line and spurious domain emission power in terms of mean power (see Annex 2).</w:t>
            </w:r>
          </w:p>
          <w:p w:rsidR="00922B8B" w:rsidRDefault="00922B8B" w:rsidP="004D27B4">
            <w:pPr>
              <w:pStyle w:val="Tablelegend"/>
              <w:spacing w:before="60"/>
              <w:ind w:left="482" w:hanging="567"/>
              <w:rPr>
                <w:lang w:val="en-US"/>
              </w:rPr>
            </w:pPr>
            <w:r>
              <w:rPr>
                <w:lang w:val="en-US"/>
              </w:rPr>
              <w:t>dBc</w:t>
            </w:r>
            <w:r>
              <w:rPr>
                <w:rFonts w:ascii="Tms Rmn" w:hAnsi="Tms Rmn"/>
                <w:sz w:val="12"/>
                <w:lang w:val="en-US"/>
              </w:rPr>
              <w:t> </w:t>
            </w:r>
            <w:r>
              <w:rPr>
                <w:lang w:val="en-US"/>
              </w:rPr>
              <w:t>:</w:t>
            </w:r>
            <w:r>
              <w:rPr>
                <w:lang w:val="en-US"/>
              </w:rPr>
              <w:tab/>
              <w:t>decibels relative to the unmodulated carrier power of the emission. In the cases which do not have a carrier, for example in some digital modulation schemes where the carrier is not accessible for measurement, the reference level equivalent to dBc is decibels relative to the mean power, P.</w:t>
            </w:r>
          </w:p>
          <w:p w:rsidR="00922B8B" w:rsidRDefault="00922B8B" w:rsidP="002609AB">
            <w:pPr>
              <w:pStyle w:val="Tablelegend"/>
              <w:tabs>
                <w:tab w:val="clear" w:pos="284"/>
              </w:tabs>
              <w:spacing w:before="60"/>
              <w:ind w:left="482" w:hanging="567"/>
              <w:rPr>
                <w:lang w:val="en-US"/>
              </w:rPr>
            </w:pPr>
            <w:r>
              <w:rPr>
                <w:vertAlign w:val="superscript"/>
                <w:lang w:val="en-US"/>
              </w:rPr>
              <w:t>(1)</w:t>
            </w:r>
            <w:r w:rsidRPr="00041661">
              <w:rPr>
                <w:vertAlign w:val="superscript"/>
                <w:lang w:val="en-US"/>
              </w:rPr>
              <w:tab/>
            </w:r>
            <w:r w:rsidRPr="00041661">
              <w:rPr>
                <w:lang w:val="en-US"/>
              </w:rPr>
              <w:t xml:space="preserve">In some cases of digital modulation and narrow-band high power transmitters for all categories of services, there may be difficulties in meeting limits close to </w:t>
            </w:r>
            <w:r w:rsidR="002609AB">
              <w:rPr>
                <w:lang w:val="en-US"/>
              </w:rPr>
              <w:t>±</w:t>
            </w:r>
            <w:r w:rsidRPr="00041661">
              <w:rPr>
                <w:lang w:val="en-US"/>
              </w:rPr>
              <w:t>250% of the necessary bandwidth.</w:t>
            </w:r>
          </w:p>
          <w:p w:rsidR="00922B8B" w:rsidRDefault="00922B8B" w:rsidP="004D27B4">
            <w:pPr>
              <w:pStyle w:val="Tablelegend"/>
              <w:tabs>
                <w:tab w:val="clear" w:pos="284"/>
              </w:tabs>
              <w:spacing w:before="60"/>
              <w:ind w:left="482" w:hanging="567"/>
              <w:rPr>
                <w:lang w:val="en-US"/>
              </w:rPr>
            </w:pPr>
            <w:r>
              <w:rPr>
                <w:vertAlign w:val="superscript"/>
                <w:lang w:val="en-US"/>
              </w:rPr>
              <w:t>(2)</w:t>
            </w:r>
            <w:r w:rsidRPr="00041661">
              <w:rPr>
                <w:vertAlign w:val="superscript"/>
                <w:lang w:val="en-US"/>
              </w:rPr>
              <w:tab/>
            </w:r>
            <w:r w:rsidRPr="00041661">
              <w:rPr>
                <w:lang w:val="en-US"/>
              </w:rPr>
              <w:t>Use the e.i.r.p. method shown in Annex 2, § 3.3, when it is not practical to access the transition between the transmitter and the antenna transmission line.</w:t>
            </w:r>
          </w:p>
          <w:p w:rsidR="00922B8B" w:rsidRDefault="00922B8B" w:rsidP="004D27B4">
            <w:pPr>
              <w:pStyle w:val="Tablelegend"/>
              <w:tabs>
                <w:tab w:val="clear" w:pos="284"/>
              </w:tabs>
              <w:spacing w:before="60"/>
              <w:ind w:left="482" w:hanging="567"/>
              <w:rPr>
                <w:lang w:val="en-US"/>
              </w:rPr>
            </w:pPr>
            <w:r>
              <w:rPr>
                <w:vertAlign w:val="superscript"/>
                <w:lang w:val="en-US"/>
              </w:rPr>
              <w:t>(3)</w:t>
            </w:r>
            <w:r>
              <w:rPr>
                <w:position w:val="6"/>
                <w:lang w:val="en-US"/>
              </w:rPr>
              <w:tab/>
            </w:r>
            <w:r>
              <w:rPr>
                <w:lang w:val="en-US"/>
              </w:rPr>
              <w:t>Spurious domain emission limits for all space services are stated in a 4 kHz reference bandwidth.</w:t>
            </w:r>
          </w:p>
          <w:p w:rsidR="00922B8B" w:rsidRDefault="00922B8B" w:rsidP="004D27B4">
            <w:pPr>
              <w:pStyle w:val="Tablelegend"/>
              <w:tabs>
                <w:tab w:val="clear" w:pos="284"/>
              </w:tabs>
              <w:spacing w:before="60"/>
              <w:ind w:left="482" w:hanging="567"/>
              <w:rPr>
                <w:lang w:val="en-US"/>
              </w:rPr>
            </w:pPr>
            <w:r>
              <w:rPr>
                <w:vertAlign w:val="superscript"/>
                <w:lang w:val="en-US"/>
              </w:rPr>
              <w:t>(4)</w:t>
            </w:r>
            <w:r w:rsidRPr="00041661">
              <w:rPr>
                <w:lang w:val="en-US"/>
              </w:rPr>
              <w:tab/>
              <w:t>Earth stations in the amateur-satellite service operating below 30 MHz are in the service category “Amateur services operating below 30 MHz (including with SSB)”.</w:t>
            </w:r>
          </w:p>
          <w:p w:rsidR="00922B8B" w:rsidRDefault="00922B8B" w:rsidP="004D27B4">
            <w:pPr>
              <w:pStyle w:val="Tablelegend"/>
              <w:tabs>
                <w:tab w:val="clear" w:pos="284"/>
              </w:tabs>
              <w:spacing w:before="60"/>
              <w:ind w:left="482" w:hanging="567"/>
              <w:rPr>
                <w:lang w:val="en-US"/>
              </w:rPr>
            </w:pPr>
            <w:r>
              <w:rPr>
                <w:vertAlign w:val="superscript"/>
                <w:lang w:val="en-US"/>
              </w:rPr>
              <w:t>(5)</w:t>
            </w:r>
            <w:r w:rsidRPr="00041661">
              <w:rPr>
                <w:lang w:val="en-US"/>
              </w:rPr>
              <w:tab/>
            </w:r>
            <w:r>
              <w:rPr>
                <w:lang w:val="en-US"/>
              </w:rPr>
              <w:t xml:space="preserve">For the case of a single satellite operating with more than one transponder in the same service area, and when considering the limits for spurious domain emissions as indicated in Table 10, spurious domain emissions from one transponder may fall on a frequency at which a second, companion transponder is transmitting. </w:t>
            </w:r>
            <w:r w:rsidRPr="00041661">
              <w:rPr>
                <w:lang w:val="en-US"/>
              </w:rPr>
              <w:t>In these situations, the level of spurious domain emissions from the first transponder is well exceeded by the fundamental or out-of-band domain emissions of the second transponder. Therefore, the limits should not apply to those spurious domain emissions of a satellite that fall within either the necessary bandwidth or the out-of-band domain of another transponder on the same satellite, in the same service area (see RR Appendix 3).</w:t>
            </w:r>
          </w:p>
          <w:p w:rsidR="00922B8B" w:rsidRDefault="00922B8B" w:rsidP="004D27B4">
            <w:pPr>
              <w:pStyle w:val="Tablelegend"/>
              <w:tabs>
                <w:tab w:val="clear" w:pos="284"/>
              </w:tabs>
              <w:spacing w:before="60"/>
              <w:ind w:left="482" w:hanging="567"/>
              <w:rPr>
                <w:lang w:val="en-US"/>
              </w:rPr>
            </w:pPr>
            <w:r>
              <w:rPr>
                <w:vertAlign w:val="superscript"/>
                <w:lang w:val="en-US"/>
              </w:rPr>
              <w:t>(6)</w:t>
            </w:r>
            <w:r>
              <w:rPr>
                <w:lang w:val="en-US"/>
              </w:rPr>
              <w:tab/>
              <w:t>Space stations in the space research service intended for operation in deep space as defined by RR No. 1.177 are exempt from spurious domain emission limits.</w:t>
            </w:r>
          </w:p>
          <w:p w:rsidR="00922B8B" w:rsidRDefault="00922B8B" w:rsidP="004D27B4">
            <w:pPr>
              <w:pStyle w:val="Tablelegend"/>
              <w:tabs>
                <w:tab w:val="clear" w:pos="284"/>
              </w:tabs>
              <w:spacing w:before="60"/>
              <w:ind w:left="482" w:hanging="567"/>
              <w:rPr>
                <w:lang w:val="en-US"/>
              </w:rPr>
            </w:pPr>
            <w:r>
              <w:rPr>
                <w:vertAlign w:val="superscript"/>
                <w:lang w:val="en-US"/>
              </w:rPr>
              <w:t>(7)</w:t>
            </w:r>
            <w:r w:rsidRPr="00041661">
              <w:rPr>
                <w:lang w:val="en-US"/>
              </w:rPr>
              <w:tab/>
              <w:t>For radiodetermination systems (radar as defined by RR No.</w:t>
            </w:r>
            <w:r w:rsidRPr="00041661">
              <w:rPr>
                <w:rFonts w:ascii="Tms Rmn" w:hAnsi="Tms Rmn"/>
                <w:sz w:val="12"/>
                <w:lang w:val="en-US"/>
              </w:rPr>
              <w:t> </w:t>
            </w:r>
            <w:r w:rsidRPr="00041661">
              <w:rPr>
                <w:lang w:val="en-US"/>
              </w:rPr>
              <w:t xml:space="preserve">1.100), spurious domain emission attenuation (dB) shall be determined for radiated emission levels, and not at the antenna transmission line. </w:t>
            </w:r>
            <w:r>
              <w:rPr>
                <w:lang w:val="en-US"/>
              </w:rPr>
              <w:t>The measurement method for determining the radiated spurious domain emission levels from radar systems should be guided by Recommendation ITU</w:t>
            </w:r>
            <w:r>
              <w:rPr>
                <w:lang w:val="en-US"/>
              </w:rPr>
              <w:noBreakHyphen/>
              <w:t>R M.1177.</w:t>
            </w:r>
          </w:p>
          <w:p w:rsidR="00922B8B" w:rsidRDefault="00922B8B" w:rsidP="000F3860">
            <w:pPr>
              <w:pStyle w:val="Tablelegend"/>
              <w:tabs>
                <w:tab w:val="clear" w:pos="284"/>
              </w:tabs>
              <w:spacing w:before="60"/>
              <w:ind w:left="482" w:hanging="567"/>
              <w:rPr>
                <w:lang w:val="en-US"/>
              </w:rPr>
            </w:pPr>
            <w:r>
              <w:rPr>
                <w:vertAlign w:val="superscript"/>
                <w:lang w:val="en-US"/>
              </w:rPr>
              <w:t>(8)</w:t>
            </w:r>
            <w:r>
              <w:rPr>
                <w:lang w:val="en-US"/>
              </w:rPr>
              <w:tab/>
            </w:r>
            <w:r w:rsidRPr="00041661">
              <w:rPr>
                <w:lang w:val="en-US"/>
              </w:rPr>
              <w:t>For analogue television transmissions, the mean power level is defined with a specified video signal modulation. This video signal has to be chosen in such a way that the maximum mean power level (e.g. at the video signal blanking level for negatively modulated television signals) is provided to the antenna transmission line.</w:t>
            </w:r>
          </w:p>
        </w:tc>
      </w:tr>
    </w:tbl>
    <w:p w:rsidR="00922B8B" w:rsidRDefault="00922B8B" w:rsidP="00922B8B">
      <w:pPr>
        <w:pStyle w:val="Tablefin"/>
      </w:pPr>
    </w:p>
    <w:p w:rsidR="00922B8B" w:rsidRDefault="00922B8B" w:rsidP="00922B8B">
      <w:pPr>
        <w:pStyle w:val="Tablelegend"/>
        <w:keepNext/>
        <w:spacing w:before="60"/>
        <w:rPr>
          <w:i/>
          <w:iCs/>
          <w:lang w:val="en-US"/>
        </w:rPr>
      </w:pPr>
      <w:r>
        <w:rPr>
          <w:i/>
          <w:iCs/>
          <w:lang w:val="en-US"/>
        </w:rPr>
        <w:t xml:space="preserve">Notes to Table 10 </w:t>
      </w:r>
      <w:r>
        <w:rPr>
          <w:lang w:val="en-US"/>
        </w:rPr>
        <w:t>(</w:t>
      </w:r>
      <w:r>
        <w:rPr>
          <w:i/>
          <w:iCs/>
          <w:lang w:val="en-US"/>
        </w:rPr>
        <w:t>continued</w:t>
      </w:r>
      <w:r>
        <w:rPr>
          <w:rFonts w:ascii="Tms Rmn" w:hAnsi="Tms Rmn"/>
          <w:sz w:val="12"/>
          <w:lang w:val="en-US"/>
        </w:rPr>
        <w:t> </w:t>
      </w:r>
      <w:r>
        <w:rPr>
          <w:lang w:val="en-US"/>
        </w:rPr>
        <w:t>)</w:t>
      </w:r>
      <w:r>
        <w:rPr>
          <w:i/>
          <w:iCs/>
          <w:lang w:val="en-US"/>
        </w:rPr>
        <w:t>:</w:t>
      </w:r>
    </w:p>
    <w:p w:rsidR="00922B8B" w:rsidRDefault="00922B8B" w:rsidP="00922B8B">
      <w:pPr>
        <w:pStyle w:val="Tablelegend"/>
        <w:tabs>
          <w:tab w:val="clear" w:pos="284"/>
        </w:tabs>
        <w:spacing w:before="60"/>
        <w:ind w:left="567" w:right="0" w:hanging="567"/>
        <w:rPr>
          <w:lang w:val="en-US"/>
        </w:rPr>
      </w:pPr>
      <w:r>
        <w:rPr>
          <w:vertAlign w:val="superscript"/>
          <w:lang w:val="en-US"/>
        </w:rPr>
        <w:t>(9)</w:t>
      </w:r>
      <w:r>
        <w:rPr>
          <w:lang w:val="en-US"/>
        </w:rPr>
        <w:tab/>
      </w:r>
      <w:r w:rsidRPr="00041661">
        <w:rPr>
          <w:lang w:val="en-US"/>
        </w:rPr>
        <w:t>All classes of emission using SSB are included in the category SSB.</w:t>
      </w:r>
    </w:p>
    <w:p w:rsidR="00922B8B" w:rsidRDefault="00922B8B" w:rsidP="00922B8B">
      <w:pPr>
        <w:pStyle w:val="Tablelegend"/>
        <w:tabs>
          <w:tab w:val="clear" w:pos="284"/>
        </w:tabs>
        <w:spacing w:before="60"/>
        <w:ind w:left="567" w:right="0" w:hanging="567"/>
        <w:rPr>
          <w:lang w:val="en-US"/>
        </w:rPr>
      </w:pPr>
      <w:r>
        <w:rPr>
          <w:vertAlign w:val="superscript"/>
          <w:lang w:val="en-US"/>
        </w:rPr>
        <w:t>(10)</w:t>
      </w:r>
      <w:r>
        <w:rPr>
          <w:lang w:val="en-US"/>
        </w:rPr>
        <w:tab/>
        <w:t>Low power radio device having a maximum output power of less than 100 mW and intended for short range communication or control purposes (Such equipment is in general exempt from individual licensing.).</w:t>
      </w:r>
    </w:p>
    <w:p w:rsidR="00922B8B" w:rsidRDefault="00922B8B" w:rsidP="00922B8B">
      <w:pPr>
        <w:rPr>
          <w:lang w:val="en-US"/>
        </w:rPr>
      </w:pPr>
    </w:p>
    <w:p w:rsidR="00922B8B" w:rsidRDefault="00922B8B" w:rsidP="00922B8B">
      <w:pPr>
        <w:pStyle w:val="AnnexNoTitle"/>
        <w:rPr>
          <w:lang w:val="en-US"/>
        </w:rPr>
      </w:pPr>
      <w:r>
        <w:rPr>
          <w:lang w:val="en-US"/>
        </w:rPr>
        <w:t>Annex 6</w:t>
      </w:r>
      <w:r>
        <w:rPr>
          <w:lang w:val="en-US"/>
        </w:rPr>
        <w:br/>
      </w:r>
      <w:r>
        <w:rPr>
          <w:lang w:val="en-US"/>
        </w:rPr>
        <w:br/>
        <w:t>Reference bandwidth for Category B limits</w:t>
      </w:r>
      <w:r>
        <w:rPr>
          <w:lang w:val="en-US"/>
        </w:rPr>
        <w:br/>
        <w:t>Case of the fixed service</w:t>
      </w:r>
    </w:p>
    <w:p w:rsidR="00922B8B" w:rsidRPr="00041661" w:rsidRDefault="00922B8B" w:rsidP="00922B8B">
      <w:pPr>
        <w:pStyle w:val="Normalaftertitle"/>
        <w:rPr>
          <w:lang w:val="en-US"/>
        </w:rPr>
      </w:pPr>
      <w:r w:rsidRPr="00041661">
        <w:rPr>
          <w:lang w:val="en-US"/>
        </w:rPr>
        <w:t>Analogue and digitally modulated radio-relays although generally providing a good spectrum efficiency, are unable to comply with the Category B limits for close-in frequencies due to the wideband noise generated by such systems. It is therefore necessary to provide generic steps of reference bandwidth in order to produce suitable transition area for the spectral density.</w:t>
      </w:r>
    </w:p>
    <w:p w:rsidR="00922B8B" w:rsidRDefault="00922B8B" w:rsidP="00922B8B">
      <w:pPr>
        <w:rPr>
          <w:lang w:val="en-US"/>
        </w:rPr>
      </w:pPr>
      <w:r>
        <w:rPr>
          <w:lang w:val="en-US"/>
        </w:rPr>
        <w:t>The generic reference mask is shown in Fig. 3, with breakpoints function of the channel separation (CS) or the necessary bandwidth (NB) referred to in Table 11.</w:t>
      </w:r>
    </w:p>
    <w:p w:rsidR="009C1669" w:rsidRDefault="009C1669" w:rsidP="009C1669">
      <w:pPr>
        <w:pStyle w:val="FigureNo"/>
        <w:rPr>
          <w:lang w:val="en-US"/>
        </w:rPr>
      </w:pPr>
      <w:r>
        <w:rPr>
          <w:lang w:val="en-US"/>
        </w:rPr>
        <w:lastRenderedPageBreak/>
        <w:t>figure 3</w:t>
      </w:r>
    </w:p>
    <w:p w:rsidR="00756CBD" w:rsidRDefault="009C1669" w:rsidP="00756CBD">
      <w:pPr>
        <w:pStyle w:val="Figuretitle"/>
        <w:rPr>
          <w:lang w:val="en-US"/>
        </w:rPr>
      </w:pPr>
      <w:r w:rsidRPr="009C1669">
        <w:rPr>
          <w:lang w:val="en-US"/>
        </w:rPr>
        <w:t>Generic Category B fixed service mask for unwanted emissions in the spurious domain</w:t>
      </w:r>
    </w:p>
    <w:p w:rsidR="009C1669" w:rsidRPr="00970B07" w:rsidRDefault="009C1669" w:rsidP="00756CBD">
      <w:pPr>
        <w:pStyle w:val="Figuretitle"/>
        <w:rPr>
          <w:rFonts w:ascii="Times New Roman" w:hAnsi="Times New Roman"/>
          <w:b w:val="0"/>
          <w:bCs/>
          <w:color w:val="000000"/>
          <w:szCs w:val="18"/>
          <w:lang w:val="en-US"/>
        </w:rPr>
      </w:pPr>
      <w:r w:rsidRPr="00970B07">
        <w:rPr>
          <w:rFonts w:ascii="Times New Roman" w:hAnsi="Times New Roman"/>
          <w:b w:val="0"/>
          <w:bCs/>
          <w:color w:val="000000"/>
          <w:szCs w:val="18"/>
          <w:lang w:val="en-US"/>
        </w:rPr>
        <w:t>(refer to Table 11)</w:t>
      </w:r>
    </w:p>
    <w:p w:rsidR="00922B8B" w:rsidRDefault="009C1669" w:rsidP="00922B8B">
      <w:pPr>
        <w:pStyle w:val="FigureNo"/>
        <w:keepNext w:val="0"/>
      </w:pPr>
      <w:r>
        <w:object w:dxaOrig="12189" w:dyaOrig="8845">
          <v:shape id="_x0000_i1030" type="#_x0000_t75" style="width:458.5pt;height:332.85pt" o:ole="">
            <v:imagedata r:id="rId24" o:title=""/>
          </v:shape>
          <o:OLEObject Type="Embed" ProgID="CorelDRAW.Graphic.14" ShapeID="_x0000_i1030" DrawAspect="Content" ObjectID="_1560711288" r:id="rId25"/>
        </w:object>
      </w:r>
    </w:p>
    <w:p w:rsidR="00922B8B" w:rsidRDefault="00922B8B" w:rsidP="00756CBD">
      <w:pPr>
        <w:pStyle w:val="TableNo"/>
        <w:keepLines/>
        <w:rPr>
          <w:lang w:val="en-US"/>
        </w:rPr>
      </w:pPr>
      <w:r>
        <w:rPr>
          <w:lang w:val="en-US"/>
        </w:rPr>
        <w:lastRenderedPageBreak/>
        <w:t>TABLE 11</w:t>
      </w:r>
    </w:p>
    <w:p w:rsidR="00922B8B" w:rsidRDefault="00922B8B" w:rsidP="00756CBD">
      <w:pPr>
        <w:pStyle w:val="Tabletitle"/>
        <w:keepLines/>
        <w:rPr>
          <w:lang w:val="en-US"/>
        </w:rPr>
      </w:pPr>
      <w:r>
        <w:rPr>
          <w:lang w:val="en-US"/>
        </w:rPr>
        <w:t>Generic Category B fixed service mask for unwanted emissions</w:t>
      </w:r>
      <w:r>
        <w:rPr>
          <w:lang w:val="en-US"/>
        </w:rPr>
        <w:br/>
        <w:t>in the spurious domain</w:t>
      </w:r>
    </w:p>
    <w:p w:rsidR="00922B8B" w:rsidRDefault="00922B8B" w:rsidP="00756CBD">
      <w:pPr>
        <w:pStyle w:val="Tabletitle"/>
        <w:keepLines/>
        <w:rPr>
          <w:b w:val="0"/>
          <w:lang w:val="en-US"/>
        </w:rPr>
      </w:pPr>
      <w:r>
        <w:rPr>
          <w:b w:val="0"/>
          <w:lang w:val="en-US"/>
        </w:rPr>
        <w:t>(refer to Fig. 3)</w:t>
      </w:r>
    </w:p>
    <w:p w:rsidR="00922B8B" w:rsidRDefault="00922B8B" w:rsidP="00756CBD">
      <w:pPr>
        <w:pStyle w:val="Blanc"/>
      </w:pPr>
    </w:p>
    <w:tbl>
      <w:tblPr>
        <w:tblW w:w="9639" w:type="dxa"/>
        <w:jc w:val="center"/>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CellMar>
          <w:left w:w="107" w:type="dxa"/>
          <w:right w:w="107" w:type="dxa"/>
        </w:tblCellMar>
        <w:tblLook w:val="0000"/>
      </w:tblPr>
      <w:tblGrid>
        <w:gridCol w:w="1475"/>
        <w:gridCol w:w="1339"/>
        <w:gridCol w:w="1409"/>
        <w:gridCol w:w="1360"/>
        <w:gridCol w:w="1352"/>
        <w:gridCol w:w="1352"/>
        <w:gridCol w:w="1352"/>
      </w:tblGrid>
      <w:tr w:rsidR="00922B8B" w:rsidTr="005D4470">
        <w:trPr>
          <w:cantSplit/>
          <w:jc w:val="center"/>
        </w:trPr>
        <w:tc>
          <w:tcPr>
            <w:tcW w:w="1475" w:type="dxa"/>
            <w:vMerge w:val="restart"/>
            <w:vAlign w:val="center"/>
          </w:tcPr>
          <w:p w:rsidR="00922B8B" w:rsidRDefault="00922B8B" w:rsidP="00756CBD">
            <w:pPr>
              <w:pStyle w:val="Tablehead"/>
              <w:keepLines/>
              <w:rPr>
                <w:sz w:val="20"/>
                <w:lang w:val="en-US"/>
              </w:rPr>
            </w:pPr>
            <w:r>
              <w:rPr>
                <w:sz w:val="20"/>
                <w:lang w:val="en-US"/>
              </w:rPr>
              <w:t xml:space="preserve">Fundamental </w:t>
            </w:r>
            <w:r>
              <w:rPr>
                <w:sz w:val="20"/>
                <w:lang w:val="en-US"/>
              </w:rPr>
              <w:br/>
              <w:t>emission</w:t>
            </w:r>
            <w:r>
              <w:rPr>
                <w:sz w:val="20"/>
                <w:lang w:val="en-US"/>
              </w:rPr>
              <w:br/>
              <w:t>frequency</w:t>
            </w:r>
          </w:p>
        </w:tc>
        <w:tc>
          <w:tcPr>
            <w:tcW w:w="1339" w:type="dxa"/>
            <w:vMerge w:val="restart"/>
            <w:vAlign w:val="center"/>
          </w:tcPr>
          <w:p w:rsidR="00922B8B" w:rsidRDefault="00922B8B" w:rsidP="00756CBD">
            <w:pPr>
              <w:pStyle w:val="Tablehead"/>
              <w:keepLines/>
              <w:rPr>
                <w:sz w:val="20"/>
                <w:lang w:val="en-US"/>
              </w:rPr>
            </w:pPr>
            <w:r>
              <w:rPr>
                <w:sz w:val="20"/>
                <w:lang w:val="en-US"/>
              </w:rPr>
              <w:t>CS</w:t>
            </w:r>
            <w:r>
              <w:rPr>
                <w:sz w:val="20"/>
                <w:lang w:val="en-US"/>
              </w:rPr>
              <w:br/>
              <w:t>(MHz)</w:t>
            </w:r>
          </w:p>
        </w:tc>
        <w:tc>
          <w:tcPr>
            <w:tcW w:w="1409" w:type="dxa"/>
            <w:vMerge w:val="restart"/>
            <w:vAlign w:val="center"/>
          </w:tcPr>
          <w:p w:rsidR="00922B8B" w:rsidRDefault="00922B8B" w:rsidP="00756CBD">
            <w:pPr>
              <w:pStyle w:val="Tablehead"/>
              <w:keepLines/>
              <w:rPr>
                <w:sz w:val="20"/>
                <w:lang w:val="en-US"/>
              </w:rPr>
            </w:pPr>
            <w:r>
              <w:rPr>
                <w:sz w:val="20"/>
                <w:lang w:val="en-US"/>
              </w:rPr>
              <w:t>Typical symbol frequency</w:t>
            </w:r>
            <w:r>
              <w:rPr>
                <w:sz w:val="20"/>
                <w:lang w:val="en-US"/>
              </w:rPr>
              <w:br/>
              <w:t>(</w:t>
            </w:r>
            <w:r>
              <w:rPr>
                <w:rFonts w:ascii="Symbol" w:hAnsi="Symbol"/>
                <w:sz w:val="20"/>
              </w:rPr>
              <w:t></w:t>
            </w:r>
            <w:r>
              <w:rPr>
                <w:sz w:val="20"/>
                <w:lang w:val="en-US"/>
              </w:rPr>
              <w:t>Mbit/s)</w:t>
            </w:r>
          </w:p>
        </w:tc>
        <w:tc>
          <w:tcPr>
            <w:tcW w:w="1360" w:type="dxa"/>
          </w:tcPr>
          <w:p w:rsidR="00922B8B" w:rsidRDefault="00922B8B" w:rsidP="00756CBD">
            <w:pPr>
              <w:pStyle w:val="Tablehead"/>
              <w:keepLines/>
              <w:rPr>
                <w:sz w:val="20"/>
                <w:lang w:val="en-US"/>
              </w:rPr>
            </w:pPr>
            <w:r>
              <w:rPr>
                <w:sz w:val="20"/>
                <w:lang w:val="en-US"/>
              </w:rPr>
              <w:t xml:space="preserve">Ref. BW </w:t>
            </w:r>
            <w:r>
              <w:rPr>
                <w:sz w:val="20"/>
                <w:lang w:val="en-US"/>
              </w:rPr>
              <w:br/>
              <w:t>0.3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10 kHz</w:t>
            </w:r>
          </w:p>
        </w:tc>
        <w:tc>
          <w:tcPr>
            <w:tcW w:w="1352" w:type="dxa"/>
          </w:tcPr>
          <w:p w:rsidR="00922B8B" w:rsidRDefault="00922B8B" w:rsidP="00756CBD">
            <w:pPr>
              <w:pStyle w:val="Tablehead"/>
              <w:keepLines/>
              <w:rPr>
                <w:sz w:val="20"/>
                <w:lang w:val="en-US"/>
              </w:rPr>
            </w:pPr>
            <w:r>
              <w:rPr>
                <w:sz w:val="20"/>
                <w:lang w:val="en-US"/>
              </w:rPr>
              <w:t xml:space="preserve">Ref. BW </w:t>
            </w:r>
            <w:r>
              <w:rPr>
                <w:sz w:val="20"/>
                <w:lang w:val="en-US"/>
              </w:rPr>
              <w:br/>
              <w:t>100 kHz</w:t>
            </w:r>
          </w:p>
        </w:tc>
      </w:tr>
      <w:tr w:rsidR="00922B8B" w:rsidTr="005D4470">
        <w:trPr>
          <w:cantSplit/>
          <w:jc w:val="center"/>
        </w:trPr>
        <w:tc>
          <w:tcPr>
            <w:tcW w:w="1475" w:type="dxa"/>
            <w:vMerge/>
            <w:tcBorders>
              <w:bottom w:val="single" w:sz="6" w:space="0" w:color="auto"/>
            </w:tcBorders>
            <w:vAlign w:val="center"/>
          </w:tcPr>
          <w:p w:rsidR="00922B8B" w:rsidRDefault="00922B8B" w:rsidP="00756CBD">
            <w:pPr>
              <w:pStyle w:val="Tablehead"/>
              <w:keepLines/>
              <w:rPr>
                <w:sz w:val="20"/>
                <w:lang w:val="en-US"/>
              </w:rPr>
            </w:pPr>
          </w:p>
        </w:tc>
        <w:tc>
          <w:tcPr>
            <w:tcW w:w="1339" w:type="dxa"/>
            <w:vMerge/>
            <w:vAlign w:val="center"/>
          </w:tcPr>
          <w:p w:rsidR="00922B8B" w:rsidRDefault="00922B8B" w:rsidP="00756CBD">
            <w:pPr>
              <w:pStyle w:val="Tablehead"/>
              <w:keepLines/>
              <w:rPr>
                <w:sz w:val="20"/>
                <w:lang w:val="en-US"/>
              </w:rPr>
            </w:pPr>
          </w:p>
        </w:tc>
        <w:tc>
          <w:tcPr>
            <w:tcW w:w="1409" w:type="dxa"/>
            <w:vMerge/>
            <w:vAlign w:val="center"/>
          </w:tcPr>
          <w:p w:rsidR="00922B8B" w:rsidRDefault="00922B8B" w:rsidP="00756CBD">
            <w:pPr>
              <w:pStyle w:val="Tablehead"/>
              <w:keepLines/>
              <w:rPr>
                <w:sz w:val="20"/>
                <w:lang w:val="en-US"/>
              </w:rPr>
            </w:pPr>
          </w:p>
        </w:tc>
        <w:tc>
          <w:tcPr>
            <w:tcW w:w="1360" w:type="dxa"/>
            <w:vAlign w:val="center"/>
          </w:tcPr>
          <w:p w:rsidR="00922B8B" w:rsidRDefault="00922B8B" w:rsidP="00756CBD">
            <w:pPr>
              <w:pStyle w:val="Tablehead"/>
              <w:keepLines/>
              <w:rPr>
                <w:sz w:val="20"/>
                <w:lang w:val="en-US"/>
              </w:rPr>
            </w:pPr>
            <w:r>
              <w:rPr>
                <w:sz w:val="20"/>
                <w:lang w:val="en-US"/>
              </w:rPr>
              <w:t>Fa</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Fb</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Fc</w:t>
            </w:r>
            <w:r>
              <w:rPr>
                <w:sz w:val="20"/>
                <w:lang w:val="en-US"/>
              </w:rPr>
              <w:br/>
              <w:t>(MHz)</w:t>
            </w:r>
          </w:p>
        </w:tc>
        <w:tc>
          <w:tcPr>
            <w:tcW w:w="1352" w:type="dxa"/>
            <w:vAlign w:val="center"/>
          </w:tcPr>
          <w:p w:rsidR="00922B8B" w:rsidRDefault="00922B8B" w:rsidP="00756CBD">
            <w:pPr>
              <w:pStyle w:val="Tablehead"/>
              <w:keepLines/>
              <w:rPr>
                <w:sz w:val="20"/>
                <w:lang w:val="en-US"/>
              </w:rPr>
            </w:pPr>
            <w:r>
              <w:rPr>
                <w:sz w:val="20"/>
                <w:lang w:val="en-US"/>
              </w:rPr>
              <w:t>Fd</w:t>
            </w:r>
            <w:r>
              <w:rPr>
                <w:sz w:val="20"/>
                <w:lang w:val="en-US"/>
              </w:rPr>
              <w:br/>
              <w:t>(MHz)</w:t>
            </w:r>
          </w:p>
        </w:tc>
      </w:tr>
      <w:tr w:rsidR="00922B8B" w:rsidTr="005D4470">
        <w:trPr>
          <w:cantSplit/>
          <w:jc w:val="center"/>
        </w:trPr>
        <w:tc>
          <w:tcPr>
            <w:tcW w:w="1475" w:type="dxa"/>
            <w:tcBorders>
              <w:top w:val="single" w:sz="6" w:space="0" w:color="auto"/>
              <w:bottom w:val="nil"/>
            </w:tcBorders>
          </w:tcPr>
          <w:p w:rsidR="00922B8B" w:rsidRDefault="00922B8B" w:rsidP="00756CBD">
            <w:pPr>
              <w:pStyle w:val="Tabletext"/>
              <w:keepNext/>
              <w:keepLines/>
              <w:spacing w:after="0"/>
              <w:jc w:val="center"/>
              <w:rPr>
                <w:sz w:val="20"/>
                <w:lang w:val="en-US"/>
              </w:rPr>
            </w:pPr>
            <w:r>
              <w:rPr>
                <w:sz w:val="20"/>
                <w:lang w:val="en-US"/>
              </w:rPr>
              <w:t>Below</w:t>
            </w:r>
            <w:r>
              <w:rPr>
                <w:sz w:val="20"/>
                <w:lang w:val="en-US"/>
              </w:rPr>
              <w:br/>
              <w:t>21.2 GHz</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0.01 </w:t>
            </w:r>
            <w:r w:rsidR="002609AB">
              <w:rPr>
                <w:lang w:val="en-US"/>
              </w:rPr>
              <w:t>≤</w:t>
            </w:r>
            <w:r>
              <w:rPr>
                <w:sz w:val="20"/>
                <w:lang w:val="en-US"/>
              </w:rPr>
              <w:t xml:space="preserve"> CS </w:t>
            </w:r>
            <w:r w:rsidR="002609AB">
              <w:rPr>
                <w:sz w:val="20"/>
                <w:lang w:val="en-US"/>
              </w:rPr>
              <w:t>&lt;</w:t>
            </w:r>
            <w:r>
              <w:rPr>
                <w:sz w:val="20"/>
                <w:lang w:val="en-US"/>
              </w:rPr>
              <w:t xml:space="preserve"> 1</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0.006 </w:t>
            </w:r>
            <w:r>
              <w:rPr>
                <w:sz w:val="20"/>
                <w:szCs w:val="18"/>
                <w:lang w:val="es-ES"/>
              </w:rPr>
              <w:sym w:font="Symbol" w:char="F02D"/>
            </w:r>
            <w:r>
              <w:rPr>
                <w:sz w:val="20"/>
                <w:lang w:val="en-US"/>
              </w:rPr>
              <w:t xml:space="preserve"> 0.8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14</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nil"/>
            </w:tcBorders>
          </w:tcPr>
          <w:p w:rsidR="00922B8B" w:rsidRDefault="00922B8B" w:rsidP="00756CBD">
            <w:pPr>
              <w:pStyle w:val="Tabletext"/>
              <w:keepNext/>
              <w:keepLines/>
              <w:spacing w:before="0"/>
              <w:ind w:left="-57" w:right="-113"/>
              <w:jc w:val="center"/>
              <w:rPr>
                <w:sz w:val="20"/>
                <w:lang w:val="en-US"/>
              </w:rPr>
            </w:pPr>
            <w:r>
              <w:rPr>
                <w:sz w:val="20"/>
                <w:lang w:val="en-US"/>
              </w:rPr>
              <w:t>(terminal stations)</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28</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single" w:sz="6" w:space="0" w:color="auto"/>
            </w:tcBorders>
          </w:tcPr>
          <w:p w:rsidR="00922B8B" w:rsidRDefault="00922B8B" w:rsidP="00756CBD">
            <w:pPr>
              <w:keepNext/>
              <w:keepLines/>
              <w:spacing w:before="20" w:after="20"/>
              <w:jc w:val="center"/>
              <w:rPr>
                <w:sz w:val="20"/>
                <w:lang w:val="en-US"/>
              </w:rPr>
            </w:pP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lang w:val="es-ES"/>
              </w:rPr>
              <w:t></w:t>
            </w:r>
            <w:r>
              <w:rPr>
                <w:sz w:val="20"/>
                <w:lang w:val="en-US"/>
              </w:rPr>
              <w:t xml:space="preserve"> </w:t>
            </w:r>
            <w:r w:rsidR="002609AB">
              <w:rPr>
                <w:sz w:val="20"/>
                <w:lang w:val="en-US"/>
              </w:rPr>
              <w:t>&gt;</w:t>
            </w:r>
            <w:r>
              <w:rPr>
                <w:sz w:val="20"/>
                <w:lang w:val="en-US"/>
              </w:rPr>
              <w:t xml:space="preserve"> 6</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49</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70</w:t>
            </w:r>
            <w:r>
              <w:rPr>
                <w:sz w:val="20"/>
                <w:vertAlign w:val="superscript"/>
                <w:lang w:val="en-US"/>
              </w:rPr>
              <w:t>(1)</w:t>
            </w:r>
          </w:p>
        </w:tc>
      </w:tr>
      <w:tr w:rsidR="00922B8B" w:rsidTr="005D4470">
        <w:trPr>
          <w:cantSplit/>
          <w:jc w:val="center"/>
        </w:trPr>
        <w:tc>
          <w:tcPr>
            <w:tcW w:w="1475" w:type="dxa"/>
            <w:tcBorders>
              <w:top w:val="single" w:sz="6" w:space="0" w:color="auto"/>
              <w:bottom w:val="nil"/>
            </w:tcBorders>
          </w:tcPr>
          <w:p w:rsidR="00922B8B" w:rsidRDefault="00922B8B" w:rsidP="00756CBD">
            <w:pPr>
              <w:pStyle w:val="Tabletext"/>
              <w:keepNext/>
              <w:keepLines/>
              <w:spacing w:after="0"/>
              <w:jc w:val="center"/>
              <w:rPr>
                <w:sz w:val="20"/>
                <w:lang w:val="en-US"/>
              </w:rPr>
            </w:pPr>
            <w:r>
              <w:rPr>
                <w:sz w:val="20"/>
                <w:lang w:val="en-US"/>
              </w:rPr>
              <w:t>Below</w:t>
            </w:r>
            <w:r>
              <w:rPr>
                <w:sz w:val="20"/>
                <w:lang w:val="en-US"/>
              </w:rPr>
              <w:br/>
              <w:t>21.2 GHz</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0.01 </w:t>
            </w:r>
            <w:r w:rsidR="002609AB">
              <w:rPr>
                <w:lang w:val="en-US"/>
              </w:rPr>
              <w:t>≤</w:t>
            </w:r>
            <w:r>
              <w:rPr>
                <w:sz w:val="20"/>
                <w:lang w:val="en-US"/>
              </w:rPr>
              <w:t xml:space="preserve"> CS </w:t>
            </w:r>
            <w:r w:rsidR="002609AB">
              <w:rPr>
                <w:sz w:val="20"/>
                <w:lang w:val="en-US"/>
              </w:rPr>
              <w:t>&lt;</w:t>
            </w:r>
            <w:r>
              <w:rPr>
                <w:sz w:val="20"/>
                <w:lang w:val="en-US"/>
              </w:rPr>
              <w:t xml:space="preserve"> 1</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0.006 </w:t>
            </w:r>
            <w:r>
              <w:rPr>
                <w:sz w:val="20"/>
                <w:szCs w:val="18"/>
                <w:lang w:val="es-ES"/>
              </w:rPr>
              <w:sym w:font="Symbol" w:char="F02D"/>
            </w:r>
            <w:r>
              <w:rPr>
                <w:sz w:val="20"/>
                <w:lang w:val="en-US"/>
              </w:rPr>
              <w:t xml:space="preserve"> 0.8</w:t>
            </w:r>
          </w:p>
        </w:tc>
        <w:tc>
          <w:tcPr>
            <w:tcW w:w="1360" w:type="dxa"/>
          </w:tcPr>
          <w:p w:rsidR="00922B8B" w:rsidRDefault="00922B8B" w:rsidP="00756CBD">
            <w:pPr>
              <w:pStyle w:val="Tabletext"/>
              <w:keepNext/>
              <w:keepLines/>
              <w:jc w:val="center"/>
              <w:rPr>
                <w:sz w:val="20"/>
                <w:lang w:val="en-US"/>
              </w:rPr>
            </w:pPr>
            <w:r>
              <w:rPr>
                <w:sz w:val="20"/>
                <w:lang w:val="en-US"/>
              </w:rPr>
              <w:t>3.5</w:t>
            </w:r>
          </w:p>
        </w:tc>
        <w:tc>
          <w:tcPr>
            <w:tcW w:w="1352" w:type="dxa"/>
          </w:tcPr>
          <w:p w:rsidR="00922B8B" w:rsidRDefault="00922B8B" w:rsidP="00756CBD">
            <w:pPr>
              <w:pStyle w:val="Tabletext"/>
              <w:keepNext/>
              <w:keepLines/>
              <w:jc w:val="center"/>
              <w:rPr>
                <w:sz w:val="20"/>
                <w:lang w:val="en-US"/>
              </w:rPr>
            </w:pPr>
            <w:r>
              <w:rPr>
                <w:sz w:val="20"/>
                <w:lang w:val="en-US"/>
              </w:rPr>
              <w:t>7</w:t>
            </w:r>
          </w:p>
        </w:tc>
        <w:tc>
          <w:tcPr>
            <w:tcW w:w="1352" w:type="dxa"/>
          </w:tcPr>
          <w:p w:rsidR="00922B8B" w:rsidRDefault="00922B8B" w:rsidP="00756CBD">
            <w:pPr>
              <w:pStyle w:val="Tabletext"/>
              <w:keepNext/>
              <w:keepLines/>
              <w:jc w:val="center"/>
              <w:rPr>
                <w:sz w:val="20"/>
                <w:lang w:val="en-US"/>
              </w:rPr>
            </w:pPr>
            <w:r>
              <w:rPr>
                <w:sz w:val="20"/>
                <w:lang w:val="en-US"/>
              </w:rPr>
              <w:t>14</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nil"/>
            </w:tcBorders>
          </w:tcPr>
          <w:p w:rsidR="00922B8B" w:rsidRDefault="00922B8B" w:rsidP="00756CBD">
            <w:pPr>
              <w:pStyle w:val="Tabletext"/>
              <w:keepNext/>
              <w:keepLines/>
              <w:spacing w:before="0"/>
              <w:ind w:left="-57" w:right="-57"/>
              <w:jc w:val="center"/>
              <w:rPr>
                <w:sz w:val="20"/>
                <w:lang w:val="en-US"/>
              </w:rPr>
            </w:pPr>
            <w:r>
              <w:rPr>
                <w:sz w:val="20"/>
                <w:lang w:val="en-US"/>
              </w:rPr>
              <w:t>(other stations)</w:t>
            </w: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14</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28</w:t>
            </w:r>
          </w:p>
        </w:tc>
        <w:tc>
          <w:tcPr>
            <w:tcW w:w="1352" w:type="dxa"/>
          </w:tcPr>
          <w:p w:rsidR="00922B8B" w:rsidRDefault="00922B8B" w:rsidP="00756CBD">
            <w:pPr>
              <w:pStyle w:val="Tabletext"/>
              <w:keepNext/>
              <w:keepLines/>
              <w:jc w:val="center"/>
              <w:rPr>
                <w:sz w:val="20"/>
                <w:lang w:val="en-US"/>
              </w:rPr>
            </w:pPr>
            <w:r>
              <w:rPr>
                <w:sz w:val="20"/>
                <w:lang w:val="en-US"/>
              </w:rPr>
              <w:t>70</w:t>
            </w:r>
          </w:p>
        </w:tc>
      </w:tr>
      <w:tr w:rsidR="00922B8B" w:rsidTr="005D4470">
        <w:trPr>
          <w:cantSplit/>
          <w:jc w:val="center"/>
        </w:trPr>
        <w:tc>
          <w:tcPr>
            <w:tcW w:w="1475" w:type="dxa"/>
            <w:tcBorders>
              <w:top w:val="nil"/>
              <w:bottom w:val="single" w:sz="6" w:space="0" w:color="auto"/>
            </w:tcBorders>
          </w:tcPr>
          <w:p w:rsidR="00922B8B" w:rsidRDefault="00922B8B" w:rsidP="00756CBD">
            <w:pPr>
              <w:keepNext/>
              <w:keepLines/>
              <w:spacing w:before="20" w:after="20"/>
              <w:jc w:val="center"/>
              <w:rPr>
                <w:sz w:val="20"/>
                <w:lang w:val="en-US"/>
              </w:rPr>
            </w:pPr>
          </w:p>
        </w:tc>
        <w:tc>
          <w:tcPr>
            <w:tcW w:w="1339" w:type="dxa"/>
          </w:tcPr>
          <w:p w:rsidR="00922B8B" w:rsidRDefault="00922B8B" w:rsidP="00756CBD">
            <w:pPr>
              <w:pStyle w:val="Tabletext"/>
              <w:keepNext/>
              <w:keepLines/>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Pr>
          <w:p w:rsidR="00922B8B" w:rsidRDefault="00922B8B" w:rsidP="00756CBD">
            <w:pPr>
              <w:pStyle w:val="Tabletext"/>
              <w:keepNext/>
              <w:keepLines/>
              <w:ind w:left="-57" w:right="-57"/>
              <w:jc w:val="center"/>
              <w:rPr>
                <w:sz w:val="20"/>
                <w:lang w:val="en-US"/>
              </w:rPr>
            </w:pPr>
            <w:r>
              <w:rPr>
                <w:sz w:val="20"/>
                <w:lang w:val="en-US"/>
              </w:rPr>
              <w:t xml:space="preserve">Fs </w:t>
            </w:r>
            <w:r>
              <w:rPr>
                <w:rFonts w:ascii="Symbol" w:hAnsi="Symbol"/>
                <w:sz w:val="20"/>
                <w:lang w:val="es-ES"/>
              </w:rPr>
              <w:t></w:t>
            </w:r>
            <w:r>
              <w:rPr>
                <w:sz w:val="20"/>
                <w:lang w:val="en-US"/>
              </w:rPr>
              <w:t xml:space="preserve"> </w:t>
            </w:r>
            <w:r w:rsidR="002609AB">
              <w:rPr>
                <w:sz w:val="20"/>
                <w:lang w:val="en-US"/>
              </w:rPr>
              <w:t>&gt;</w:t>
            </w:r>
            <w:r>
              <w:rPr>
                <w:sz w:val="20"/>
                <w:lang w:val="en-US"/>
              </w:rPr>
              <w:t xml:space="preserve"> 6</w:t>
            </w:r>
          </w:p>
        </w:tc>
        <w:tc>
          <w:tcPr>
            <w:tcW w:w="1360"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w:t>
            </w:r>
          </w:p>
        </w:tc>
        <w:tc>
          <w:tcPr>
            <w:tcW w:w="1352" w:type="dxa"/>
          </w:tcPr>
          <w:p w:rsidR="00922B8B" w:rsidRDefault="00922B8B" w:rsidP="00756CBD">
            <w:pPr>
              <w:pStyle w:val="Tabletext"/>
              <w:keepNext/>
              <w:keepLines/>
              <w:jc w:val="center"/>
              <w:rPr>
                <w:sz w:val="20"/>
                <w:lang w:val="en-US"/>
              </w:rPr>
            </w:pPr>
            <w:r>
              <w:rPr>
                <w:sz w:val="20"/>
                <w:lang w:val="en-US"/>
              </w:rPr>
              <w:t>49</w:t>
            </w:r>
            <w:r>
              <w:rPr>
                <w:sz w:val="20"/>
                <w:vertAlign w:val="superscript"/>
                <w:lang w:val="en-US"/>
              </w:rPr>
              <w:t>(1)</w:t>
            </w:r>
          </w:p>
        </w:tc>
        <w:tc>
          <w:tcPr>
            <w:tcW w:w="1352" w:type="dxa"/>
          </w:tcPr>
          <w:p w:rsidR="00922B8B" w:rsidRDefault="00922B8B" w:rsidP="00756CBD">
            <w:pPr>
              <w:pStyle w:val="Tabletext"/>
              <w:keepNext/>
              <w:keepLines/>
              <w:jc w:val="center"/>
              <w:rPr>
                <w:sz w:val="20"/>
                <w:lang w:val="en-US"/>
              </w:rPr>
            </w:pPr>
            <w:r>
              <w:rPr>
                <w:sz w:val="20"/>
                <w:lang w:val="en-US"/>
              </w:rPr>
              <w:t>70</w:t>
            </w:r>
            <w:r>
              <w:rPr>
                <w:sz w:val="20"/>
                <w:vertAlign w:val="superscript"/>
                <w:lang w:val="en-US"/>
              </w:rPr>
              <w:t>(1)</w:t>
            </w:r>
          </w:p>
        </w:tc>
      </w:tr>
      <w:tr w:rsidR="00922B8B" w:rsidTr="005D4470">
        <w:trPr>
          <w:cantSplit/>
          <w:jc w:val="center"/>
        </w:trPr>
        <w:tc>
          <w:tcPr>
            <w:tcW w:w="1475" w:type="dxa"/>
            <w:tcBorders>
              <w:top w:val="single" w:sz="6" w:space="0" w:color="auto"/>
              <w:bottom w:val="nil"/>
            </w:tcBorders>
          </w:tcPr>
          <w:p w:rsidR="00922B8B" w:rsidRDefault="00922B8B" w:rsidP="004D27B4">
            <w:pPr>
              <w:pStyle w:val="Tabletext"/>
              <w:spacing w:after="0"/>
              <w:jc w:val="center"/>
              <w:rPr>
                <w:sz w:val="20"/>
                <w:lang w:val="en-US"/>
              </w:rPr>
            </w:pPr>
            <w:r>
              <w:rPr>
                <w:sz w:val="20"/>
                <w:lang w:val="en-US"/>
              </w:rPr>
              <w:t>Above 21.2 GHz</w:t>
            </w:r>
          </w:p>
        </w:tc>
        <w:tc>
          <w:tcPr>
            <w:tcW w:w="1339" w:type="dxa"/>
          </w:tcPr>
          <w:p w:rsidR="00922B8B" w:rsidRDefault="00922B8B" w:rsidP="002609AB">
            <w:pPr>
              <w:pStyle w:val="Tabletext"/>
              <w:ind w:left="-57" w:right="-57"/>
              <w:jc w:val="center"/>
              <w:rPr>
                <w:sz w:val="20"/>
                <w:lang w:val="en-US"/>
              </w:rPr>
            </w:pPr>
            <w:r>
              <w:rPr>
                <w:sz w:val="20"/>
                <w:lang w:val="en-US"/>
              </w:rPr>
              <w:t xml:space="preserve">1 </w:t>
            </w:r>
            <w:r w:rsidR="002609AB">
              <w:rPr>
                <w:lang w:val="en-US"/>
              </w:rPr>
              <w:t>≤</w:t>
            </w:r>
            <w:r>
              <w:rPr>
                <w:sz w:val="20"/>
                <w:lang w:val="en-US"/>
              </w:rPr>
              <w:t xml:space="preserve"> CS </w:t>
            </w:r>
            <w:r w:rsidR="002609AB">
              <w:rPr>
                <w:sz w:val="20"/>
                <w:lang w:val="en-US"/>
              </w:rPr>
              <w:t>&lt;</w:t>
            </w:r>
            <w:r>
              <w:rPr>
                <w:sz w:val="20"/>
                <w:lang w:val="en-US"/>
              </w:rPr>
              <w:t xml:space="preserve"> 10</w:t>
            </w:r>
          </w:p>
        </w:tc>
        <w:tc>
          <w:tcPr>
            <w:tcW w:w="1409" w:type="dxa"/>
          </w:tcPr>
          <w:p w:rsidR="00922B8B" w:rsidRDefault="00922B8B" w:rsidP="002609AB">
            <w:pPr>
              <w:pStyle w:val="Tabletext"/>
              <w:ind w:left="-57" w:right="-57"/>
              <w:jc w:val="center"/>
              <w:rPr>
                <w:sz w:val="20"/>
                <w:lang w:val="en-US"/>
              </w:rPr>
            </w:pPr>
            <w:r>
              <w:rPr>
                <w:sz w:val="20"/>
                <w:lang w:val="en-US"/>
              </w:rPr>
              <w:t xml:space="preserve">Fs </w:t>
            </w:r>
            <w:r w:rsidR="002609AB">
              <w:rPr>
                <w:rFonts w:ascii="Symbol" w:hAnsi="Symbol"/>
                <w:sz w:val="20"/>
                <w:szCs w:val="18"/>
                <w:lang w:val="es-ES"/>
              </w:rPr>
              <w:sym w:font="Symbol" w:char="F040"/>
            </w:r>
            <w:r>
              <w:rPr>
                <w:sz w:val="20"/>
                <w:lang w:val="en-US"/>
              </w:rPr>
              <w:t xml:space="preserve"> 0.6 </w:t>
            </w:r>
            <w:r>
              <w:rPr>
                <w:sz w:val="20"/>
                <w:szCs w:val="18"/>
                <w:lang w:val="es-ES"/>
              </w:rPr>
              <w:sym w:font="Symbol" w:char="F02D"/>
            </w:r>
            <w:r>
              <w:rPr>
                <w:sz w:val="20"/>
                <w:lang w:val="en-US"/>
              </w:rPr>
              <w:t xml:space="preserve"> 8</w:t>
            </w:r>
          </w:p>
        </w:tc>
        <w:tc>
          <w:tcPr>
            <w:tcW w:w="1360"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w:t>
            </w:r>
          </w:p>
        </w:tc>
        <w:tc>
          <w:tcPr>
            <w:tcW w:w="1352" w:type="dxa"/>
          </w:tcPr>
          <w:p w:rsidR="00922B8B" w:rsidRDefault="00922B8B" w:rsidP="004D27B4">
            <w:pPr>
              <w:pStyle w:val="Tabletext"/>
              <w:jc w:val="center"/>
              <w:rPr>
                <w:sz w:val="20"/>
                <w:lang w:val="en-US"/>
              </w:rPr>
            </w:pPr>
            <w:r>
              <w:rPr>
                <w:sz w:val="20"/>
                <w:lang w:val="en-US"/>
              </w:rPr>
              <w:t>70</w:t>
            </w:r>
          </w:p>
        </w:tc>
      </w:tr>
      <w:tr w:rsidR="00922B8B" w:rsidTr="005D4470">
        <w:trPr>
          <w:cantSplit/>
          <w:jc w:val="center"/>
        </w:trPr>
        <w:tc>
          <w:tcPr>
            <w:tcW w:w="1475" w:type="dxa"/>
            <w:tcBorders>
              <w:top w:val="nil"/>
              <w:bottom w:val="single" w:sz="4" w:space="0" w:color="auto"/>
            </w:tcBorders>
          </w:tcPr>
          <w:p w:rsidR="00922B8B" w:rsidRDefault="00922B8B" w:rsidP="004D27B4">
            <w:pPr>
              <w:pStyle w:val="Tabletext"/>
              <w:spacing w:before="0"/>
              <w:jc w:val="center"/>
              <w:rPr>
                <w:sz w:val="20"/>
                <w:lang w:val="en-US"/>
              </w:rPr>
            </w:pPr>
            <w:r>
              <w:rPr>
                <w:sz w:val="20"/>
                <w:lang w:val="en-US"/>
              </w:rPr>
              <w:t>(all stations)</w:t>
            </w:r>
          </w:p>
        </w:tc>
        <w:tc>
          <w:tcPr>
            <w:tcW w:w="1339" w:type="dxa"/>
            <w:tcBorders>
              <w:bottom w:val="single" w:sz="4" w:space="0" w:color="auto"/>
            </w:tcBorders>
          </w:tcPr>
          <w:p w:rsidR="00922B8B" w:rsidRDefault="00922B8B" w:rsidP="002609AB">
            <w:pPr>
              <w:pStyle w:val="Tabletext"/>
              <w:ind w:left="-57" w:right="-57"/>
              <w:jc w:val="center"/>
              <w:rPr>
                <w:sz w:val="20"/>
                <w:lang w:val="en-US"/>
              </w:rPr>
            </w:pPr>
            <w:r>
              <w:rPr>
                <w:sz w:val="20"/>
                <w:lang w:val="en-US"/>
              </w:rPr>
              <w:t xml:space="preserve">CS </w:t>
            </w:r>
            <w:r w:rsidR="002609AB">
              <w:rPr>
                <w:sz w:val="20"/>
                <w:lang w:val="en-US"/>
              </w:rPr>
              <w:t>≥</w:t>
            </w:r>
            <w:r>
              <w:rPr>
                <w:sz w:val="20"/>
                <w:lang w:val="en-US"/>
              </w:rPr>
              <w:t xml:space="preserve"> 10</w:t>
            </w:r>
          </w:p>
        </w:tc>
        <w:tc>
          <w:tcPr>
            <w:tcW w:w="1409" w:type="dxa"/>
            <w:tcBorders>
              <w:bottom w:val="single" w:sz="4" w:space="0" w:color="auto"/>
            </w:tcBorders>
          </w:tcPr>
          <w:p w:rsidR="00922B8B" w:rsidRDefault="00922B8B" w:rsidP="002609AB">
            <w:pPr>
              <w:pStyle w:val="Tabletext"/>
              <w:ind w:left="-57" w:right="-57"/>
              <w:jc w:val="center"/>
              <w:rPr>
                <w:sz w:val="20"/>
                <w:lang w:val="en-US"/>
              </w:rPr>
            </w:pPr>
            <w:r>
              <w:rPr>
                <w:sz w:val="20"/>
                <w:lang w:val="en-US"/>
              </w:rPr>
              <w:t xml:space="preserve">Fs </w:t>
            </w:r>
            <w:r w:rsidR="002609AB">
              <w:rPr>
                <w:sz w:val="20"/>
                <w:lang w:val="en-US"/>
              </w:rPr>
              <w:t>&gt;</w:t>
            </w:r>
            <w:r>
              <w:rPr>
                <w:sz w:val="20"/>
                <w:lang w:val="en-US"/>
              </w:rPr>
              <w:t xml:space="preserve"> </w:t>
            </w:r>
            <w:r>
              <w:rPr>
                <w:rFonts w:ascii="Symbol" w:hAnsi="Symbol"/>
                <w:sz w:val="20"/>
                <w:lang w:val="es-ES"/>
              </w:rPr>
              <w:t></w:t>
            </w:r>
            <w:r>
              <w:rPr>
                <w:sz w:val="20"/>
                <w:lang w:val="en-US"/>
              </w:rPr>
              <w:t xml:space="preserve"> 6</w:t>
            </w:r>
          </w:p>
        </w:tc>
        <w:tc>
          <w:tcPr>
            <w:tcW w:w="1360"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c>
          <w:tcPr>
            <w:tcW w:w="1352" w:type="dxa"/>
            <w:tcBorders>
              <w:bottom w:val="single" w:sz="4" w:space="0" w:color="auto"/>
            </w:tcBorders>
          </w:tcPr>
          <w:p w:rsidR="00922B8B" w:rsidRDefault="00922B8B" w:rsidP="004D27B4">
            <w:pPr>
              <w:pStyle w:val="Tabletext"/>
              <w:jc w:val="center"/>
              <w:rPr>
                <w:sz w:val="20"/>
                <w:lang w:val="en-US"/>
              </w:rPr>
            </w:pPr>
            <w:r>
              <w:rPr>
                <w:sz w:val="20"/>
                <w:lang w:val="en-US"/>
              </w:rPr>
              <w:t>–</w:t>
            </w:r>
          </w:p>
        </w:tc>
      </w:tr>
      <w:tr w:rsidR="00922B8B" w:rsidRPr="00EB70C7" w:rsidTr="005D4470">
        <w:trPr>
          <w:cantSplit/>
          <w:jc w:val="center"/>
        </w:trPr>
        <w:tc>
          <w:tcPr>
            <w:tcW w:w="9639" w:type="dxa"/>
            <w:gridSpan w:val="7"/>
            <w:tcBorders>
              <w:top w:val="single" w:sz="4" w:space="0" w:color="auto"/>
              <w:left w:val="nil"/>
              <w:bottom w:val="nil"/>
              <w:right w:val="nil"/>
            </w:tcBorders>
          </w:tcPr>
          <w:p w:rsidR="00922B8B" w:rsidRDefault="00922B8B" w:rsidP="004D27B4">
            <w:pPr>
              <w:pStyle w:val="Tablelegend"/>
              <w:rPr>
                <w:lang w:val="en-US"/>
              </w:rPr>
            </w:pPr>
            <w:r>
              <w:rPr>
                <w:sz w:val="20"/>
                <w:vertAlign w:val="superscript"/>
                <w:lang w:val="en-US"/>
              </w:rPr>
              <w:t>(1)</w:t>
            </w:r>
            <w:r>
              <w:rPr>
                <w:sz w:val="20"/>
                <w:lang w:val="en-US"/>
              </w:rPr>
              <w:tab/>
              <w:t>Not applicable for CS which 250% exceed these values.</w:t>
            </w:r>
          </w:p>
        </w:tc>
      </w:tr>
    </w:tbl>
    <w:p w:rsidR="00922B8B" w:rsidRDefault="00922B8B" w:rsidP="00922B8B">
      <w:pPr>
        <w:pStyle w:val="Tablefin"/>
      </w:pPr>
    </w:p>
    <w:p w:rsidR="00922B8B" w:rsidRDefault="00922B8B" w:rsidP="00922B8B">
      <w:pPr>
        <w:rPr>
          <w:lang w:val="en-GB"/>
        </w:rPr>
      </w:pPr>
    </w:p>
    <w:p w:rsidR="00922B8B" w:rsidRDefault="00922B8B" w:rsidP="00922B8B">
      <w:pPr>
        <w:rPr>
          <w:lang w:val="en-GB"/>
        </w:rPr>
      </w:pPr>
    </w:p>
    <w:p w:rsidR="00922B8B" w:rsidRDefault="00922B8B" w:rsidP="00922B8B">
      <w:pPr>
        <w:pStyle w:val="AnnexNoTitle"/>
        <w:rPr>
          <w:lang w:val="en-US"/>
        </w:rPr>
      </w:pPr>
      <w:r>
        <w:rPr>
          <w:lang w:val="en-US"/>
        </w:rPr>
        <w:t>Annex 7</w:t>
      </w:r>
      <w:r>
        <w:rPr>
          <w:lang w:val="en-US"/>
        </w:rPr>
        <w:br/>
      </w:r>
      <w:r>
        <w:rPr>
          <w:lang w:val="en-US"/>
        </w:rPr>
        <w:br/>
        <w:t>Reference bandwidth for Category B limits</w:t>
      </w:r>
      <w:r>
        <w:rPr>
          <w:lang w:val="en-US"/>
        </w:rPr>
        <w:br/>
        <w:t>Case of the land mobile service</w:t>
      </w:r>
    </w:p>
    <w:p w:rsidR="00922B8B" w:rsidRPr="00041661" w:rsidRDefault="00922B8B" w:rsidP="00922B8B">
      <w:pPr>
        <w:pStyle w:val="Normalaftertitle"/>
        <w:rPr>
          <w:lang w:val="en-US"/>
        </w:rPr>
      </w:pPr>
      <w:r w:rsidRPr="00041661">
        <w:rPr>
          <w:lang w:val="en-US"/>
        </w:rPr>
        <w:t>Narrow-band analogue modulated systems of the land mobile service, with output power higher than 1 W and operated above 30 MHz, and digitally modulated systems of the land mobile service, although generally providing a good spectrum efficiency, are unable to comply with the Category B limits for close-in frequencies due to the wideband noise generated by such systems. It is therefore necessary to provide generic steps of reference bandwidth in order to produce suitable transition area for the spectral density.</w:t>
      </w:r>
    </w:p>
    <w:p w:rsidR="00922B8B" w:rsidRDefault="00922B8B" w:rsidP="00922B8B">
      <w:pPr>
        <w:rPr>
          <w:lang w:val="en-US"/>
        </w:rPr>
      </w:pPr>
      <w:r>
        <w:rPr>
          <w:lang w:val="en-US"/>
        </w:rPr>
        <w:t>The generic reference bandwidth mask is shown in Fig. 4, with breakpoints function of the CS or the NB referred to in Table 12, for frequencies below 1 GHz and in Fig. 5, with breakpoints function of the CS or the NB referred to in Table 13, for frequencies above 1 GHz.</w:t>
      </w:r>
    </w:p>
    <w:p w:rsidR="00922B8B" w:rsidRDefault="00922B8B" w:rsidP="00922B8B">
      <w:pPr>
        <w:rPr>
          <w:lang w:val="en-US"/>
        </w:rPr>
      </w:pPr>
      <w:r>
        <w:rPr>
          <w:lang w:val="en-US"/>
        </w:rPr>
        <w:t>These masks shall apply to both mobile terminals and base stations.</w:t>
      </w:r>
    </w:p>
    <w:p w:rsidR="00922B8B" w:rsidRDefault="009C1669" w:rsidP="009C1669">
      <w:pPr>
        <w:pStyle w:val="FigureNo"/>
        <w:rPr>
          <w:lang w:val="en-US"/>
        </w:rPr>
      </w:pPr>
      <w:r>
        <w:rPr>
          <w:lang w:val="en-US"/>
        </w:rPr>
        <w:lastRenderedPageBreak/>
        <w:t>figure 4</w:t>
      </w:r>
    </w:p>
    <w:p w:rsidR="00756CBD" w:rsidRDefault="009C1669" w:rsidP="00756CBD">
      <w:pPr>
        <w:pStyle w:val="Figuretitle"/>
        <w:rPr>
          <w:lang w:val="en-US"/>
        </w:rPr>
      </w:pPr>
      <w:r w:rsidRPr="009C1669">
        <w:rPr>
          <w:lang w:val="en-US"/>
        </w:rPr>
        <w:t>Generic Category B land mobile service mask below 1 GHz for unwanted emissions in the spurious domain</w:t>
      </w:r>
    </w:p>
    <w:p w:rsidR="009C1669" w:rsidRPr="00970B07" w:rsidRDefault="009C1669" w:rsidP="00756CBD">
      <w:pPr>
        <w:pStyle w:val="Figuretitle"/>
        <w:rPr>
          <w:rFonts w:ascii="Times New Roman" w:hAnsi="Times New Roman"/>
          <w:b w:val="0"/>
          <w:bCs/>
          <w:color w:val="000000"/>
          <w:szCs w:val="18"/>
          <w:lang w:val="en-US"/>
        </w:rPr>
      </w:pPr>
      <w:r w:rsidRPr="00970B07">
        <w:rPr>
          <w:rFonts w:ascii="Times New Roman" w:hAnsi="Times New Roman"/>
          <w:b w:val="0"/>
          <w:bCs/>
          <w:color w:val="000000"/>
          <w:szCs w:val="18"/>
          <w:lang w:val="en-US"/>
        </w:rPr>
        <w:t>(refer to Table 12)</w:t>
      </w:r>
    </w:p>
    <w:p w:rsidR="00922B8B" w:rsidRPr="009C1669" w:rsidRDefault="009C1669" w:rsidP="00922B8B">
      <w:pPr>
        <w:pStyle w:val="FigureNo"/>
        <w:rPr>
          <w:lang w:val="en-US"/>
        </w:rPr>
      </w:pPr>
      <w:r>
        <w:object w:dxaOrig="10412" w:dyaOrig="6366">
          <v:shape id="_x0000_i1031" type="#_x0000_t75" style="width:391.25pt;height:239.1pt" o:ole="">
            <v:imagedata r:id="rId26" o:title=""/>
          </v:shape>
          <o:OLEObject Type="Embed" ProgID="CorelDRAW.Graphic.14" ShapeID="_x0000_i1031" DrawAspect="Content" ObjectID="_1560711289" r:id="rId27"/>
        </w:object>
      </w:r>
    </w:p>
    <w:p w:rsidR="00922B8B" w:rsidRPr="009C1669" w:rsidRDefault="00922B8B" w:rsidP="00922B8B">
      <w:pPr>
        <w:rPr>
          <w:lang w:val="en-US"/>
        </w:rPr>
      </w:pPr>
    </w:p>
    <w:p w:rsidR="00922B8B" w:rsidRDefault="00922B8B" w:rsidP="000F3860">
      <w:pPr>
        <w:pStyle w:val="TableNo"/>
        <w:rPr>
          <w:lang w:val="en-US"/>
        </w:rPr>
      </w:pPr>
      <w:r>
        <w:rPr>
          <w:lang w:val="en-US"/>
        </w:rPr>
        <w:t>TABLE 12</w:t>
      </w:r>
    </w:p>
    <w:p w:rsidR="00922B8B" w:rsidRDefault="00922B8B" w:rsidP="00922B8B">
      <w:pPr>
        <w:pStyle w:val="Tabletitle"/>
        <w:rPr>
          <w:lang w:val="en-US"/>
        </w:rPr>
      </w:pPr>
      <w:r>
        <w:rPr>
          <w:lang w:val="en-US"/>
        </w:rPr>
        <w:t>Generic Category B land mobile service mask below 1 GHz</w:t>
      </w:r>
      <w:r>
        <w:rPr>
          <w:lang w:val="en-US"/>
        </w:rPr>
        <w:br/>
        <w:t>for unwanted emissions in the spurious domain</w:t>
      </w:r>
    </w:p>
    <w:p w:rsidR="00922B8B" w:rsidRDefault="00922B8B" w:rsidP="00922B8B">
      <w:pPr>
        <w:pStyle w:val="Tabletitle"/>
        <w:rPr>
          <w:b w:val="0"/>
          <w:lang w:val="en-US"/>
        </w:rPr>
      </w:pPr>
      <w:r>
        <w:rPr>
          <w:b w:val="0"/>
          <w:lang w:val="en-US"/>
        </w:rPr>
        <w:t>(refer to Fig. 4)</w:t>
      </w:r>
    </w:p>
    <w:p w:rsidR="00922B8B" w:rsidRDefault="00922B8B" w:rsidP="00922B8B">
      <w:pPr>
        <w:pStyle w:val="Blanc"/>
        <w:rPr>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701"/>
        <w:gridCol w:w="5670"/>
      </w:tblGrid>
      <w:tr w:rsidR="00922B8B" w:rsidRPr="00EB70C7" w:rsidTr="005D4470">
        <w:trPr>
          <w:jc w:val="center"/>
        </w:trPr>
        <w:tc>
          <w:tcPr>
            <w:tcW w:w="1701" w:type="dxa"/>
          </w:tcPr>
          <w:p w:rsidR="00922B8B" w:rsidRDefault="00922B8B" w:rsidP="005D4470">
            <w:pPr>
              <w:pStyle w:val="Tabletext"/>
              <w:jc w:val="center"/>
            </w:pPr>
            <w:r>
              <w:t>Fa</w:t>
            </w:r>
          </w:p>
        </w:tc>
        <w:tc>
          <w:tcPr>
            <w:tcW w:w="5670" w:type="dxa"/>
          </w:tcPr>
          <w:p w:rsidR="00922B8B" w:rsidRDefault="00922B8B" w:rsidP="00AC59E1">
            <w:pPr>
              <w:pStyle w:val="Tabletext"/>
              <w:rPr>
                <w:lang w:val="en-US"/>
              </w:rPr>
            </w:pPr>
            <w:r>
              <w:rPr>
                <w:lang w:val="en-US"/>
              </w:rPr>
              <w:t>100 kHz or 4 times NB, whichever is the greater</w:t>
            </w:r>
          </w:p>
        </w:tc>
      </w:tr>
      <w:tr w:rsidR="00922B8B" w:rsidRPr="00EB70C7" w:rsidTr="005D4470">
        <w:trPr>
          <w:jc w:val="center"/>
        </w:trPr>
        <w:tc>
          <w:tcPr>
            <w:tcW w:w="1701" w:type="dxa"/>
          </w:tcPr>
          <w:p w:rsidR="00922B8B" w:rsidRDefault="00922B8B" w:rsidP="005D4470">
            <w:pPr>
              <w:pStyle w:val="Tabletext"/>
              <w:jc w:val="center"/>
            </w:pPr>
            <w:r>
              <w:t>Fb</w:t>
            </w:r>
          </w:p>
        </w:tc>
        <w:tc>
          <w:tcPr>
            <w:tcW w:w="5670" w:type="dxa"/>
          </w:tcPr>
          <w:p w:rsidR="00922B8B" w:rsidRDefault="00922B8B" w:rsidP="00AC59E1">
            <w:pPr>
              <w:pStyle w:val="Tabletext"/>
              <w:rPr>
                <w:lang w:val="en-US"/>
              </w:rPr>
            </w:pPr>
            <w:r>
              <w:rPr>
                <w:lang w:val="en-US"/>
              </w:rPr>
              <w:t>500 kHz or 10 times NB, whichever is the greater</w:t>
            </w:r>
          </w:p>
        </w:tc>
      </w:tr>
    </w:tbl>
    <w:p w:rsidR="00922B8B" w:rsidRDefault="00922B8B" w:rsidP="00922B8B">
      <w:pPr>
        <w:pStyle w:val="Tablefin"/>
        <w:rPr>
          <w:lang w:val="en-US"/>
        </w:rPr>
      </w:pPr>
    </w:p>
    <w:p w:rsidR="009C1669" w:rsidRDefault="009C1669" w:rsidP="009C1669">
      <w:pPr>
        <w:pStyle w:val="FigureNo"/>
        <w:rPr>
          <w:lang w:val="en-US"/>
        </w:rPr>
      </w:pPr>
      <w:r>
        <w:rPr>
          <w:lang w:val="en-US"/>
        </w:rPr>
        <w:lastRenderedPageBreak/>
        <w:t>Figure 5</w:t>
      </w:r>
    </w:p>
    <w:p w:rsidR="00756CBD" w:rsidRDefault="009C1669" w:rsidP="00756CBD">
      <w:pPr>
        <w:pStyle w:val="Figuretitle"/>
        <w:rPr>
          <w:lang w:val="en-US"/>
        </w:rPr>
      </w:pPr>
      <w:r w:rsidRPr="009C1669">
        <w:rPr>
          <w:lang w:val="en-US"/>
        </w:rPr>
        <w:t xml:space="preserve">Generic Category B land mobile service mask above 1 GHz </w:t>
      </w:r>
      <w:r>
        <w:rPr>
          <w:lang w:val="en-US"/>
        </w:rPr>
        <w:br/>
      </w:r>
      <w:r w:rsidRPr="009C1669">
        <w:rPr>
          <w:lang w:val="en-US"/>
        </w:rPr>
        <w:t>for unwanted emissions in the spurious domain</w:t>
      </w:r>
    </w:p>
    <w:p w:rsidR="009C1669" w:rsidRPr="009C1669" w:rsidRDefault="009C1669" w:rsidP="00756CBD">
      <w:pPr>
        <w:pStyle w:val="Figuretitle"/>
        <w:rPr>
          <w:b w:val="0"/>
          <w:bCs/>
          <w:lang w:val="en-US"/>
        </w:rPr>
      </w:pPr>
      <w:r w:rsidRPr="009C1669">
        <w:rPr>
          <w:rFonts w:ascii="Times New Roman" w:hAnsi="Times New Roman"/>
          <w:b w:val="0"/>
          <w:bCs/>
          <w:color w:val="000000"/>
          <w:szCs w:val="18"/>
          <w:lang w:val="en-US"/>
        </w:rPr>
        <w:t>(refer to Table 13)</w:t>
      </w:r>
    </w:p>
    <w:p w:rsidR="00922B8B" w:rsidRDefault="009C1669" w:rsidP="00922B8B">
      <w:pPr>
        <w:pStyle w:val="FigureNo"/>
      </w:pPr>
      <w:r>
        <w:object w:dxaOrig="10824" w:dyaOrig="6370">
          <v:shape id="_x0000_i1032" type="#_x0000_t75" style="width:406.85pt;height:239.75pt" o:ole="">
            <v:imagedata r:id="rId28" o:title=""/>
          </v:shape>
          <o:OLEObject Type="Embed" ProgID="CorelDRAW.Graphic.14" ShapeID="_x0000_i1032" DrawAspect="Content" ObjectID="_1560711290" r:id="rId29"/>
        </w:object>
      </w:r>
    </w:p>
    <w:p w:rsidR="00922B8B" w:rsidRDefault="00922B8B" w:rsidP="00922B8B">
      <w:pPr>
        <w:rPr>
          <w:lang w:val="en-US"/>
        </w:rPr>
      </w:pPr>
    </w:p>
    <w:p w:rsidR="00922B8B" w:rsidRDefault="00922B8B" w:rsidP="000F3860">
      <w:pPr>
        <w:pStyle w:val="TableNo"/>
        <w:rPr>
          <w:lang w:val="en-US"/>
        </w:rPr>
      </w:pPr>
      <w:r>
        <w:rPr>
          <w:lang w:val="en-US"/>
        </w:rPr>
        <w:t>TABLE 13</w:t>
      </w:r>
    </w:p>
    <w:p w:rsidR="00922B8B" w:rsidRDefault="00922B8B" w:rsidP="00922B8B">
      <w:pPr>
        <w:pStyle w:val="Tabletitle"/>
        <w:rPr>
          <w:lang w:val="en-US"/>
        </w:rPr>
      </w:pPr>
      <w:r>
        <w:rPr>
          <w:lang w:val="en-US"/>
        </w:rPr>
        <w:t>Generic Category B land mobile service mask above 1 GHz</w:t>
      </w:r>
      <w:r>
        <w:rPr>
          <w:lang w:val="en-US"/>
        </w:rPr>
        <w:br/>
        <w:t>for unwanted e</w:t>
      </w:r>
      <w:r w:rsidR="005D4470">
        <w:rPr>
          <w:lang w:val="en-US"/>
        </w:rPr>
        <w:t>missions in the spurious domain</w:t>
      </w:r>
    </w:p>
    <w:p w:rsidR="00922B8B" w:rsidRDefault="00922B8B" w:rsidP="00922B8B">
      <w:pPr>
        <w:pStyle w:val="Tabletitle"/>
        <w:rPr>
          <w:b w:val="0"/>
          <w:lang w:val="en-US"/>
        </w:rPr>
      </w:pPr>
      <w:r>
        <w:rPr>
          <w:b w:val="0"/>
          <w:lang w:val="en-US"/>
        </w:rPr>
        <w:t>(refer to Fig. 5)</w:t>
      </w:r>
    </w:p>
    <w:p w:rsidR="00922B8B" w:rsidRDefault="00922B8B" w:rsidP="00922B8B">
      <w:pPr>
        <w:pStyle w:val="Blanc"/>
        <w:rPr>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701"/>
        <w:gridCol w:w="5670"/>
      </w:tblGrid>
      <w:tr w:rsidR="00922B8B" w:rsidRPr="00EB70C7" w:rsidTr="005D4470">
        <w:trPr>
          <w:jc w:val="center"/>
        </w:trPr>
        <w:tc>
          <w:tcPr>
            <w:tcW w:w="1701" w:type="dxa"/>
          </w:tcPr>
          <w:p w:rsidR="00922B8B" w:rsidRDefault="00922B8B" w:rsidP="005D4470">
            <w:pPr>
              <w:pStyle w:val="Tabletext"/>
              <w:jc w:val="center"/>
            </w:pPr>
            <w:r>
              <w:t>Fa</w:t>
            </w:r>
          </w:p>
        </w:tc>
        <w:tc>
          <w:tcPr>
            <w:tcW w:w="5670" w:type="dxa"/>
          </w:tcPr>
          <w:p w:rsidR="00922B8B" w:rsidRDefault="00922B8B" w:rsidP="00AC59E1">
            <w:pPr>
              <w:pStyle w:val="Tabletext"/>
              <w:rPr>
                <w:lang w:val="en-US"/>
              </w:rPr>
            </w:pPr>
            <w:r>
              <w:rPr>
                <w:lang w:val="en-US"/>
              </w:rPr>
              <w:t>500 kHz or 10 times NB, whichever is the greater</w:t>
            </w:r>
          </w:p>
        </w:tc>
      </w:tr>
      <w:tr w:rsidR="00922B8B" w:rsidRPr="00EB70C7" w:rsidTr="005D4470">
        <w:trPr>
          <w:jc w:val="center"/>
        </w:trPr>
        <w:tc>
          <w:tcPr>
            <w:tcW w:w="1701" w:type="dxa"/>
          </w:tcPr>
          <w:p w:rsidR="00922B8B" w:rsidRDefault="00922B8B" w:rsidP="005D4470">
            <w:pPr>
              <w:pStyle w:val="Tabletext"/>
              <w:jc w:val="center"/>
            </w:pPr>
            <w:r>
              <w:t>Fb</w:t>
            </w:r>
          </w:p>
        </w:tc>
        <w:tc>
          <w:tcPr>
            <w:tcW w:w="5670" w:type="dxa"/>
          </w:tcPr>
          <w:p w:rsidR="00922B8B" w:rsidRDefault="00922B8B" w:rsidP="00AC59E1">
            <w:pPr>
              <w:pStyle w:val="Tabletext"/>
              <w:rPr>
                <w:lang w:val="en-US"/>
              </w:rPr>
            </w:pPr>
            <w:r>
              <w:rPr>
                <w:lang w:val="en-US"/>
              </w:rPr>
              <w:t>1 MHz or 12 times NB, whichever is the greater</w:t>
            </w:r>
          </w:p>
        </w:tc>
      </w:tr>
    </w:tbl>
    <w:p w:rsidR="00922B8B" w:rsidRDefault="00922B8B" w:rsidP="00922B8B">
      <w:pPr>
        <w:pStyle w:val="Tablefin"/>
        <w:rPr>
          <w:lang w:val="en-US"/>
        </w:rPr>
      </w:pPr>
    </w:p>
    <w:p w:rsidR="00922B8B" w:rsidRDefault="00922B8B" w:rsidP="00922B8B">
      <w:pPr>
        <w:rPr>
          <w:lang w:val="en-US"/>
        </w:rPr>
      </w:pPr>
    </w:p>
    <w:p w:rsidR="00922B8B" w:rsidRPr="00922B8B" w:rsidRDefault="00922B8B" w:rsidP="00922B8B">
      <w:pPr>
        <w:pStyle w:val="Line"/>
      </w:pPr>
    </w:p>
    <w:sectPr w:rsidR="00922B8B" w:rsidRPr="00922B8B" w:rsidSect="00FD4BF2">
      <w:headerReference w:type="even" r:id="rId30"/>
      <w:headerReference w:type="default" r:id="rId31"/>
      <w:pgSz w:w="11907" w:h="16834" w:code="9"/>
      <w:pgMar w:top="1418" w:right="1134" w:bottom="1134" w:left="1134" w:header="720" w:footer="482" w:gutter="0"/>
      <w:paperSrc w:first="15" w:other="15"/>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7B4" w:rsidRDefault="004D27B4">
      <w:r>
        <w:separator/>
      </w:r>
    </w:p>
  </w:endnote>
  <w:endnote w:type="continuationSeparator" w:id="0">
    <w:p w:rsidR="004D27B4" w:rsidRDefault="004D27B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7B4" w:rsidRDefault="004D27B4">
      <w:r>
        <w:separator/>
      </w:r>
    </w:p>
  </w:footnote>
  <w:footnote w:type="continuationSeparator" w:id="0">
    <w:p w:rsidR="004D27B4" w:rsidRDefault="004D27B4">
      <w:r>
        <w:continuationSeparator/>
      </w:r>
    </w:p>
  </w:footnote>
  <w:footnote w:id="1">
    <w:p w:rsidR="00EB70C7" w:rsidRPr="00EB70C7" w:rsidRDefault="00EB70C7" w:rsidP="00EB70C7">
      <w:pPr>
        <w:pStyle w:val="FootnoteText"/>
        <w:rPr>
          <w:lang w:val="en-US"/>
        </w:rPr>
      </w:pPr>
      <w:r w:rsidRPr="00EB70C7">
        <w:rPr>
          <w:rStyle w:val="FootnoteReference"/>
          <w:lang w:val="en-US"/>
        </w:rPr>
        <w:t>*</w:t>
      </w:r>
      <w:r w:rsidRPr="00EB70C7">
        <w:rPr>
          <w:lang w:val="en-US"/>
        </w:rPr>
        <w:tab/>
      </w:r>
      <w:r w:rsidRPr="008762AE">
        <w:rPr>
          <w:lang w:val="en-US"/>
        </w:rPr>
        <w:t>Radiocommunication Study Group 1 made editorial amendments to this Recommendation</w:t>
      </w:r>
      <w:r w:rsidRPr="008762AE">
        <w:rPr>
          <w:lang w:val="en-US" w:eastAsia="ko-KR"/>
        </w:rPr>
        <w:t xml:space="preserve"> in 201</w:t>
      </w:r>
      <w:r>
        <w:rPr>
          <w:lang w:val="en-US" w:eastAsia="ko-KR"/>
        </w:rPr>
        <w:t>3</w:t>
      </w:r>
      <w:r w:rsidRPr="008762AE">
        <w:rPr>
          <w:lang w:val="en-US" w:eastAsia="ko-KR"/>
        </w:rPr>
        <w:t xml:space="preserve"> </w:t>
      </w:r>
      <w:r w:rsidRPr="008762AE">
        <w:rPr>
          <w:lang w:val="en-US"/>
        </w:rPr>
        <w:t>in accordance with Resolution ITU</w:t>
      </w:r>
      <w:r w:rsidRPr="008762AE">
        <w:rPr>
          <w:lang w:val="en-US"/>
        </w:rPr>
        <w:noBreakHyphen/>
        <w:t>R 1.</w:t>
      </w:r>
    </w:p>
  </w:footnote>
  <w:footnote w:id="2">
    <w:p w:rsidR="00EB70C7" w:rsidRPr="00EB70C7" w:rsidRDefault="00EB70C7">
      <w:pPr>
        <w:pStyle w:val="FootnoteText"/>
        <w:rPr>
          <w:lang w:val="en-US"/>
        </w:rPr>
      </w:pPr>
      <w:r w:rsidRPr="00EB70C7">
        <w:rPr>
          <w:rStyle w:val="FootnoteReference"/>
          <w:lang w:val="en-US"/>
        </w:rPr>
        <w:t>**</w:t>
      </w:r>
      <w:r w:rsidRPr="00EB70C7">
        <w:rPr>
          <w:lang w:val="en-US"/>
        </w:rPr>
        <w:t xml:space="preserve"> </w:t>
      </w:r>
      <w:r>
        <w:rPr>
          <w:lang w:val="en-US"/>
        </w:rPr>
        <w:t>The limits in this Recommendation apply to any out-of-band or spurious emissions in the spurious domain. Spurious emissions are generally predominant in the spurious domain.</w:t>
      </w:r>
    </w:p>
  </w:footnote>
  <w:footnote w:id="3">
    <w:p w:rsidR="004D27B4" w:rsidRDefault="004D27B4" w:rsidP="00922B8B">
      <w:pPr>
        <w:pStyle w:val="FootnoteText"/>
        <w:rPr>
          <w:lang w:val="en-US"/>
        </w:rPr>
      </w:pPr>
      <w:r>
        <w:rPr>
          <w:rStyle w:val="FootnoteReference"/>
          <w:lang w:val="en-US"/>
        </w:rPr>
        <w:t>1</w:t>
      </w:r>
      <w:r>
        <w:rPr>
          <w:lang w:val="en-US"/>
        </w:rPr>
        <w:t xml:space="preserve"> </w:t>
      </w:r>
      <w:r>
        <w:rPr>
          <w:lang w:val="en-US"/>
        </w:rPr>
        <w:tab/>
        <w:t>Spurious domain emissions are unwanted emissions at frequencies within the spurious domain.</w:t>
      </w:r>
    </w:p>
  </w:footnote>
  <w:footnote w:id="4">
    <w:p w:rsidR="004D27B4" w:rsidRDefault="004D27B4" w:rsidP="00922B8B">
      <w:pPr>
        <w:pStyle w:val="FootnoteText"/>
        <w:rPr>
          <w:lang w:val="en-US"/>
        </w:rPr>
      </w:pPr>
      <w:r>
        <w:rPr>
          <w:rStyle w:val="FootnoteReference"/>
          <w:lang w:val="en-US"/>
        </w:rPr>
        <w:t>2</w:t>
      </w:r>
      <w:r>
        <w:rPr>
          <w:lang w:val="en-US"/>
        </w:rPr>
        <w:t xml:space="preserve"> </w:t>
      </w:r>
      <w:r>
        <w:rPr>
          <w:lang w:val="en-US"/>
        </w:rPr>
        <w:tab/>
        <w:t>The terms “out-of-band domain” and “spurious domain” have been introduced in order to remove some inconsistency now existing between, on one hand, the definitions of the terms “out</w:t>
      </w:r>
      <w:r>
        <w:rPr>
          <w:lang w:val="en-US"/>
        </w:rPr>
        <w:noBreakHyphen/>
        <w:t>of</w:t>
      </w:r>
      <w:r>
        <w:rPr>
          <w:lang w:val="en-US"/>
        </w:rPr>
        <w:noBreakHyphen/>
        <w:t>band emission” and “spurious emission” in RR Article 1 and, on the other hand, the actual use of these terms in RR Appendix 3, as revised by the World Radiocommunication Conference (Istanbul, 2000) (WRC</w:t>
      </w:r>
      <w:r>
        <w:rPr>
          <w:lang w:val="en-US"/>
        </w:rPr>
        <w:noBreakHyphen/>
        <w:t>2000). Out</w:t>
      </w:r>
      <w:r>
        <w:rPr>
          <w:lang w:val="en-US"/>
        </w:rPr>
        <w:noBreakHyphen/>
        <w:t>of</w:t>
      </w:r>
      <w:r>
        <w:rPr>
          <w:lang w:val="en-US"/>
        </w:rPr>
        <w:noBreakHyphen/>
        <w:t>band domain emission and spurious domain emission limits apply, respectively, to all unwanted emissions in the out</w:t>
      </w:r>
      <w:r>
        <w:rPr>
          <w:lang w:val="en-US"/>
        </w:rPr>
        <w:noBreakHyphen/>
        <w:t>of</w:t>
      </w:r>
      <w:r>
        <w:rPr>
          <w:lang w:val="en-US"/>
        </w:rPr>
        <w:noBreakHyphen/>
        <w:t>band and spurious domains.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4D27B4">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4D27B4" w:rsidP="004D27B4">
    <w:pPr>
      <w:pStyle w:val="Header"/>
      <w:ind w:right="360" w:firstLine="360"/>
    </w:pPr>
    <w:r>
      <w:rPr>
        <w:noProof/>
        <w:lang w:val="en-US"/>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1"/>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FB6DF6">
    <w:pPr>
      <w:pStyle w:val="Header"/>
      <w:jc w:val="left"/>
      <w:rPr>
        <w:lang w:val="en-US"/>
      </w:rPr>
    </w:pPr>
    <w:r>
      <w:rPr>
        <w:rStyle w:val="PageNumber"/>
        <w:b/>
        <w:bCs/>
      </w:rPr>
      <w:fldChar w:fldCharType="begin"/>
    </w:r>
    <w:r w:rsidR="004D27B4">
      <w:rPr>
        <w:rStyle w:val="PageNumber"/>
        <w:b/>
        <w:bCs/>
        <w:lang w:val="en-US"/>
      </w:rPr>
      <w:instrText xml:space="preserve"> PAGE </w:instrText>
    </w:r>
    <w:r>
      <w:rPr>
        <w:rStyle w:val="PageNumber"/>
        <w:b/>
        <w:bCs/>
      </w:rPr>
      <w:fldChar w:fldCharType="separate"/>
    </w:r>
    <w:r w:rsidR="001C18FD">
      <w:rPr>
        <w:rStyle w:val="PageNumber"/>
        <w:b/>
        <w:bCs/>
        <w:noProof/>
        <w:lang w:val="en-US"/>
      </w:rPr>
      <w:t>ii</w:t>
    </w:r>
    <w:r>
      <w:rPr>
        <w:rStyle w:val="PageNumber"/>
        <w:b/>
        <w:bCs/>
      </w:rPr>
      <w:fldChar w:fldCharType="end"/>
    </w:r>
    <w:r w:rsidR="004D27B4">
      <w:rPr>
        <w:lang w:val="en-US"/>
      </w:rPr>
      <w:tab/>
    </w:r>
    <w:fldSimple w:instr=" DOCPROPERTY &quot;Header&quot; \* MERGEFORMAT ">
      <w:r w:rsidR="004D27B4" w:rsidRPr="00AC6C65">
        <w:rPr>
          <w:b/>
          <w:bCs/>
          <w:lang w:val="en-US"/>
        </w:rPr>
        <w:t xml:space="preserve">Rec. </w:t>
      </w:r>
    </w:fldSimple>
    <w:r w:rsidR="004D27B4">
      <w:rPr>
        <w:b/>
        <w:bCs/>
      </w:rPr>
      <w:t xml:space="preserve"> </w:t>
    </w:r>
    <w:r>
      <w:rPr>
        <w:b/>
        <w:bCs/>
      </w:rPr>
      <w:fldChar w:fldCharType="begin"/>
    </w:r>
    <w:r w:rsidR="004D27B4">
      <w:rPr>
        <w:b/>
        <w:bCs/>
        <w:lang w:val="en-US"/>
      </w:rPr>
      <w:instrText>styleref href</w:instrText>
    </w:r>
    <w:r>
      <w:rPr>
        <w:b/>
        <w:bCs/>
      </w:rPr>
      <w:fldChar w:fldCharType="separate"/>
    </w:r>
    <w:r w:rsidR="001C18FD">
      <w:rPr>
        <w:b/>
        <w:bCs/>
        <w:noProof/>
        <w:lang w:val="en-US"/>
      </w:rPr>
      <w:t>ITU-R  SM.329-12</w:t>
    </w:r>
    <w:r>
      <w:rPr>
        <w:b/>
        <w:bCs/>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4D27B4">
    <w:pPr>
      <w:pStyle w:val="Header"/>
    </w:pPr>
    <w:r>
      <w:tab/>
    </w:r>
    <w:fldSimple w:instr=" DOCPROPERTY &quot;Header&quot; \* MERGEFORMAT ">
      <w:r w:rsidRPr="00AC6C65">
        <w:rPr>
          <w:b/>
          <w:bCs/>
        </w:rPr>
        <w:t xml:space="preserve">Rec. </w:t>
      </w:r>
    </w:fldSimple>
    <w:r>
      <w:rPr>
        <w:b/>
        <w:bCs/>
      </w:rPr>
      <w:t xml:space="preserve"> </w:t>
    </w:r>
    <w:r w:rsidR="00FB6DF6">
      <w:rPr>
        <w:b/>
        <w:bCs/>
      </w:rPr>
      <w:fldChar w:fldCharType="begin"/>
    </w:r>
    <w:r>
      <w:rPr>
        <w:b/>
        <w:bCs/>
      </w:rPr>
      <w:instrText>styleref href</w:instrText>
    </w:r>
    <w:r w:rsidR="00FB6DF6">
      <w:rPr>
        <w:b/>
        <w:bCs/>
      </w:rPr>
      <w:fldChar w:fldCharType="separate"/>
    </w:r>
    <w:r w:rsidR="00EB70C7">
      <w:rPr>
        <w:b/>
        <w:bCs/>
        <w:noProof/>
      </w:rPr>
      <w:t>ITU-R  SM.329-12</w:t>
    </w:r>
    <w:r w:rsidR="00FB6DF6">
      <w:rPr>
        <w:b/>
        <w:bCs/>
      </w:rPr>
      <w:fldChar w:fldCharType="end"/>
    </w:r>
    <w:r>
      <w:tab/>
    </w:r>
    <w:r w:rsidR="00FB6DF6">
      <w:rPr>
        <w:rStyle w:val="PageNumber"/>
        <w:b/>
        <w:bCs/>
      </w:rPr>
      <w:fldChar w:fldCharType="begin"/>
    </w:r>
    <w:r>
      <w:rPr>
        <w:rStyle w:val="PageNumber"/>
        <w:b/>
        <w:bCs/>
      </w:rPr>
      <w:instrText xml:space="preserve"> PAGE </w:instrText>
    </w:r>
    <w:r w:rsidR="00FB6DF6">
      <w:rPr>
        <w:rStyle w:val="PageNumber"/>
        <w:b/>
        <w:bCs/>
      </w:rPr>
      <w:fldChar w:fldCharType="separate"/>
    </w:r>
    <w:r w:rsidR="00EB70C7">
      <w:rPr>
        <w:rStyle w:val="PageNumber"/>
        <w:b/>
        <w:bCs/>
        <w:noProof/>
      </w:rPr>
      <w:t>iii</w:t>
    </w:r>
    <w:r w:rsidR="00FB6DF6">
      <w:rPr>
        <w:rStyle w:val="PageNumbe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FB6DF6">
    <w:pPr>
      <w:pStyle w:val="Header"/>
      <w:jc w:val="left"/>
      <w:rPr>
        <w:lang w:val="en-US"/>
      </w:rPr>
    </w:pPr>
    <w:r>
      <w:rPr>
        <w:rStyle w:val="PageNumber"/>
        <w:b/>
        <w:bCs/>
      </w:rPr>
      <w:fldChar w:fldCharType="begin"/>
    </w:r>
    <w:r w:rsidR="004D27B4">
      <w:rPr>
        <w:rStyle w:val="PageNumber"/>
        <w:b/>
        <w:bCs/>
        <w:lang w:val="en-US"/>
      </w:rPr>
      <w:instrText xml:space="preserve"> PAGE </w:instrText>
    </w:r>
    <w:r>
      <w:rPr>
        <w:rStyle w:val="PageNumber"/>
        <w:b/>
        <w:bCs/>
      </w:rPr>
      <w:fldChar w:fldCharType="separate"/>
    </w:r>
    <w:r w:rsidR="001C18FD">
      <w:rPr>
        <w:rStyle w:val="PageNumber"/>
        <w:b/>
        <w:bCs/>
        <w:noProof/>
        <w:lang w:val="en-US"/>
      </w:rPr>
      <w:t>38</w:t>
    </w:r>
    <w:r>
      <w:rPr>
        <w:rStyle w:val="PageNumber"/>
        <w:b/>
        <w:bCs/>
      </w:rPr>
      <w:fldChar w:fldCharType="end"/>
    </w:r>
    <w:r w:rsidR="004D27B4">
      <w:rPr>
        <w:lang w:val="en-US"/>
      </w:rPr>
      <w:tab/>
    </w:r>
    <w:fldSimple w:instr=" DOCPROPERTY &quot;Header&quot; \* MERGEFORMAT ">
      <w:r w:rsidR="004D27B4" w:rsidRPr="00AC6C65">
        <w:rPr>
          <w:b/>
          <w:bCs/>
          <w:lang w:val="en-US"/>
        </w:rPr>
        <w:t xml:space="preserve">Rec. </w:t>
      </w:r>
    </w:fldSimple>
    <w:r w:rsidR="004D27B4" w:rsidRPr="009E00A8">
      <w:rPr>
        <w:b/>
        <w:bCs/>
        <w:lang w:val="en-US"/>
      </w:rPr>
      <w:t xml:space="preserve"> </w:t>
    </w:r>
    <w:r>
      <w:rPr>
        <w:b/>
        <w:bCs/>
      </w:rPr>
      <w:fldChar w:fldCharType="begin"/>
    </w:r>
    <w:r w:rsidR="004D27B4">
      <w:rPr>
        <w:b/>
        <w:bCs/>
        <w:lang w:val="en-US"/>
      </w:rPr>
      <w:instrText>styleref href</w:instrText>
    </w:r>
    <w:r>
      <w:rPr>
        <w:b/>
        <w:bCs/>
      </w:rPr>
      <w:fldChar w:fldCharType="separate"/>
    </w:r>
    <w:r w:rsidR="001C18FD">
      <w:rPr>
        <w:b/>
        <w:bCs/>
        <w:noProof/>
        <w:lang w:val="en-US"/>
      </w:rPr>
      <w:t>ITU-R  SM.329-12</w:t>
    </w:r>
    <w:r>
      <w:rPr>
        <w:b/>
        <w:bCs/>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7B4" w:rsidRDefault="004D27B4">
    <w:pPr>
      <w:pStyle w:val="Header"/>
    </w:pPr>
    <w:r>
      <w:tab/>
    </w:r>
    <w:fldSimple w:instr=" DOCPROPERTY &quot;Header&quot; \* MERGEFORMAT ">
      <w:r w:rsidRPr="00AC6C65">
        <w:rPr>
          <w:b/>
          <w:bCs/>
        </w:rPr>
        <w:t xml:space="preserve">Rec. </w:t>
      </w:r>
    </w:fldSimple>
    <w:r>
      <w:rPr>
        <w:b/>
        <w:bCs/>
      </w:rPr>
      <w:t xml:space="preserve"> </w:t>
    </w:r>
    <w:r w:rsidR="00FB6DF6">
      <w:rPr>
        <w:b/>
        <w:bCs/>
      </w:rPr>
      <w:fldChar w:fldCharType="begin"/>
    </w:r>
    <w:r>
      <w:rPr>
        <w:b/>
        <w:bCs/>
      </w:rPr>
      <w:instrText>styleref href</w:instrText>
    </w:r>
    <w:r w:rsidR="00FB6DF6">
      <w:rPr>
        <w:b/>
        <w:bCs/>
      </w:rPr>
      <w:fldChar w:fldCharType="separate"/>
    </w:r>
    <w:r w:rsidR="001C18FD">
      <w:rPr>
        <w:b/>
        <w:bCs/>
        <w:noProof/>
      </w:rPr>
      <w:t>ITU-R  SM.329-12</w:t>
    </w:r>
    <w:r w:rsidR="00FB6DF6">
      <w:rPr>
        <w:b/>
        <w:bCs/>
      </w:rPr>
      <w:fldChar w:fldCharType="end"/>
    </w:r>
    <w:r>
      <w:tab/>
    </w:r>
    <w:r w:rsidR="00FB6DF6">
      <w:rPr>
        <w:rStyle w:val="PageNumber"/>
        <w:b/>
        <w:bCs/>
      </w:rPr>
      <w:fldChar w:fldCharType="begin"/>
    </w:r>
    <w:r>
      <w:rPr>
        <w:rStyle w:val="PageNumber"/>
        <w:b/>
        <w:bCs/>
      </w:rPr>
      <w:instrText xml:space="preserve"> PAGE </w:instrText>
    </w:r>
    <w:r w:rsidR="00FB6DF6">
      <w:rPr>
        <w:rStyle w:val="PageNumber"/>
        <w:b/>
        <w:bCs/>
      </w:rPr>
      <w:fldChar w:fldCharType="separate"/>
    </w:r>
    <w:r w:rsidR="001C18FD">
      <w:rPr>
        <w:rStyle w:val="PageNumber"/>
        <w:b/>
        <w:bCs/>
        <w:noProof/>
      </w:rPr>
      <w:t>39</w:t>
    </w:r>
    <w:r w:rsidR="00FB6DF6">
      <w:rPr>
        <w:rStyle w:val="PageNumber"/>
        <w:b/>
        <w:bCs/>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73751207"/>
    <w:multiLevelType w:val="hybridMultilevel"/>
    <w:tmpl w:val="0494FCA6"/>
    <w:lvl w:ilvl="0" w:tplc="81D0A9B4">
      <w:start w:val="6"/>
      <w:numFmt w:val="decimal"/>
      <w:lvlText w:val="%1"/>
      <w:lvlJc w:val="left"/>
      <w:pPr>
        <w:tabs>
          <w:tab w:val="num" w:pos="1155"/>
        </w:tabs>
        <w:ind w:left="1155" w:hanging="79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ttachedTemplate r:id="rId1"/>
  <w:stylePaneFormatFilter w:val="3F01"/>
  <w:defaultTabStop w:val="720"/>
  <w:evenAndOddHeaders/>
  <w:noPunctuationKerning/>
  <w:characterSpacingControl w:val="doNotCompress"/>
  <w:footnotePr>
    <w:footnote w:id="-1"/>
    <w:footnote w:id="0"/>
  </w:footnotePr>
  <w:endnotePr>
    <w:endnote w:id="-1"/>
    <w:endnote w:id="0"/>
  </w:endnotePr>
  <w:compat/>
  <w:rsids>
    <w:rsidRoot w:val="00922B8B"/>
    <w:rsid w:val="000542C9"/>
    <w:rsid w:val="000F3860"/>
    <w:rsid w:val="00124482"/>
    <w:rsid w:val="00193BCD"/>
    <w:rsid w:val="001C18FD"/>
    <w:rsid w:val="00217EBF"/>
    <w:rsid w:val="00242AEE"/>
    <w:rsid w:val="002609AB"/>
    <w:rsid w:val="002D76C4"/>
    <w:rsid w:val="003C0A65"/>
    <w:rsid w:val="004865C3"/>
    <w:rsid w:val="004D07D3"/>
    <w:rsid w:val="004D27B4"/>
    <w:rsid w:val="0052529D"/>
    <w:rsid w:val="005D4470"/>
    <w:rsid w:val="005F2D19"/>
    <w:rsid w:val="00607D68"/>
    <w:rsid w:val="006F6146"/>
    <w:rsid w:val="007468DA"/>
    <w:rsid w:val="00756CBD"/>
    <w:rsid w:val="00784A20"/>
    <w:rsid w:val="008F1138"/>
    <w:rsid w:val="00922B8B"/>
    <w:rsid w:val="00970B07"/>
    <w:rsid w:val="009C1669"/>
    <w:rsid w:val="009E00A8"/>
    <w:rsid w:val="009E2486"/>
    <w:rsid w:val="00A6617B"/>
    <w:rsid w:val="00A7091A"/>
    <w:rsid w:val="00AB0DC8"/>
    <w:rsid w:val="00AC59E1"/>
    <w:rsid w:val="00AC6C65"/>
    <w:rsid w:val="00B44E24"/>
    <w:rsid w:val="00D2413F"/>
    <w:rsid w:val="00D271DE"/>
    <w:rsid w:val="00DF4176"/>
    <w:rsid w:val="00EB70C7"/>
    <w:rsid w:val="00FB6DF6"/>
    <w:rsid w:val="00FD4BF2"/>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State"/>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59E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AC59E1"/>
    <w:pPr>
      <w:keepNext/>
      <w:keepLines/>
      <w:spacing w:before="480"/>
      <w:ind w:left="794" w:hanging="794"/>
      <w:outlineLvl w:val="0"/>
    </w:pPr>
    <w:rPr>
      <w:b/>
    </w:rPr>
  </w:style>
  <w:style w:type="paragraph" w:styleId="Heading2">
    <w:name w:val="heading 2"/>
    <w:basedOn w:val="Heading1"/>
    <w:next w:val="Normal"/>
    <w:link w:val="Heading2Char"/>
    <w:qFormat/>
    <w:rsid w:val="00AC59E1"/>
    <w:pPr>
      <w:spacing w:before="320"/>
      <w:outlineLvl w:val="1"/>
    </w:pPr>
  </w:style>
  <w:style w:type="paragraph" w:styleId="Heading3">
    <w:name w:val="heading 3"/>
    <w:basedOn w:val="Heading1"/>
    <w:next w:val="Normal"/>
    <w:link w:val="Heading3Char"/>
    <w:qFormat/>
    <w:rsid w:val="00AC59E1"/>
    <w:pPr>
      <w:spacing w:before="200"/>
      <w:outlineLvl w:val="2"/>
    </w:pPr>
  </w:style>
  <w:style w:type="paragraph" w:styleId="Heading4">
    <w:name w:val="heading 4"/>
    <w:basedOn w:val="Heading3"/>
    <w:next w:val="Normal"/>
    <w:link w:val="Heading4Char"/>
    <w:qFormat/>
    <w:rsid w:val="00AC59E1"/>
    <w:pPr>
      <w:tabs>
        <w:tab w:val="clear" w:pos="794"/>
        <w:tab w:val="left" w:pos="992"/>
      </w:tabs>
      <w:ind w:left="992" w:hanging="992"/>
      <w:outlineLvl w:val="3"/>
    </w:pPr>
  </w:style>
  <w:style w:type="paragraph" w:styleId="Heading5">
    <w:name w:val="heading 5"/>
    <w:basedOn w:val="Heading4"/>
    <w:next w:val="Normal"/>
    <w:link w:val="Heading5Char"/>
    <w:qFormat/>
    <w:rsid w:val="00AC59E1"/>
    <w:pPr>
      <w:outlineLvl w:val="4"/>
    </w:pPr>
  </w:style>
  <w:style w:type="paragraph" w:styleId="Heading6">
    <w:name w:val="heading 6"/>
    <w:basedOn w:val="Heading4"/>
    <w:next w:val="Normal"/>
    <w:link w:val="Heading6Char"/>
    <w:qFormat/>
    <w:rsid w:val="00AC59E1"/>
    <w:pPr>
      <w:tabs>
        <w:tab w:val="clear" w:pos="992"/>
        <w:tab w:val="clear" w:pos="1191"/>
      </w:tabs>
      <w:ind w:left="1588" w:hanging="1588"/>
      <w:outlineLvl w:val="5"/>
    </w:pPr>
  </w:style>
  <w:style w:type="paragraph" w:styleId="Heading7">
    <w:name w:val="heading 7"/>
    <w:basedOn w:val="Heading6"/>
    <w:next w:val="Normal"/>
    <w:link w:val="Heading7Char"/>
    <w:qFormat/>
    <w:rsid w:val="00AC59E1"/>
    <w:pPr>
      <w:outlineLvl w:val="6"/>
    </w:pPr>
  </w:style>
  <w:style w:type="paragraph" w:styleId="Heading8">
    <w:name w:val="heading 8"/>
    <w:basedOn w:val="Heading6"/>
    <w:next w:val="Normal"/>
    <w:link w:val="Heading8Char"/>
    <w:qFormat/>
    <w:rsid w:val="00AC59E1"/>
    <w:pPr>
      <w:outlineLvl w:val="7"/>
    </w:pPr>
  </w:style>
  <w:style w:type="paragraph" w:styleId="Heading9">
    <w:name w:val="heading 9"/>
    <w:basedOn w:val="Heading6"/>
    <w:next w:val="Normal"/>
    <w:link w:val="Heading9Char"/>
    <w:qFormat/>
    <w:rsid w:val="00AC59E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C59E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AC59E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AC59E1"/>
  </w:style>
  <w:style w:type="paragraph" w:customStyle="1" w:styleId="Headingb">
    <w:name w:val="Heading_b"/>
    <w:basedOn w:val="Heading3"/>
    <w:next w:val="Normal"/>
    <w:link w:val="HeadingbChar"/>
    <w:rsid w:val="00AC59E1"/>
    <w:pPr>
      <w:spacing w:before="160"/>
      <w:ind w:left="0" w:firstLine="0"/>
      <w:outlineLvl w:val="9"/>
    </w:pPr>
  </w:style>
  <w:style w:type="paragraph" w:customStyle="1" w:styleId="Headingi">
    <w:name w:val="Heading_i"/>
    <w:basedOn w:val="Heading3"/>
    <w:next w:val="Normal"/>
    <w:rsid w:val="00AC59E1"/>
    <w:pPr>
      <w:spacing w:before="160"/>
      <w:ind w:left="0" w:firstLine="0"/>
    </w:pPr>
    <w:rPr>
      <w:b w:val="0"/>
      <w:i/>
    </w:rPr>
  </w:style>
  <w:style w:type="character" w:customStyle="1" w:styleId="href">
    <w:name w:val="href"/>
    <w:basedOn w:val="DefaultParagraphFont"/>
    <w:rsid w:val="00AC59E1"/>
  </w:style>
  <w:style w:type="paragraph" w:customStyle="1" w:styleId="enumlev1">
    <w:name w:val="enumlev1"/>
    <w:basedOn w:val="Normal"/>
    <w:rsid w:val="00AC59E1"/>
    <w:pPr>
      <w:spacing w:before="80"/>
      <w:ind w:left="794" w:hanging="794"/>
    </w:pPr>
  </w:style>
  <w:style w:type="paragraph" w:customStyle="1" w:styleId="enumlev2">
    <w:name w:val="enumlev2"/>
    <w:basedOn w:val="enumlev1"/>
    <w:rsid w:val="00AC59E1"/>
    <w:pPr>
      <w:ind w:left="1191" w:hanging="397"/>
    </w:pPr>
  </w:style>
  <w:style w:type="paragraph" w:customStyle="1" w:styleId="enumlev3">
    <w:name w:val="enumlev3"/>
    <w:basedOn w:val="enumlev2"/>
    <w:rsid w:val="00AC59E1"/>
    <w:pPr>
      <w:ind w:left="1588"/>
    </w:pPr>
  </w:style>
  <w:style w:type="paragraph" w:customStyle="1" w:styleId="Normalaftertitle">
    <w:name w:val="Normal_after_title"/>
    <w:basedOn w:val="Normal"/>
    <w:next w:val="Normal"/>
    <w:link w:val="NormalaftertitleChar"/>
    <w:rsid w:val="00AC59E1"/>
    <w:pPr>
      <w:spacing w:before="320"/>
    </w:pPr>
  </w:style>
  <w:style w:type="paragraph" w:customStyle="1" w:styleId="Note">
    <w:name w:val="Note"/>
    <w:basedOn w:val="Normal"/>
    <w:rsid w:val="00AC59E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AC59E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AC59E1"/>
    <w:pPr>
      <w:spacing w:before="240"/>
    </w:pPr>
    <w:rPr>
      <w:sz w:val="22"/>
      <w:lang w:val="es-ES_tradnl"/>
    </w:rPr>
  </w:style>
  <w:style w:type="paragraph" w:customStyle="1" w:styleId="Recref">
    <w:name w:val="Rec_ref"/>
    <w:basedOn w:val="Normal"/>
    <w:next w:val="Recdate"/>
    <w:rsid w:val="00AC59E1"/>
    <w:pPr>
      <w:jc w:val="center"/>
    </w:pPr>
  </w:style>
  <w:style w:type="paragraph" w:customStyle="1" w:styleId="Recdate">
    <w:name w:val="Rec_date"/>
    <w:basedOn w:val="Recref"/>
    <w:next w:val="Normalaftertitle"/>
    <w:rsid w:val="00AC59E1"/>
    <w:pPr>
      <w:jc w:val="right"/>
    </w:pPr>
  </w:style>
  <w:style w:type="paragraph" w:customStyle="1" w:styleId="AnnexNoTitle">
    <w:name w:val="Annex_NoTitle"/>
    <w:basedOn w:val="Normal"/>
    <w:next w:val="Normalaftertitle"/>
    <w:rsid w:val="00AC59E1"/>
    <w:pPr>
      <w:keepNext/>
      <w:keepLines/>
      <w:spacing w:before="480" w:after="80"/>
      <w:jc w:val="center"/>
    </w:pPr>
    <w:rPr>
      <w:b/>
      <w:sz w:val="28"/>
    </w:rPr>
  </w:style>
  <w:style w:type="paragraph" w:customStyle="1" w:styleId="AppendixNoTitle">
    <w:name w:val="Appendix_NoTitle"/>
    <w:basedOn w:val="AnnexNoTitle"/>
    <w:next w:val="Normal"/>
    <w:rsid w:val="00AC59E1"/>
  </w:style>
  <w:style w:type="paragraph" w:customStyle="1" w:styleId="Tablefin">
    <w:name w:val="Table_fin"/>
    <w:basedOn w:val="Normal"/>
    <w:next w:val="Normal"/>
    <w:rsid w:val="00AC59E1"/>
    <w:pPr>
      <w:spacing w:before="0"/>
    </w:pPr>
    <w:rPr>
      <w:sz w:val="20"/>
      <w:lang w:val="en-GB"/>
    </w:rPr>
  </w:style>
  <w:style w:type="paragraph" w:customStyle="1" w:styleId="Tablehead">
    <w:name w:val="Table_head"/>
    <w:basedOn w:val="Normal"/>
    <w:next w:val="Normal"/>
    <w:rsid w:val="00AC59E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AC59E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AC59E1"/>
    <w:pPr>
      <w:keepNext/>
      <w:spacing w:before="360" w:after="120"/>
      <w:jc w:val="center"/>
    </w:pPr>
  </w:style>
  <w:style w:type="paragraph" w:customStyle="1" w:styleId="Tabletext">
    <w:name w:val="Table_text"/>
    <w:basedOn w:val="Normal"/>
    <w:rsid w:val="00AC59E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AC59E1"/>
    <w:pPr>
      <w:tabs>
        <w:tab w:val="clear" w:pos="1191"/>
        <w:tab w:val="clear" w:pos="1588"/>
        <w:tab w:val="clear" w:pos="1985"/>
        <w:tab w:val="center" w:pos="4820"/>
        <w:tab w:val="right" w:pos="9639"/>
      </w:tabs>
    </w:pPr>
  </w:style>
  <w:style w:type="paragraph" w:customStyle="1" w:styleId="Equationlegend">
    <w:name w:val="Equation_legend"/>
    <w:basedOn w:val="NormalIndent"/>
    <w:rsid w:val="00AC59E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AC59E1"/>
    <w:pPr>
      <w:ind w:left="794"/>
    </w:pPr>
  </w:style>
  <w:style w:type="paragraph" w:customStyle="1" w:styleId="Figurelegend">
    <w:name w:val="Figure_legend"/>
    <w:basedOn w:val="Normal"/>
    <w:rsid w:val="00AC59E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AC59E1"/>
    <w:pPr>
      <w:keepNext/>
      <w:keepLines/>
      <w:spacing w:before="480" w:after="80"/>
      <w:jc w:val="center"/>
    </w:pPr>
    <w:rPr>
      <w:caps/>
      <w:sz w:val="18"/>
    </w:rPr>
  </w:style>
  <w:style w:type="paragraph" w:customStyle="1" w:styleId="tocpart">
    <w:name w:val="tocpart"/>
    <w:basedOn w:val="Normal"/>
    <w:rsid w:val="00AC59E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AC59E1"/>
    <w:pPr>
      <w:keepNext/>
      <w:keepLines/>
      <w:spacing w:before="480"/>
      <w:jc w:val="center"/>
    </w:pPr>
    <w:rPr>
      <w:sz w:val="28"/>
    </w:rPr>
  </w:style>
  <w:style w:type="paragraph" w:customStyle="1" w:styleId="Arttitle">
    <w:name w:val="Art_title"/>
    <w:basedOn w:val="Normal"/>
    <w:next w:val="Normalaftertitle"/>
    <w:rsid w:val="00AC59E1"/>
    <w:pPr>
      <w:keepNext/>
      <w:keepLines/>
      <w:spacing w:before="240"/>
      <w:jc w:val="center"/>
    </w:pPr>
    <w:rPr>
      <w:b/>
      <w:sz w:val="28"/>
    </w:rPr>
  </w:style>
  <w:style w:type="paragraph" w:customStyle="1" w:styleId="Blanc">
    <w:name w:val="Blanc"/>
    <w:basedOn w:val="Normal"/>
    <w:next w:val="Tabletext"/>
    <w:rsid w:val="00AC59E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AC59E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AC59E1"/>
    <w:pPr>
      <w:keepNext/>
      <w:keepLines/>
      <w:spacing w:before="160"/>
      <w:ind w:left="794"/>
    </w:pPr>
    <w:rPr>
      <w:i/>
    </w:rPr>
  </w:style>
  <w:style w:type="paragraph" w:customStyle="1" w:styleId="ChapNo">
    <w:name w:val="Chap_No"/>
    <w:basedOn w:val="ArtNo"/>
    <w:next w:val="Chaptitle"/>
    <w:rsid w:val="00AC59E1"/>
    <w:rPr>
      <w:b/>
    </w:rPr>
  </w:style>
  <w:style w:type="paragraph" w:customStyle="1" w:styleId="Chaptitle">
    <w:name w:val="Chap_title"/>
    <w:basedOn w:val="Arttitle"/>
    <w:next w:val="Normalaftertitle"/>
    <w:rsid w:val="00AC59E1"/>
  </w:style>
  <w:style w:type="character" w:styleId="FootnoteReference">
    <w:name w:val="footnote reference"/>
    <w:basedOn w:val="DefaultParagraphFont"/>
    <w:uiPriority w:val="99"/>
    <w:rsid w:val="00AC59E1"/>
    <w:rPr>
      <w:position w:val="6"/>
      <w:sz w:val="18"/>
    </w:rPr>
  </w:style>
  <w:style w:type="paragraph" w:styleId="FootnoteText">
    <w:name w:val="footnote text"/>
    <w:basedOn w:val="Normal"/>
    <w:link w:val="FootnoteTextChar"/>
    <w:uiPriority w:val="99"/>
    <w:rsid w:val="00AC59E1"/>
    <w:pPr>
      <w:keepLines/>
      <w:tabs>
        <w:tab w:val="left" w:pos="255"/>
      </w:tabs>
      <w:ind w:left="255" w:hanging="255"/>
    </w:pPr>
    <w:rPr>
      <w:sz w:val="22"/>
    </w:rPr>
  </w:style>
  <w:style w:type="paragraph" w:styleId="Index1">
    <w:name w:val="index 1"/>
    <w:basedOn w:val="Normal"/>
    <w:next w:val="Normal"/>
    <w:semiHidden/>
    <w:rsid w:val="00AC59E1"/>
  </w:style>
  <w:style w:type="paragraph" w:styleId="Index2">
    <w:name w:val="index 2"/>
    <w:basedOn w:val="Normal"/>
    <w:next w:val="Normal"/>
    <w:semiHidden/>
    <w:rsid w:val="00AC59E1"/>
    <w:pPr>
      <w:ind w:left="283"/>
    </w:pPr>
  </w:style>
  <w:style w:type="paragraph" w:styleId="Index3">
    <w:name w:val="index 3"/>
    <w:basedOn w:val="Normal"/>
    <w:next w:val="Normal"/>
    <w:semiHidden/>
    <w:rsid w:val="00AC59E1"/>
    <w:pPr>
      <w:ind w:left="566"/>
    </w:pPr>
  </w:style>
  <w:style w:type="paragraph" w:styleId="IndexHeading">
    <w:name w:val="index heading"/>
    <w:basedOn w:val="Normal"/>
    <w:next w:val="Index1"/>
    <w:semiHidden/>
    <w:rsid w:val="00AC59E1"/>
  </w:style>
  <w:style w:type="paragraph" w:customStyle="1" w:styleId="Line">
    <w:name w:val="Line"/>
    <w:basedOn w:val="Normal"/>
    <w:next w:val="Normal"/>
    <w:rsid w:val="00AC59E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AC59E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AC59E1"/>
  </w:style>
  <w:style w:type="paragraph" w:customStyle="1" w:styleId="Partref">
    <w:name w:val="Part_ref"/>
    <w:basedOn w:val="Normal"/>
    <w:next w:val="Normal"/>
    <w:rsid w:val="00AC59E1"/>
    <w:pPr>
      <w:keepNext/>
      <w:keepLines/>
      <w:spacing w:after="280"/>
      <w:jc w:val="center"/>
    </w:pPr>
  </w:style>
  <w:style w:type="paragraph" w:customStyle="1" w:styleId="Parttitle">
    <w:name w:val="Part_title"/>
    <w:basedOn w:val="Normal"/>
    <w:next w:val="Normalaftertitle"/>
    <w:rsid w:val="00AC59E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AC59E1"/>
  </w:style>
  <w:style w:type="paragraph" w:customStyle="1" w:styleId="QuestionNo">
    <w:name w:val="Question_No"/>
    <w:basedOn w:val="RecNo"/>
    <w:next w:val="Normal"/>
    <w:rsid w:val="00AC59E1"/>
  </w:style>
  <w:style w:type="paragraph" w:customStyle="1" w:styleId="Questionref">
    <w:name w:val="Question_ref"/>
    <w:basedOn w:val="Recref"/>
    <w:next w:val="Questiondate"/>
    <w:rsid w:val="00AC59E1"/>
  </w:style>
  <w:style w:type="paragraph" w:customStyle="1" w:styleId="Questiontitle">
    <w:name w:val="Question_title"/>
    <w:basedOn w:val="Normal"/>
    <w:next w:val="Questionref"/>
    <w:rsid w:val="00AC59E1"/>
  </w:style>
  <w:style w:type="paragraph" w:customStyle="1" w:styleId="Reftext">
    <w:name w:val="Ref_text"/>
    <w:basedOn w:val="Normal"/>
    <w:rsid w:val="00AC59E1"/>
    <w:pPr>
      <w:ind w:left="794" w:hanging="794"/>
    </w:pPr>
    <w:rPr>
      <w:sz w:val="22"/>
    </w:rPr>
  </w:style>
  <w:style w:type="paragraph" w:customStyle="1" w:styleId="Reftitle">
    <w:name w:val="Ref_title"/>
    <w:basedOn w:val="Normal"/>
    <w:next w:val="Reftext"/>
    <w:rsid w:val="00AC59E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AC59E1"/>
  </w:style>
  <w:style w:type="paragraph" w:customStyle="1" w:styleId="RepNo">
    <w:name w:val="Rep_No"/>
    <w:basedOn w:val="RecNo"/>
    <w:next w:val="Reptitle"/>
    <w:rsid w:val="00AC59E1"/>
  </w:style>
  <w:style w:type="paragraph" w:customStyle="1" w:styleId="Repref">
    <w:name w:val="Rep_ref"/>
    <w:basedOn w:val="Recref"/>
    <w:next w:val="Repdate"/>
    <w:rsid w:val="00AC59E1"/>
  </w:style>
  <w:style w:type="paragraph" w:customStyle="1" w:styleId="Reptitle">
    <w:name w:val="Rep_title"/>
    <w:basedOn w:val="Rectitle"/>
    <w:next w:val="Repref"/>
    <w:rsid w:val="00AC59E1"/>
  </w:style>
  <w:style w:type="paragraph" w:customStyle="1" w:styleId="Resdate">
    <w:name w:val="Res_date"/>
    <w:basedOn w:val="Recdate"/>
    <w:next w:val="Normalaftertitle"/>
    <w:rsid w:val="00AC59E1"/>
  </w:style>
  <w:style w:type="paragraph" w:customStyle="1" w:styleId="ResNo">
    <w:name w:val="Res_No"/>
    <w:basedOn w:val="RecNo"/>
    <w:next w:val="Restitle"/>
    <w:rsid w:val="00AC59E1"/>
  </w:style>
  <w:style w:type="paragraph" w:customStyle="1" w:styleId="Resref">
    <w:name w:val="Res_ref"/>
    <w:basedOn w:val="Recref"/>
    <w:next w:val="Resdate"/>
    <w:rsid w:val="00AC59E1"/>
  </w:style>
  <w:style w:type="paragraph" w:customStyle="1" w:styleId="Restitle">
    <w:name w:val="Res_title"/>
    <w:basedOn w:val="Normal"/>
    <w:next w:val="Resref"/>
    <w:rsid w:val="00AC59E1"/>
    <w:pPr>
      <w:spacing w:before="240"/>
      <w:jc w:val="center"/>
    </w:pPr>
    <w:rPr>
      <w:b/>
      <w:sz w:val="28"/>
    </w:rPr>
  </w:style>
  <w:style w:type="paragraph" w:customStyle="1" w:styleId="SectionNo">
    <w:name w:val="Section_No"/>
    <w:basedOn w:val="Normal"/>
    <w:next w:val="Normal"/>
    <w:rsid w:val="00AC59E1"/>
  </w:style>
  <w:style w:type="paragraph" w:customStyle="1" w:styleId="Sectiontitle">
    <w:name w:val="Section_title"/>
    <w:basedOn w:val="Normal"/>
    <w:next w:val="Normalaftertitle"/>
    <w:rsid w:val="00AC59E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AC59E1"/>
    <w:pPr>
      <w:tabs>
        <w:tab w:val="clear" w:pos="794"/>
        <w:tab w:val="clear" w:pos="1191"/>
        <w:tab w:val="clear" w:pos="1588"/>
        <w:tab w:val="clear" w:pos="1985"/>
        <w:tab w:val="right" w:pos="9611"/>
      </w:tabs>
    </w:pPr>
    <w:rPr>
      <w:i/>
    </w:rPr>
  </w:style>
  <w:style w:type="paragraph" w:styleId="TOC1">
    <w:name w:val="toc 1"/>
    <w:basedOn w:val="Normal"/>
    <w:semiHidden/>
    <w:rsid w:val="00AC59E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semiHidden/>
    <w:rsid w:val="00AC59E1"/>
    <w:pPr>
      <w:tabs>
        <w:tab w:val="clear" w:pos="567"/>
        <w:tab w:val="left" w:pos="1276"/>
      </w:tabs>
      <w:spacing w:before="160"/>
      <w:ind w:left="1276" w:hanging="709"/>
    </w:pPr>
  </w:style>
  <w:style w:type="paragraph" w:styleId="TOC3">
    <w:name w:val="toc 3"/>
    <w:basedOn w:val="TOC2"/>
    <w:semiHidden/>
    <w:rsid w:val="00AC59E1"/>
    <w:pPr>
      <w:tabs>
        <w:tab w:val="clear" w:pos="1276"/>
        <w:tab w:val="left" w:pos="2155"/>
      </w:tabs>
      <w:ind w:left="2155" w:hanging="879"/>
    </w:pPr>
  </w:style>
  <w:style w:type="paragraph" w:styleId="TOC4">
    <w:name w:val="toc 4"/>
    <w:basedOn w:val="TOC3"/>
    <w:semiHidden/>
    <w:rsid w:val="00AC59E1"/>
    <w:pPr>
      <w:tabs>
        <w:tab w:val="left" w:pos="3261"/>
      </w:tabs>
      <w:spacing w:before="80"/>
      <w:ind w:left="3261" w:hanging="993"/>
    </w:pPr>
  </w:style>
  <w:style w:type="paragraph" w:styleId="TOC5">
    <w:name w:val="toc 5"/>
    <w:basedOn w:val="TOC4"/>
    <w:semiHidden/>
    <w:rsid w:val="00AC59E1"/>
  </w:style>
  <w:style w:type="paragraph" w:styleId="TOC6">
    <w:name w:val="toc 6"/>
    <w:basedOn w:val="TOC4"/>
    <w:semiHidden/>
    <w:rsid w:val="00AC59E1"/>
  </w:style>
  <w:style w:type="paragraph" w:styleId="TOC7">
    <w:name w:val="toc 7"/>
    <w:basedOn w:val="TOC4"/>
    <w:semiHidden/>
    <w:rsid w:val="00AC59E1"/>
  </w:style>
  <w:style w:type="paragraph" w:styleId="TOC8">
    <w:name w:val="toc 8"/>
    <w:basedOn w:val="TOC4"/>
    <w:semiHidden/>
    <w:rsid w:val="00AC59E1"/>
  </w:style>
  <w:style w:type="paragraph" w:customStyle="1" w:styleId="Rectitle">
    <w:name w:val="Rec_title"/>
    <w:basedOn w:val="Normal"/>
    <w:next w:val="Recref"/>
    <w:rsid w:val="00AC59E1"/>
    <w:pPr>
      <w:keepNext/>
      <w:keepLines/>
      <w:spacing w:before="240"/>
      <w:jc w:val="center"/>
    </w:pPr>
    <w:rPr>
      <w:b/>
      <w:sz w:val="28"/>
    </w:rPr>
  </w:style>
  <w:style w:type="paragraph" w:customStyle="1" w:styleId="Annexref">
    <w:name w:val="Annex_ref"/>
    <w:basedOn w:val="Normal"/>
    <w:next w:val="Normalaftertitle"/>
    <w:rsid w:val="00AC59E1"/>
    <w:pPr>
      <w:keepNext/>
      <w:keepLines/>
      <w:spacing w:after="280"/>
      <w:jc w:val="center"/>
    </w:pPr>
  </w:style>
  <w:style w:type="paragraph" w:customStyle="1" w:styleId="Appendixref">
    <w:name w:val="Appendix_ref"/>
    <w:basedOn w:val="Annexref"/>
    <w:next w:val="Normalaftertitle"/>
    <w:rsid w:val="00AC59E1"/>
  </w:style>
  <w:style w:type="paragraph" w:customStyle="1" w:styleId="Figuretitle">
    <w:name w:val="Figure_title"/>
    <w:basedOn w:val="Normal"/>
    <w:next w:val="Figure"/>
    <w:rsid w:val="00AC59E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AC59E1"/>
    <w:pPr>
      <w:keepNext/>
      <w:spacing w:before="0" w:after="120"/>
      <w:jc w:val="center"/>
    </w:pPr>
    <w:rPr>
      <w:b/>
    </w:rPr>
  </w:style>
  <w:style w:type="paragraph" w:customStyle="1" w:styleId="Summary">
    <w:name w:val="Summary"/>
    <w:basedOn w:val="Normal"/>
    <w:next w:val="Normalaftertitle"/>
    <w:autoRedefine/>
    <w:rsid w:val="00AC59E1"/>
    <w:pPr>
      <w:spacing w:after="480"/>
    </w:pPr>
    <w:rPr>
      <w:sz w:val="22"/>
      <w:lang w:val="es-ES_tradnl"/>
    </w:rPr>
  </w:style>
  <w:style w:type="paragraph" w:customStyle="1" w:styleId="TableLegendNote">
    <w:name w:val="Table_Legend_Note"/>
    <w:basedOn w:val="Tablelegend"/>
    <w:next w:val="Tablelegend"/>
    <w:rsid w:val="00AC59E1"/>
    <w:pPr>
      <w:ind w:left="-85" w:firstLine="0"/>
    </w:pPr>
    <w:rPr>
      <w:lang w:val="en-US"/>
    </w:rPr>
  </w:style>
  <w:style w:type="paragraph" w:customStyle="1" w:styleId="Figure">
    <w:name w:val="Figure"/>
    <w:basedOn w:val="FigureNo"/>
    <w:next w:val="Normal"/>
    <w:rsid w:val="00AC59E1"/>
    <w:pPr>
      <w:keepNext w:val="0"/>
      <w:spacing w:before="0" w:after="240"/>
    </w:pPr>
  </w:style>
  <w:style w:type="character" w:customStyle="1" w:styleId="Heading1Char">
    <w:name w:val="Heading 1 Char"/>
    <w:basedOn w:val="DefaultParagraphFont"/>
    <w:link w:val="Heading1"/>
    <w:rsid w:val="00922B8B"/>
    <w:rPr>
      <w:b/>
      <w:sz w:val="24"/>
      <w:lang w:val="fr-FR" w:eastAsia="en-US"/>
    </w:rPr>
  </w:style>
  <w:style w:type="character" w:customStyle="1" w:styleId="HeaderChar">
    <w:name w:val="Header Char"/>
    <w:basedOn w:val="DefaultParagraphFont"/>
    <w:link w:val="Header"/>
    <w:rsid w:val="00922B8B"/>
    <w:rPr>
      <w:sz w:val="24"/>
      <w:lang w:val="fr-FR" w:eastAsia="en-US"/>
    </w:rPr>
  </w:style>
  <w:style w:type="character" w:styleId="Hyperlink">
    <w:name w:val="Hyperlink"/>
    <w:basedOn w:val="DefaultParagraphFont"/>
    <w:rsid w:val="00922B8B"/>
    <w:rPr>
      <w:color w:val="0000FF"/>
      <w:u w:val="single"/>
    </w:rPr>
  </w:style>
  <w:style w:type="character" w:customStyle="1" w:styleId="FootnoteTextChar">
    <w:name w:val="Footnote Text Char"/>
    <w:basedOn w:val="DefaultParagraphFont"/>
    <w:link w:val="FootnoteText"/>
    <w:uiPriority w:val="99"/>
    <w:rsid w:val="00922B8B"/>
    <w:rPr>
      <w:sz w:val="22"/>
      <w:lang w:val="fr-FR" w:eastAsia="en-US"/>
    </w:rPr>
  </w:style>
  <w:style w:type="character" w:customStyle="1" w:styleId="Heading2Char">
    <w:name w:val="Heading 2 Char"/>
    <w:basedOn w:val="DefaultParagraphFont"/>
    <w:link w:val="Heading2"/>
    <w:rsid w:val="00922B8B"/>
    <w:rPr>
      <w:b/>
      <w:sz w:val="24"/>
      <w:lang w:val="fr-FR" w:eastAsia="en-US"/>
    </w:rPr>
  </w:style>
  <w:style w:type="character" w:customStyle="1" w:styleId="Heading3Char">
    <w:name w:val="Heading 3 Char"/>
    <w:basedOn w:val="DefaultParagraphFont"/>
    <w:link w:val="Heading3"/>
    <w:rsid w:val="00922B8B"/>
    <w:rPr>
      <w:b/>
      <w:sz w:val="24"/>
      <w:lang w:val="fr-FR" w:eastAsia="en-US"/>
    </w:rPr>
  </w:style>
  <w:style w:type="character" w:customStyle="1" w:styleId="Heading4Char">
    <w:name w:val="Heading 4 Char"/>
    <w:basedOn w:val="DefaultParagraphFont"/>
    <w:link w:val="Heading4"/>
    <w:rsid w:val="00922B8B"/>
    <w:rPr>
      <w:b/>
      <w:sz w:val="24"/>
      <w:lang w:val="fr-FR" w:eastAsia="en-US"/>
    </w:rPr>
  </w:style>
  <w:style w:type="character" w:customStyle="1" w:styleId="Heading5Char">
    <w:name w:val="Heading 5 Char"/>
    <w:basedOn w:val="DefaultParagraphFont"/>
    <w:link w:val="Heading5"/>
    <w:rsid w:val="00922B8B"/>
    <w:rPr>
      <w:b/>
      <w:sz w:val="24"/>
      <w:lang w:val="fr-FR" w:eastAsia="en-US"/>
    </w:rPr>
  </w:style>
  <w:style w:type="character" w:customStyle="1" w:styleId="Heading6Char">
    <w:name w:val="Heading 6 Char"/>
    <w:basedOn w:val="DefaultParagraphFont"/>
    <w:link w:val="Heading6"/>
    <w:rsid w:val="00922B8B"/>
    <w:rPr>
      <w:b/>
      <w:sz w:val="24"/>
      <w:lang w:val="fr-FR" w:eastAsia="en-US"/>
    </w:rPr>
  </w:style>
  <w:style w:type="character" w:customStyle="1" w:styleId="Heading7Char">
    <w:name w:val="Heading 7 Char"/>
    <w:basedOn w:val="DefaultParagraphFont"/>
    <w:link w:val="Heading7"/>
    <w:rsid w:val="00922B8B"/>
    <w:rPr>
      <w:b/>
      <w:sz w:val="24"/>
      <w:lang w:val="fr-FR" w:eastAsia="en-US"/>
    </w:rPr>
  </w:style>
  <w:style w:type="character" w:customStyle="1" w:styleId="Heading8Char">
    <w:name w:val="Heading 8 Char"/>
    <w:basedOn w:val="DefaultParagraphFont"/>
    <w:link w:val="Heading8"/>
    <w:rsid w:val="00922B8B"/>
    <w:rPr>
      <w:b/>
      <w:sz w:val="24"/>
      <w:lang w:val="fr-FR" w:eastAsia="en-US"/>
    </w:rPr>
  </w:style>
  <w:style w:type="character" w:customStyle="1" w:styleId="Heading9Char">
    <w:name w:val="Heading 9 Char"/>
    <w:basedOn w:val="DefaultParagraphFont"/>
    <w:link w:val="Heading9"/>
    <w:rsid w:val="00922B8B"/>
    <w:rPr>
      <w:b/>
      <w:sz w:val="24"/>
      <w:lang w:val="fr-FR" w:eastAsia="en-US"/>
    </w:rPr>
  </w:style>
  <w:style w:type="character" w:customStyle="1" w:styleId="FooterChar">
    <w:name w:val="Footer Char"/>
    <w:basedOn w:val="DefaultParagraphFont"/>
    <w:link w:val="Footer"/>
    <w:rsid w:val="00922B8B"/>
    <w:rPr>
      <w:noProof/>
      <w:sz w:val="18"/>
      <w:lang w:val="fr-FR" w:eastAsia="en-US"/>
    </w:rPr>
  </w:style>
  <w:style w:type="character" w:customStyle="1" w:styleId="HeadingbChar">
    <w:name w:val="Heading_b Char"/>
    <w:basedOn w:val="DefaultParagraphFont"/>
    <w:link w:val="Headingb"/>
    <w:locked/>
    <w:rsid w:val="00922B8B"/>
    <w:rPr>
      <w:b/>
      <w:sz w:val="24"/>
      <w:lang w:val="fr-FR" w:eastAsia="en-US"/>
    </w:rPr>
  </w:style>
  <w:style w:type="character" w:customStyle="1" w:styleId="NormalaftertitleChar">
    <w:name w:val="Normal_after_title Char"/>
    <w:basedOn w:val="DefaultParagraphFont"/>
    <w:link w:val="Normalaftertitle"/>
    <w:locked/>
    <w:rsid w:val="00922B8B"/>
    <w:rPr>
      <w:sz w:val="24"/>
      <w:lang w:val="fr-FR"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w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publ/R-REC/en" TargetMode="Externa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10" Type="http://schemas.openxmlformats.org/officeDocument/2006/relationships/hyperlink" Target="http://www.itu.int/ITU-R/go/patents/en" TargetMode="External"/><Relationship Id="rId19" Type="http://schemas.openxmlformats.org/officeDocument/2006/relationships/oleObject" Target="embeddings/oleObject3.bin"/><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achetc\Application%20Data\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10EE6E-93C0-40B6-B42E-BB3E30618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TotalTime>
  <Pages>41</Pages>
  <Words>14073</Words>
  <Characters>73915</Characters>
  <Application>Microsoft Office Word</Application>
  <DocSecurity>4</DocSecurity>
  <Lines>615</Lines>
  <Paragraphs>175</Paragraphs>
  <ScaleCrop>false</ScaleCrop>
  <HeadingPairs>
    <vt:vector size="2" baseType="variant">
      <vt:variant>
        <vt:lpstr>Title</vt:lpstr>
      </vt:variant>
      <vt:variant>
        <vt:i4>1</vt:i4>
      </vt:variant>
    </vt:vector>
  </HeadingPairs>
  <TitlesOfParts>
    <vt:vector size="1" baseType="lpstr">
      <vt:lpstr>RECOMMENDATION  ITU-R  SM.329-12 - Unwanted emissions in the spurious domain*</vt:lpstr>
    </vt:vector>
  </TitlesOfParts>
  <Company>ITU</Company>
  <LinksUpToDate>false</LinksUpToDate>
  <CharactersWithSpaces>87813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SM.329-12 - Unwanted emissions in the spurious domain*</dc:title>
  <dc:subject>SM Series = Spectrum management</dc:subject>
  <dc:creator>ITU Radiocommunication Bureau (BR)</dc:creator>
  <cp:keywords>SM,329-12</cp:keywords>
  <dc:description>Soby, 03.10.2012, ITU51007790</dc:description>
  <cp:lastModifiedBy>R5-173275</cp:lastModifiedBy>
  <cp:revision>2</cp:revision>
  <cp:lastPrinted>2012-09-07T12:06:00Z</cp:lastPrinted>
  <dcterms:created xsi:type="dcterms:W3CDTF">2017-07-04T20:08:00Z</dcterms:created>
  <dcterms:modified xsi:type="dcterms:W3CDTF">2017-07-04T20:08:00Z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Language">
    <vt:lpwstr>English</vt:lpwstr>
  </property>
  <property fmtid="{D5CDD505-2E9C-101B-9397-08002B2CF9AE}" pid="10" name="Typist">
    <vt:lpwstr>Soby</vt:lpwstr>
  </property>
  <property fmtid="{D5CDD505-2E9C-101B-9397-08002B2CF9AE}" pid="11" name="Date completed">
    <vt:lpwstr>mercredi, 3. octobre 2012</vt:lpwstr>
  </property>
</Properties>
</file>