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</w:t>
      </w:r>
      <w:r w:rsidR="006A3C83" w:rsidRPr="006A3C83">
        <w:rPr>
          <w:noProof w:val="0"/>
          <w:sz w:val="24"/>
        </w:rPr>
        <w:t>RAN#71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</w:t>
      </w:r>
      <w:r w:rsidR="006A3C83">
        <w:rPr>
          <w:noProof w:val="0"/>
          <w:sz w:val="24"/>
        </w:rPr>
        <w:t>-</w:t>
      </w:r>
      <w:r w:rsidRPr="00891079">
        <w:rPr>
          <w:noProof w:val="0"/>
          <w:sz w:val="24"/>
        </w:rPr>
        <w:t>16</w:t>
      </w:r>
      <w:r w:rsidR="00891079" w:rsidRPr="00891079">
        <w:rPr>
          <w:noProof w:val="0"/>
          <w:sz w:val="24"/>
        </w:rPr>
        <w:t>0</w:t>
      </w:r>
      <w:r w:rsidR="00763DAC">
        <w:rPr>
          <w:noProof w:val="0"/>
          <w:sz w:val="24"/>
        </w:rPr>
        <w:t>152</w:t>
      </w:r>
    </w:p>
    <w:p w:rsidR="004A3E8E" w:rsidRPr="00161B8F" w:rsidRDefault="006A3C83" w:rsidP="004A3E8E">
      <w:pPr>
        <w:pStyle w:val="Intestazione"/>
        <w:tabs>
          <w:tab w:val="right" w:pos="10206"/>
        </w:tabs>
        <w:rPr>
          <w:noProof w:val="0"/>
          <w:sz w:val="24"/>
        </w:rPr>
      </w:pPr>
      <w:r w:rsidRPr="006A3C83">
        <w:rPr>
          <w:noProof w:val="0"/>
          <w:sz w:val="24"/>
        </w:rPr>
        <w:t>Gothenburg, Sweden, March 7 - 10,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8A4AB1" w:rsidRPr="008A4AB1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  <w:lang w:val="en-US"/>
        </w:rPr>
      </w:pPr>
      <w:r w:rsidRPr="008A4AB1">
        <w:rPr>
          <w:rFonts w:ascii="Arial" w:hAnsi="Arial"/>
          <w:b/>
          <w:sz w:val="24"/>
          <w:lang w:val="en-US"/>
        </w:rPr>
        <w:t>Source:</w:t>
      </w:r>
      <w:r w:rsidRPr="008A4AB1">
        <w:rPr>
          <w:rFonts w:ascii="Arial" w:hAnsi="Arial"/>
          <w:b/>
          <w:sz w:val="24"/>
          <w:lang w:val="en-US"/>
        </w:rPr>
        <w:tab/>
      </w:r>
      <w:r w:rsidR="00891079" w:rsidRPr="008A4AB1">
        <w:rPr>
          <w:rFonts w:ascii="Arial" w:hAnsi="Arial"/>
          <w:b/>
          <w:sz w:val="24"/>
          <w:lang w:val="en-US"/>
        </w:rPr>
        <w:t>Telecom Italia</w:t>
      </w:r>
      <w:r w:rsidR="00FE0422">
        <w:rPr>
          <w:rFonts w:ascii="Arial" w:hAnsi="Arial"/>
          <w:b/>
          <w:sz w:val="24"/>
          <w:lang w:val="en-US"/>
        </w:rPr>
        <w:t xml:space="preserve">, </w:t>
      </w:r>
      <w:r w:rsidR="00530167">
        <w:rPr>
          <w:rFonts w:ascii="Arial" w:hAnsi="Arial"/>
          <w:b/>
          <w:sz w:val="24"/>
          <w:lang w:val="en-US"/>
        </w:rPr>
        <w:t>Orange,</w:t>
      </w:r>
      <w:r w:rsidR="00DF4ED6">
        <w:rPr>
          <w:rFonts w:ascii="Arial" w:hAnsi="Arial"/>
          <w:b/>
          <w:sz w:val="24"/>
          <w:lang w:val="en-US"/>
        </w:rPr>
        <w:t xml:space="preserve"> </w:t>
      </w:r>
      <w:proofErr w:type="spellStart"/>
      <w:r w:rsidR="00DF4ED6">
        <w:rPr>
          <w:rFonts w:ascii="Arial" w:hAnsi="Arial"/>
          <w:b/>
          <w:sz w:val="24"/>
          <w:lang w:val="en-US"/>
        </w:rPr>
        <w:t>TeliaSonera</w:t>
      </w:r>
      <w:proofErr w:type="spellEnd"/>
      <w:r w:rsidR="00DF4ED6">
        <w:rPr>
          <w:rFonts w:ascii="Arial" w:hAnsi="Arial"/>
          <w:b/>
          <w:sz w:val="24"/>
          <w:lang w:val="en-US"/>
        </w:rPr>
        <w:t>,</w:t>
      </w:r>
      <w:r w:rsidR="00530167">
        <w:rPr>
          <w:rFonts w:ascii="Arial" w:hAnsi="Arial"/>
          <w:b/>
          <w:sz w:val="24"/>
          <w:lang w:val="en-US"/>
        </w:rPr>
        <w:t xml:space="preserve"> </w:t>
      </w:r>
      <w:r w:rsidR="0038719B">
        <w:rPr>
          <w:rFonts w:ascii="Arial" w:hAnsi="Arial"/>
          <w:b/>
          <w:sz w:val="24"/>
          <w:lang w:val="en-US"/>
        </w:rPr>
        <w:t>CMCC</w:t>
      </w:r>
      <w:r w:rsidR="00AA642B">
        <w:rPr>
          <w:rFonts w:ascii="Arial" w:hAnsi="Arial"/>
          <w:b/>
          <w:sz w:val="24"/>
          <w:lang w:val="en-US"/>
        </w:rPr>
        <w:t xml:space="preserve">, </w:t>
      </w:r>
      <w:r w:rsidR="00CE41BA" w:rsidRPr="00CE41BA">
        <w:rPr>
          <w:rFonts w:ascii="Arial" w:hAnsi="Arial"/>
          <w:b/>
          <w:sz w:val="24"/>
          <w:lang w:val="en-US"/>
        </w:rPr>
        <w:t>Deutsche Telekom</w:t>
      </w:r>
    </w:p>
    <w:p w:rsidR="004A3E8E" w:rsidRPr="00161B8F" w:rsidRDefault="004A3E8E" w:rsidP="005D0F64">
      <w:pPr>
        <w:pStyle w:val="Titolo2"/>
        <w:keepNext w:val="0"/>
        <w:numPr>
          <w:ilvl w:val="0"/>
          <w:numId w:val="0"/>
        </w:numPr>
        <w:tabs>
          <w:tab w:val="clear" w:pos="1134"/>
        </w:tabs>
        <w:ind w:left="2127" w:hanging="2127"/>
      </w:pPr>
      <w:r w:rsidRPr="003928E4">
        <w:rPr>
          <w:b/>
          <w:sz w:val="24"/>
          <w:lang w:val="en-GB" w:eastAsia="en-US"/>
        </w:rPr>
        <w:t>Title:</w:t>
      </w:r>
      <w:r w:rsidRPr="00161B8F">
        <w:t xml:space="preserve"> </w:t>
      </w:r>
      <w:r w:rsidRPr="00161B8F">
        <w:tab/>
      </w:r>
      <w:proofErr w:type="spellStart"/>
      <w:r w:rsidR="006A3C83" w:rsidRPr="003928E4">
        <w:rPr>
          <w:sz w:val="24"/>
          <w:szCs w:val="24"/>
          <w:lang w:eastAsia="zh-CN"/>
        </w:rPr>
        <w:t>pCR</w:t>
      </w:r>
      <w:proofErr w:type="spellEnd"/>
      <w:r w:rsidR="006A3C83" w:rsidRPr="003928E4">
        <w:rPr>
          <w:sz w:val="24"/>
          <w:szCs w:val="24"/>
          <w:lang w:eastAsia="zh-CN"/>
        </w:rPr>
        <w:t xml:space="preserve"> on Section “</w:t>
      </w:r>
      <w:r w:rsidR="00B4329E" w:rsidRPr="00B4329E">
        <w:rPr>
          <w:sz w:val="24"/>
          <w:szCs w:val="24"/>
          <w:lang w:eastAsia="zh-CN"/>
        </w:rPr>
        <w:t>Key performance indicators</w:t>
      </w:r>
      <w:r w:rsidR="006A3C83" w:rsidRPr="003928E4">
        <w:rPr>
          <w:sz w:val="24"/>
          <w:szCs w:val="24"/>
          <w:lang w:eastAsia="zh-CN"/>
        </w:rPr>
        <w:t>” of TR38.913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7D53A7">
        <w:rPr>
          <w:rFonts w:ascii="Arial" w:hAnsi="Arial"/>
          <w:sz w:val="24"/>
        </w:rPr>
        <w:t>9.2.2</w:t>
      </w:r>
      <w:bookmarkStart w:id="0" w:name="_GoBack"/>
      <w:bookmarkEnd w:id="0"/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B4329E" w:rsidRDefault="00B4329E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Currently the Section 7 on KPIs provides a single value per KPI, independently from the use case and deployment scenarios. During the E-mail discussion, it was suggested to clarify for which use case the KPI’s value is related. </w:t>
      </w:r>
    </w:p>
    <w:p w:rsidR="00B4329E" w:rsidRDefault="00B4329E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However, this approach is still not completely in line with ITU-R assumption. In particular, ITU-R states in their “Vision towards IMT-2020” document:</w:t>
      </w:r>
    </w:p>
    <w:p w:rsidR="00B4329E" w:rsidRPr="00B4329E" w:rsidRDefault="00B4329E" w:rsidP="00ED4B66">
      <w:pPr>
        <w:pStyle w:val="NormaleWeb"/>
        <w:spacing w:before="0" w:beforeAutospacing="0" w:after="0" w:afterAutospacing="0"/>
        <w:jc w:val="both"/>
        <w:rPr>
          <w:rFonts w:asciiTheme="minorHAnsi" w:eastAsia="MS Mincho" w:hAnsiTheme="minorHAnsi" w:cstheme="minorHAnsi"/>
          <w:b/>
          <w:i/>
          <w:sz w:val="20"/>
          <w:szCs w:val="20"/>
          <w:lang w:val="en-GB" w:eastAsia="en-US"/>
        </w:rPr>
      </w:pPr>
      <w:r w:rsidRPr="00B4329E">
        <w:rPr>
          <w:rFonts w:asciiTheme="minorHAnsi" w:eastAsia="MS Mincho" w:hAnsiTheme="minorHAnsi" w:cstheme="minorHAnsi"/>
          <w:b/>
          <w:i/>
          <w:sz w:val="20"/>
          <w:szCs w:val="20"/>
          <w:lang w:val="en-GB" w:eastAsia="en-US"/>
        </w:rPr>
        <w:t>Capabilities of IMT-2020</w:t>
      </w:r>
    </w:p>
    <w:p w:rsidR="00B4329E" w:rsidRPr="00B4329E" w:rsidRDefault="00B4329E" w:rsidP="00ED4B66">
      <w:pPr>
        <w:pStyle w:val="NormaleWeb"/>
        <w:spacing w:before="0" w:beforeAutospacing="0" w:after="0" w:afterAutospacing="0"/>
        <w:jc w:val="both"/>
        <w:rPr>
          <w:rFonts w:asciiTheme="minorHAnsi" w:eastAsia="MS Mincho" w:hAnsiTheme="minorHAnsi" w:cstheme="minorHAnsi"/>
          <w:i/>
          <w:sz w:val="20"/>
          <w:szCs w:val="20"/>
          <w:lang w:val="en-GB" w:eastAsia="en-US"/>
        </w:rPr>
      </w:pPr>
      <w:r w:rsidRPr="00B4329E">
        <w:rPr>
          <w:rFonts w:asciiTheme="minorHAnsi" w:eastAsia="MS Mincho" w:hAnsiTheme="minorHAnsi" w:cstheme="minorHAnsi"/>
          <w:i/>
          <w:sz w:val="20"/>
          <w:szCs w:val="20"/>
          <w:lang w:val="en-GB" w:eastAsia="en-US"/>
        </w:rPr>
        <w:t xml:space="preserve">IMT for 2020 and beyond is expected to provide far more enhanced capabilities than those described in Recommendation ITU-R M.1645, and these enhanced capabilities could be regarded as new capabilities of future IMT. As ITU-R will give a new term IMT-2020 to those systems, system components, and related aspects that support these new capabilities, the term IMT-2020 is used in the following sections. </w:t>
      </w:r>
    </w:p>
    <w:p w:rsidR="00B4329E" w:rsidRPr="00B4329E" w:rsidRDefault="00B4329E" w:rsidP="00ED4B66">
      <w:pPr>
        <w:pStyle w:val="NormaleWeb"/>
        <w:spacing w:before="0" w:beforeAutospacing="0" w:after="0" w:afterAutospacing="0"/>
        <w:jc w:val="both"/>
        <w:rPr>
          <w:rFonts w:asciiTheme="minorHAnsi" w:eastAsia="MS Mincho" w:hAnsiTheme="minorHAnsi" w:cstheme="minorHAnsi"/>
          <w:i/>
          <w:sz w:val="20"/>
          <w:szCs w:val="20"/>
          <w:lang w:val="en-GB" w:eastAsia="en-US"/>
        </w:rPr>
      </w:pPr>
      <w:r w:rsidRPr="00B4329E">
        <w:rPr>
          <w:rFonts w:asciiTheme="minorHAnsi" w:eastAsia="MS Mincho" w:hAnsiTheme="minorHAnsi" w:cstheme="minorHAnsi"/>
          <w:i/>
          <w:sz w:val="20"/>
          <w:szCs w:val="20"/>
          <w:highlight w:val="yellow"/>
          <w:lang w:val="en-GB" w:eastAsia="en-US"/>
        </w:rPr>
        <w:t>A broad variety of capabilities, tightly coupled with intended usage scenarios and applications for IMT-2020 is envisioned.  Different usage scenarios along with the current and future trends will result in a great diversity/variety of requirements.</w:t>
      </w:r>
      <w:r w:rsidRPr="00B4329E">
        <w:rPr>
          <w:rFonts w:asciiTheme="minorHAnsi" w:eastAsia="MS Mincho" w:hAnsiTheme="minorHAnsi" w:cstheme="minorHAnsi"/>
          <w:i/>
          <w:sz w:val="20"/>
          <w:szCs w:val="20"/>
          <w:lang w:val="en-GB" w:eastAsia="en-US"/>
        </w:rPr>
        <w:t xml:space="preserve"> The key design principles are flexibility and diversity to serve many different use cases and scenarios, for which the capabilities of IMT-2020, described in the following paragraphs, will have different relevance and applicability.  In addition, the constraints on network energy consumption and the spectrum resource will need to be considered.</w:t>
      </w:r>
    </w:p>
    <w:p w:rsidR="00ED4B66" w:rsidRDefault="00ED4B66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</w:p>
    <w:p w:rsidR="0021107C" w:rsidRDefault="0021107C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As a consequence, ITU-R may define values for KPIs different from those defined by 3GPP, since 3GPP did not cover the possible combinations “use case/deployment scenario”.</w:t>
      </w:r>
    </w:p>
    <w:p w:rsidR="0021107C" w:rsidRDefault="0021107C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Moreover, defining a single value for KPI can lead to misleading interpretations (does the new RAT satisfy the requirement in all use cases/deployment scenarios?) and provides only a partial picture of 3GPP capabilities. </w:t>
      </w:r>
    </w:p>
    <w:p w:rsidR="006E28FE" w:rsidRDefault="006E28FE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Note that the definition of the table does not imply multiple evaluation scenarios and consequently simulations.</w:t>
      </w:r>
    </w:p>
    <w:p w:rsidR="0021107C" w:rsidRPr="0021107C" w:rsidRDefault="0021107C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b/>
          <w:sz w:val="20"/>
          <w:szCs w:val="20"/>
          <w:lang w:val="en-GB" w:eastAsia="en-US"/>
        </w:rPr>
      </w:pPr>
      <w:r w:rsidRPr="0021107C">
        <w:rPr>
          <w:rFonts w:asciiTheme="minorHAnsi" w:eastAsia="MS Mincho" w:hAnsiTheme="minorHAnsi" w:cstheme="minorHAnsi"/>
          <w:b/>
          <w:sz w:val="20"/>
          <w:szCs w:val="20"/>
          <w:lang w:val="en-GB" w:eastAsia="en-US"/>
        </w:rPr>
        <w:t>Proposal</w:t>
      </w:r>
      <w:r>
        <w:rPr>
          <w:rFonts w:asciiTheme="minorHAnsi" w:eastAsia="MS Mincho" w:hAnsiTheme="minorHAnsi" w:cstheme="minorHAnsi"/>
          <w:b/>
          <w:sz w:val="20"/>
          <w:szCs w:val="20"/>
          <w:lang w:val="en-GB" w:eastAsia="en-US"/>
        </w:rPr>
        <w:t xml:space="preserve"> 1</w:t>
      </w:r>
    </w:p>
    <w:p w:rsidR="00B4329E" w:rsidRPr="006E28FE" w:rsidRDefault="0021107C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b/>
          <w:sz w:val="20"/>
          <w:szCs w:val="20"/>
          <w:lang w:val="en-GB" w:eastAsia="en-US"/>
        </w:rPr>
      </w:pPr>
      <w:r w:rsidRPr="006E28FE">
        <w:rPr>
          <w:rFonts w:asciiTheme="minorHAnsi" w:eastAsia="MS Mincho" w:hAnsiTheme="minorHAnsi" w:cstheme="minorHAnsi"/>
          <w:b/>
          <w:sz w:val="20"/>
          <w:szCs w:val="20"/>
          <w:lang w:val="en-GB" w:eastAsia="en-US"/>
        </w:rPr>
        <w:t>Add for each KPI (if applicable) the following table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276"/>
        <w:gridCol w:w="1559"/>
        <w:gridCol w:w="1560"/>
        <w:gridCol w:w="1701"/>
        <w:gridCol w:w="1842"/>
      </w:tblGrid>
      <w:tr w:rsidR="006E28FE" w:rsidRPr="00A32D77" w:rsidTr="00995388">
        <w:tc>
          <w:tcPr>
            <w:tcW w:w="1809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  <w:r w:rsidRPr="006E28FE">
              <w:rPr>
                <w:highlight w:val="yellow"/>
                <w:lang w:eastAsia="zh-CN"/>
              </w:rPr>
              <w:t>KPI name</w:t>
            </w:r>
          </w:p>
        </w:tc>
        <w:tc>
          <w:tcPr>
            <w:tcW w:w="1276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Indoor hot spot</w:t>
            </w:r>
          </w:p>
        </w:tc>
        <w:tc>
          <w:tcPr>
            <w:tcW w:w="1559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Dense urban</w:t>
            </w:r>
          </w:p>
        </w:tc>
        <w:tc>
          <w:tcPr>
            <w:tcW w:w="1560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Rural</w:t>
            </w:r>
          </w:p>
        </w:tc>
        <w:tc>
          <w:tcPr>
            <w:tcW w:w="1701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Urban macro</w:t>
            </w:r>
          </w:p>
        </w:tc>
        <w:tc>
          <w:tcPr>
            <w:tcW w:w="1842" w:type="dxa"/>
          </w:tcPr>
          <w:p w:rsidR="006E28FE" w:rsidRDefault="006E28FE" w:rsidP="00ED4B66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 speed</w:t>
            </w:r>
          </w:p>
        </w:tc>
      </w:tr>
      <w:tr w:rsidR="006E28FE" w:rsidRPr="00A32D77" w:rsidTr="00995388">
        <w:tc>
          <w:tcPr>
            <w:tcW w:w="1809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 w:rsidRPr="00A32D77">
              <w:rPr>
                <w:rFonts w:hint="eastAsia"/>
                <w:lang w:eastAsia="zh-CN"/>
              </w:rPr>
              <w:t>MBB</w:t>
            </w:r>
            <w:proofErr w:type="spellEnd"/>
          </w:p>
        </w:tc>
        <w:tc>
          <w:tcPr>
            <w:tcW w:w="1276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559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842" w:type="dxa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6E28FE" w:rsidRPr="00A32D77" w:rsidTr="00995388">
        <w:tc>
          <w:tcPr>
            <w:tcW w:w="1809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  <w:proofErr w:type="spellStart"/>
            <w:r w:rsidRPr="00A32D77">
              <w:rPr>
                <w:rFonts w:hint="eastAsia"/>
                <w:lang w:eastAsia="zh-CN"/>
              </w:rPr>
              <w:t>mMTC</w:t>
            </w:r>
            <w:proofErr w:type="spellEnd"/>
          </w:p>
        </w:tc>
        <w:tc>
          <w:tcPr>
            <w:tcW w:w="1276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559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842" w:type="dxa"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6E28FE" w:rsidRPr="00A32D77" w:rsidTr="00995388">
        <w:tc>
          <w:tcPr>
            <w:tcW w:w="1809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  <w:r w:rsidRPr="00A32D77">
              <w:rPr>
                <w:rFonts w:hint="eastAsia"/>
                <w:lang w:eastAsia="zh-CN"/>
              </w:rPr>
              <w:t>URLLC</w:t>
            </w:r>
          </w:p>
        </w:tc>
        <w:tc>
          <w:tcPr>
            <w:tcW w:w="1276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559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noWrap/>
            <w:vAlign w:val="bottom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  <w:tc>
          <w:tcPr>
            <w:tcW w:w="1842" w:type="dxa"/>
          </w:tcPr>
          <w:p w:rsidR="006E28FE" w:rsidRPr="00A32D77" w:rsidRDefault="006E28FE" w:rsidP="00ED4B66">
            <w:pPr>
              <w:spacing w:after="120"/>
              <w:jc w:val="center"/>
              <w:rPr>
                <w:lang w:eastAsia="zh-CN"/>
              </w:rPr>
            </w:pPr>
          </w:p>
        </w:tc>
      </w:tr>
    </w:tbl>
    <w:p w:rsidR="00AA642B" w:rsidRDefault="00AA642B" w:rsidP="00ED4B66">
      <w:pPr>
        <w:spacing w:after="120"/>
        <w:rPr>
          <w:rFonts w:asciiTheme="minorHAnsi" w:hAnsiTheme="minorHAnsi" w:cstheme="minorHAnsi"/>
        </w:rPr>
      </w:pPr>
    </w:p>
    <w:p w:rsidR="006E28FE" w:rsidRPr="00AA642B" w:rsidRDefault="00AA642B" w:rsidP="00ED4B66">
      <w:pPr>
        <w:spacing w:after="120"/>
        <w:rPr>
          <w:rFonts w:asciiTheme="minorHAnsi" w:hAnsiTheme="minorHAnsi" w:cstheme="minorHAnsi"/>
        </w:rPr>
      </w:pPr>
      <w:r w:rsidRPr="00AA642B">
        <w:rPr>
          <w:rFonts w:asciiTheme="minorHAnsi" w:hAnsiTheme="minorHAnsi" w:cstheme="minorHAnsi"/>
        </w:rPr>
        <w:t>Note</w:t>
      </w:r>
      <w:r>
        <w:rPr>
          <w:rFonts w:asciiTheme="minorHAnsi" w:hAnsiTheme="minorHAnsi" w:cstheme="minorHAnsi"/>
        </w:rPr>
        <w:t xml:space="preserve"> - </w:t>
      </w:r>
      <w:r w:rsidRPr="00AA642B">
        <w:rPr>
          <w:rFonts w:asciiTheme="minorHAnsi" w:hAnsiTheme="minorHAnsi" w:cstheme="minorHAnsi"/>
        </w:rPr>
        <w:t>In case of associated KPIs, e.g. User Experienced Data Rate and Area Traffic Capacity (non-full buffer), it is recommended to capture them within one table</w:t>
      </w:r>
    </w:p>
    <w:p w:rsidR="006E28FE" w:rsidRPr="006E28FE" w:rsidRDefault="006E28FE" w:rsidP="00ED4B66">
      <w:pPr>
        <w:spacing w:after="120"/>
        <w:rPr>
          <w:rFonts w:asciiTheme="minorHAnsi" w:hAnsiTheme="minorHAnsi" w:cstheme="minorHAnsi"/>
        </w:rPr>
      </w:pPr>
      <w:r w:rsidRPr="006E28FE">
        <w:rPr>
          <w:rFonts w:asciiTheme="minorHAnsi" w:hAnsiTheme="minorHAnsi" w:cstheme="minorHAnsi"/>
        </w:rPr>
        <w:t xml:space="preserve">The values to be inserted in the table </w:t>
      </w:r>
      <w:r>
        <w:rPr>
          <w:rFonts w:asciiTheme="minorHAnsi" w:hAnsiTheme="minorHAnsi" w:cstheme="minorHAnsi"/>
        </w:rPr>
        <w:t>are not part of this contribution, and should be filled on the basis of the conclusions of [5G_AH_03] and subsequent discussion and contributions.</w:t>
      </w:r>
    </w:p>
    <w:p w:rsidR="00ED4B66" w:rsidRDefault="00ED4B66" w:rsidP="00ED4B66">
      <w:pPr>
        <w:pStyle w:val="NormaleWeb"/>
        <w:spacing w:before="0" w:beforeAutospacing="0" w:after="120" w:afterAutospacing="0"/>
        <w:jc w:val="both"/>
        <w:rPr>
          <w:rFonts w:asciiTheme="minorHAnsi" w:eastAsia="MS Mincho" w:hAnsiTheme="minorHAnsi" w:cstheme="minorHAnsi"/>
          <w:b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b/>
          <w:sz w:val="20"/>
          <w:szCs w:val="20"/>
          <w:lang w:val="en-GB" w:eastAsia="en-US"/>
        </w:rPr>
        <w:t>Consideration 1</w:t>
      </w:r>
    </w:p>
    <w:p w:rsidR="00ED4B66" w:rsidRDefault="00ED4B66" w:rsidP="00ED4B66">
      <w:pPr>
        <w:spacing w:after="120"/>
        <w:rPr>
          <w:rFonts w:asciiTheme="minorHAnsi" w:hAnsiTheme="minorHAnsi" w:cstheme="minorHAnsi"/>
        </w:rPr>
      </w:pPr>
      <w:r w:rsidRPr="006E28FE">
        <w:rPr>
          <w:rFonts w:asciiTheme="minorHAnsi" w:hAnsiTheme="minorHAnsi" w:cstheme="minorHAnsi"/>
        </w:rPr>
        <w:t xml:space="preserve">The values to be inserted in the table </w:t>
      </w:r>
      <w:r>
        <w:rPr>
          <w:rFonts w:asciiTheme="minorHAnsi" w:hAnsiTheme="minorHAnsi" w:cstheme="minorHAnsi"/>
        </w:rPr>
        <w:t>are not part of this contribution, and should be filled on the basis of the conclusions of [5G_AH_03] and subsequent discussion and contributions.</w:t>
      </w:r>
    </w:p>
    <w:p w:rsidR="00377861" w:rsidRDefault="00377861" w:rsidP="00377861">
      <w:pPr>
        <w:pStyle w:val="Titolo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lastRenderedPageBreak/>
        <w:t>Conclusions</w:t>
      </w:r>
    </w:p>
    <w:p w:rsidR="00377861" w:rsidRPr="006E28FE" w:rsidRDefault="00377861" w:rsidP="00ED4B66">
      <w:pPr>
        <w:spacing w:after="120"/>
        <w:rPr>
          <w:rFonts w:asciiTheme="minorHAnsi" w:hAnsiTheme="minorHAnsi" w:cstheme="minorHAnsi"/>
        </w:rPr>
      </w:pPr>
      <w:r w:rsidRPr="00377861">
        <w:rPr>
          <w:rFonts w:asciiTheme="minorHAnsi" w:hAnsiTheme="minorHAnsi" w:cstheme="minorHAnsi"/>
        </w:rPr>
        <w:t>Add for each KPI (if applicable) the table</w:t>
      </w:r>
      <w:r>
        <w:rPr>
          <w:rFonts w:asciiTheme="minorHAnsi" w:hAnsiTheme="minorHAnsi" w:cstheme="minorHAnsi"/>
        </w:rPr>
        <w:t xml:space="preserve"> as in Proposal 1</w:t>
      </w:r>
    </w:p>
    <w:sectPr w:rsidR="00377861" w:rsidRPr="006E28F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310" w:rsidRDefault="00382310">
      <w:pPr>
        <w:spacing w:after="0"/>
      </w:pPr>
      <w:r>
        <w:separator/>
      </w:r>
    </w:p>
  </w:endnote>
  <w:endnote w:type="continuationSeparator" w:id="0">
    <w:p w:rsidR="00382310" w:rsidRDefault="003823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5</w:t>
    </w:r>
    <w:r>
      <w:rPr>
        <w:rStyle w:val="Numeropagina"/>
      </w:rPr>
      <w:fldChar w:fldCharType="end"/>
    </w:r>
  </w:p>
  <w:p w:rsidR="00631F12" w:rsidRDefault="0038231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38231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310" w:rsidRDefault="00382310">
      <w:pPr>
        <w:spacing w:after="0"/>
      </w:pPr>
      <w:r>
        <w:separator/>
      </w:r>
    </w:p>
  </w:footnote>
  <w:footnote w:type="continuationSeparator" w:id="0">
    <w:p w:rsidR="00382310" w:rsidRDefault="003823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382310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D3ABF"/>
    <w:multiLevelType w:val="hybridMultilevel"/>
    <w:tmpl w:val="396E7B8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9BA7AEF"/>
    <w:multiLevelType w:val="hybridMultilevel"/>
    <w:tmpl w:val="F3CC6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2057073"/>
    <w:multiLevelType w:val="hybridMultilevel"/>
    <w:tmpl w:val="6FE4E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31"/>
  </w:num>
  <w:num w:numId="3">
    <w:abstractNumId w:val="12"/>
  </w:num>
  <w:num w:numId="4">
    <w:abstractNumId w:val="25"/>
  </w:num>
  <w:num w:numId="5">
    <w:abstractNumId w:val="2"/>
  </w:num>
  <w:num w:numId="6">
    <w:abstractNumId w:val="19"/>
  </w:num>
  <w:num w:numId="7">
    <w:abstractNumId w:val="5"/>
  </w:num>
  <w:num w:numId="8">
    <w:abstractNumId w:val="24"/>
  </w:num>
  <w:num w:numId="9">
    <w:abstractNumId w:val="17"/>
  </w:num>
  <w:num w:numId="10">
    <w:abstractNumId w:val="15"/>
  </w:num>
  <w:num w:numId="11">
    <w:abstractNumId w:val="9"/>
  </w:num>
  <w:num w:numId="12">
    <w:abstractNumId w:val="30"/>
  </w:num>
  <w:num w:numId="13">
    <w:abstractNumId w:val="11"/>
  </w:num>
  <w:num w:numId="14">
    <w:abstractNumId w:val="18"/>
  </w:num>
  <w:num w:numId="15">
    <w:abstractNumId w:val="3"/>
  </w:num>
  <w:num w:numId="16">
    <w:abstractNumId w:val="7"/>
  </w:num>
  <w:num w:numId="17">
    <w:abstractNumId w:val="6"/>
  </w:num>
  <w:num w:numId="18">
    <w:abstractNumId w:val="26"/>
  </w:num>
  <w:num w:numId="19">
    <w:abstractNumId w:val="8"/>
  </w:num>
  <w:num w:numId="20">
    <w:abstractNumId w:val="20"/>
  </w:num>
  <w:num w:numId="21">
    <w:abstractNumId w:val="0"/>
  </w:num>
  <w:num w:numId="22">
    <w:abstractNumId w:val="21"/>
  </w:num>
  <w:num w:numId="23">
    <w:abstractNumId w:val="16"/>
  </w:num>
  <w:num w:numId="24">
    <w:abstractNumId w:val="32"/>
  </w:num>
  <w:num w:numId="25">
    <w:abstractNumId w:val="10"/>
  </w:num>
  <w:num w:numId="26">
    <w:abstractNumId w:val="4"/>
  </w:num>
  <w:num w:numId="27">
    <w:abstractNumId w:val="28"/>
  </w:num>
  <w:num w:numId="28">
    <w:abstractNumId w:val="22"/>
  </w:num>
  <w:num w:numId="29">
    <w:abstractNumId w:val="27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4"/>
  </w:num>
  <w:num w:numId="32">
    <w:abstractNumId w:val="29"/>
  </w:num>
  <w:num w:numId="33">
    <w:abstractNumId w:val="23"/>
  </w:num>
  <w:num w:numId="3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lore, Dino">
    <w15:presenceInfo w15:providerId="AD" w15:userId="S-1-5-21-945540591-4024260831-3861152641-55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36F46"/>
    <w:rsid w:val="00041C76"/>
    <w:rsid w:val="000462F8"/>
    <w:rsid w:val="00082225"/>
    <w:rsid w:val="00096276"/>
    <w:rsid w:val="000A505E"/>
    <w:rsid w:val="000A7561"/>
    <w:rsid w:val="000D254D"/>
    <w:rsid w:val="000D7B87"/>
    <w:rsid w:val="000F0C28"/>
    <w:rsid w:val="001021FF"/>
    <w:rsid w:val="00123A90"/>
    <w:rsid w:val="001B7B30"/>
    <w:rsid w:val="001C4978"/>
    <w:rsid w:val="00207618"/>
    <w:rsid w:val="0021107C"/>
    <w:rsid w:val="002171F7"/>
    <w:rsid w:val="002224A3"/>
    <w:rsid w:val="002409B1"/>
    <w:rsid w:val="00244B6D"/>
    <w:rsid w:val="0030517C"/>
    <w:rsid w:val="003161D8"/>
    <w:rsid w:val="0032406C"/>
    <w:rsid w:val="00333B51"/>
    <w:rsid w:val="0033412A"/>
    <w:rsid w:val="00342D57"/>
    <w:rsid w:val="003507EA"/>
    <w:rsid w:val="003514E1"/>
    <w:rsid w:val="00374B41"/>
    <w:rsid w:val="00377861"/>
    <w:rsid w:val="00382310"/>
    <w:rsid w:val="00383043"/>
    <w:rsid w:val="0038719B"/>
    <w:rsid w:val="003928E4"/>
    <w:rsid w:val="003B1EFE"/>
    <w:rsid w:val="003B79D6"/>
    <w:rsid w:val="003D5FB8"/>
    <w:rsid w:val="00412412"/>
    <w:rsid w:val="00463E82"/>
    <w:rsid w:val="0046726F"/>
    <w:rsid w:val="00476729"/>
    <w:rsid w:val="004872D7"/>
    <w:rsid w:val="004A3A3F"/>
    <w:rsid w:val="004A3E8E"/>
    <w:rsid w:val="004B1DC0"/>
    <w:rsid w:val="004B487D"/>
    <w:rsid w:val="00521A3F"/>
    <w:rsid w:val="00530167"/>
    <w:rsid w:val="005570A8"/>
    <w:rsid w:val="005934FC"/>
    <w:rsid w:val="005A39F7"/>
    <w:rsid w:val="005D0F64"/>
    <w:rsid w:val="005D55D5"/>
    <w:rsid w:val="00615D28"/>
    <w:rsid w:val="0062718F"/>
    <w:rsid w:val="00641C36"/>
    <w:rsid w:val="006925CA"/>
    <w:rsid w:val="006A3C83"/>
    <w:rsid w:val="006E00F6"/>
    <w:rsid w:val="006E28FE"/>
    <w:rsid w:val="006F3B17"/>
    <w:rsid w:val="00701AEC"/>
    <w:rsid w:val="00706FF0"/>
    <w:rsid w:val="0071579B"/>
    <w:rsid w:val="00726DB2"/>
    <w:rsid w:val="00732712"/>
    <w:rsid w:val="00733199"/>
    <w:rsid w:val="007357F3"/>
    <w:rsid w:val="007538EB"/>
    <w:rsid w:val="00763DAC"/>
    <w:rsid w:val="0076599A"/>
    <w:rsid w:val="00774840"/>
    <w:rsid w:val="007D53A7"/>
    <w:rsid w:val="00801104"/>
    <w:rsid w:val="00815978"/>
    <w:rsid w:val="0082201C"/>
    <w:rsid w:val="008308D4"/>
    <w:rsid w:val="00844290"/>
    <w:rsid w:val="00861FC3"/>
    <w:rsid w:val="00874492"/>
    <w:rsid w:val="00887160"/>
    <w:rsid w:val="00891079"/>
    <w:rsid w:val="0089770D"/>
    <w:rsid w:val="008A41D6"/>
    <w:rsid w:val="008A4AB1"/>
    <w:rsid w:val="008B5BEF"/>
    <w:rsid w:val="00925073"/>
    <w:rsid w:val="009263EB"/>
    <w:rsid w:val="00944425"/>
    <w:rsid w:val="00986FEC"/>
    <w:rsid w:val="00992E2D"/>
    <w:rsid w:val="009960B6"/>
    <w:rsid w:val="009F529A"/>
    <w:rsid w:val="009F5D87"/>
    <w:rsid w:val="00A108F0"/>
    <w:rsid w:val="00A27ED6"/>
    <w:rsid w:val="00A37485"/>
    <w:rsid w:val="00A53E8A"/>
    <w:rsid w:val="00A70FFE"/>
    <w:rsid w:val="00A85395"/>
    <w:rsid w:val="00AA4C0F"/>
    <w:rsid w:val="00AA642B"/>
    <w:rsid w:val="00AB4146"/>
    <w:rsid w:val="00AB5FD5"/>
    <w:rsid w:val="00AB618B"/>
    <w:rsid w:val="00AD705F"/>
    <w:rsid w:val="00AF2E81"/>
    <w:rsid w:val="00B006E7"/>
    <w:rsid w:val="00B3466B"/>
    <w:rsid w:val="00B41CE9"/>
    <w:rsid w:val="00B4329E"/>
    <w:rsid w:val="00BB36C8"/>
    <w:rsid w:val="00BD77DE"/>
    <w:rsid w:val="00BE40FD"/>
    <w:rsid w:val="00BF345B"/>
    <w:rsid w:val="00C02FA4"/>
    <w:rsid w:val="00C33FCF"/>
    <w:rsid w:val="00C50D1A"/>
    <w:rsid w:val="00C53E77"/>
    <w:rsid w:val="00CA2425"/>
    <w:rsid w:val="00CD4C0E"/>
    <w:rsid w:val="00CE41BA"/>
    <w:rsid w:val="00CF63D7"/>
    <w:rsid w:val="00D23132"/>
    <w:rsid w:val="00D45186"/>
    <w:rsid w:val="00D6654B"/>
    <w:rsid w:val="00D70A2D"/>
    <w:rsid w:val="00D903D4"/>
    <w:rsid w:val="00D90C78"/>
    <w:rsid w:val="00D91D7E"/>
    <w:rsid w:val="00DA5FD7"/>
    <w:rsid w:val="00DD0B41"/>
    <w:rsid w:val="00DD4EBB"/>
    <w:rsid w:val="00DF4ED6"/>
    <w:rsid w:val="00E273D3"/>
    <w:rsid w:val="00E442E7"/>
    <w:rsid w:val="00E56648"/>
    <w:rsid w:val="00E65F61"/>
    <w:rsid w:val="00EB6FFC"/>
    <w:rsid w:val="00ED4B66"/>
    <w:rsid w:val="00EE2827"/>
    <w:rsid w:val="00EF384B"/>
    <w:rsid w:val="00EF7D46"/>
    <w:rsid w:val="00F06C83"/>
    <w:rsid w:val="00F372DF"/>
    <w:rsid w:val="00F3786F"/>
    <w:rsid w:val="00F37A08"/>
    <w:rsid w:val="00F66DFA"/>
    <w:rsid w:val="00F80A3F"/>
    <w:rsid w:val="00F870DC"/>
    <w:rsid w:val="00F94448"/>
    <w:rsid w:val="00FD5FD1"/>
    <w:rsid w:val="00FE0422"/>
    <w:rsid w:val="00FE34FC"/>
    <w:rsid w:val="00FE47AC"/>
    <w:rsid w:val="00FE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NormaleWeb">
    <w:name w:val="Normal (Web)"/>
    <w:basedOn w:val="Normale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F2E81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E61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E615D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E61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NormaleWeb">
    <w:name w:val="Normal (Web)"/>
    <w:basedOn w:val="Normale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F2E81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E61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E615D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E61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35</cp:revision>
  <dcterms:created xsi:type="dcterms:W3CDTF">2016-02-16T10:29:00Z</dcterms:created>
  <dcterms:modified xsi:type="dcterms:W3CDTF">2016-03-01T15:52:00Z</dcterms:modified>
</cp:coreProperties>
</file>