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s>
        <w:overflowPunct/>
        <w:autoSpaceDE/>
        <w:autoSpaceDN/>
        <w:snapToGrid w:val="0"/>
        <w:spacing w:after="0"/>
        <w:textAlignment w:val="auto"/>
        <w:rPr>
          <w:rFonts w:ascii="Arial" w:hAnsi="Arial" w:cs="Arial" w:eastAsiaTheme="minorEastAsia"/>
          <w:b/>
          <w:sz w:val="28"/>
          <w:szCs w:val="28"/>
          <w:highlight w:val="yellow"/>
          <w:lang w:val="en-US" w:eastAsia="zh-CN"/>
        </w:rPr>
      </w:pPr>
      <w:r>
        <w:rPr>
          <w:rFonts w:hint="eastAsia" w:ascii="Arial" w:hAnsi="Arial" w:cs="Arial"/>
          <w:b/>
          <w:sz w:val="28"/>
          <w:szCs w:val="28"/>
        </w:rPr>
        <w:t>3GPP TSG RAN meeting #102</w:t>
      </w:r>
      <w:r>
        <w:rPr>
          <w:rFonts w:ascii="Arial" w:hAnsi="Arial" w:cs="Arial"/>
          <w:b/>
          <w:sz w:val="28"/>
          <w:szCs w:val="28"/>
        </w:rPr>
        <w:tab/>
      </w:r>
      <w:r>
        <w:rPr>
          <w:rFonts w:ascii="Arial" w:hAnsi="Arial" w:cs="Arial"/>
          <w:b/>
          <w:sz w:val="28"/>
          <w:szCs w:val="28"/>
        </w:rPr>
        <w:tab/>
      </w:r>
      <w:r>
        <w:rPr>
          <w:rFonts w:hint="eastAsia" w:ascii="Arial" w:hAnsi="Arial" w:cs="Arial"/>
          <w:b/>
          <w:sz w:val="28"/>
          <w:szCs w:val="28"/>
        </w:rPr>
        <w:tab/>
      </w:r>
      <w:r>
        <w:rPr>
          <w:rFonts w:hint="eastAsia" w:ascii="Arial" w:hAnsi="Arial" w:cs="Arial"/>
          <w:b/>
          <w:sz w:val="28"/>
          <w:szCs w:val="28"/>
        </w:rPr>
        <w:t xml:space="preserve">                       </w:t>
      </w:r>
      <w:r>
        <w:rPr>
          <w:rFonts w:hint="eastAsia" w:ascii="Arial" w:hAnsi="Arial" w:eastAsia="宋体" w:cs="Arial"/>
          <w:b/>
          <w:sz w:val="28"/>
          <w:szCs w:val="28"/>
          <w:lang w:eastAsia="zh-CN"/>
        </w:rPr>
        <w:t xml:space="preserve">        </w:t>
      </w:r>
      <w:r>
        <w:rPr>
          <w:rFonts w:hint="eastAsia" w:ascii="Arial" w:hAnsi="Arial" w:eastAsia="宋体" w:cs="Arial"/>
          <w:b/>
          <w:sz w:val="28"/>
          <w:szCs w:val="28"/>
          <w:lang w:val="en-US" w:eastAsia="zh-CN"/>
        </w:rPr>
        <w:t xml:space="preserve">       </w:t>
      </w:r>
      <w:r>
        <w:rPr>
          <w:rFonts w:hint="eastAsia" w:ascii="Arial" w:hAnsi="Arial" w:eastAsia="宋体" w:cs="Arial"/>
          <w:b/>
          <w:sz w:val="28"/>
          <w:szCs w:val="28"/>
          <w:lang w:val="en-US" w:eastAsia="zh-CN"/>
        </w:rPr>
        <w:t>RP-233439</w:t>
      </w:r>
    </w:p>
    <w:p>
      <w:pPr>
        <w:tabs>
          <w:tab w:val="left" w:pos="567"/>
        </w:tabs>
        <w:rPr>
          <w:rFonts w:ascii="Arial" w:hAnsi="Arial" w:cs="Arial"/>
          <w:b/>
          <w:sz w:val="28"/>
          <w:szCs w:val="28"/>
        </w:rPr>
      </w:pPr>
      <w:r>
        <w:rPr>
          <w:rFonts w:hint="eastAsia" w:ascii="Arial" w:hAnsi="Arial" w:cs="Arial"/>
          <w:b/>
          <w:sz w:val="28"/>
          <w:szCs w:val="28"/>
        </w:rPr>
        <w:t>Edinburgh, GB, Dec 11-15, 2023</w:t>
      </w:r>
      <w:r>
        <w:rPr>
          <w:rFonts w:ascii="Arial" w:hAnsi="Arial" w:cs="Arial"/>
          <w:b/>
          <w:sz w:val="28"/>
          <w:szCs w:val="28"/>
        </w:rPr>
        <w:t xml:space="preserve"> </w:t>
      </w:r>
    </w:p>
    <w:p>
      <w:pPr>
        <w:tabs>
          <w:tab w:val="left" w:pos="567"/>
        </w:tabs>
        <w:rPr>
          <w:rFonts w:ascii="Arial" w:hAnsi="Arial" w:eastAsiaTheme="minorEastAsia"/>
          <w:b/>
          <w:lang w:val="en-US" w:eastAsia="zh-CN"/>
        </w:rPr>
      </w:pPr>
      <w:r>
        <w:rPr>
          <w:rFonts w:ascii="Arial" w:hAnsi="Arial"/>
          <w:b/>
          <w:lang w:val="en-US"/>
        </w:rPr>
        <w:t>Agenda Item:</w:t>
      </w:r>
      <w:r>
        <w:rPr>
          <w:rFonts w:ascii="Arial" w:hAnsi="Arial"/>
          <w:lang w:val="en-US"/>
        </w:rPr>
        <w:tab/>
      </w:r>
      <w:bookmarkStart w:id="0" w:name="Source"/>
      <w:bookmarkEnd w:id="0"/>
      <w:r>
        <w:rPr>
          <w:rFonts w:ascii="Arial" w:hAnsi="Arial"/>
          <w:b/>
          <w:lang w:val="en-US"/>
        </w:rPr>
        <w:tab/>
      </w:r>
      <w:r>
        <w:rPr>
          <w:rFonts w:hint="eastAsia" w:ascii="Arial" w:hAnsi="Arial" w:eastAsia="Times New Roman" w:cs="Times New Roman"/>
          <w:b/>
          <w:lang w:val="en-US"/>
        </w:rPr>
        <w:t>9.3.3.1</w:t>
      </w:r>
    </w:p>
    <w:p>
      <w:pPr>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r>
      <w:r>
        <w:rPr>
          <w:rFonts w:hint="eastAsia" w:ascii="Arial" w:hAnsi="Arial"/>
          <w:b/>
        </w:rPr>
        <w:t>CMCC</w:t>
      </w:r>
    </w:p>
    <w:p>
      <w:pPr>
        <w:tabs>
          <w:tab w:val="left" w:pos="567"/>
        </w:tabs>
        <w:ind w:left="2268" w:hanging="2268"/>
        <w:rPr>
          <w:rFonts w:ascii="Arial" w:hAnsi="Arial"/>
        </w:rPr>
      </w:pPr>
      <w:r>
        <w:rPr>
          <w:rFonts w:ascii="Arial" w:hAnsi="Arial"/>
          <w:b/>
        </w:rPr>
        <w:t>Title:</w:t>
      </w:r>
      <w:r>
        <w:rPr>
          <w:rFonts w:ascii="Arial" w:hAnsi="Arial"/>
        </w:rPr>
        <w:tab/>
      </w:r>
      <w:r>
        <w:rPr>
          <w:rFonts w:ascii="Arial" w:hAnsi="Arial"/>
        </w:rPr>
        <w:tab/>
      </w:r>
      <w:bookmarkStart w:id="1" w:name="OLE_LINK1"/>
      <w:bookmarkStart w:id="2" w:name="OLE_LINK17"/>
      <w:r>
        <w:rPr>
          <w:rFonts w:ascii="Arial" w:hAnsi="Arial"/>
          <w:b/>
        </w:rPr>
        <w:t xml:space="preserve">WI summary for </w:t>
      </w:r>
      <w:bookmarkEnd w:id="1"/>
      <w:r>
        <w:rPr>
          <w:rFonts w:hint="eastAsia" w:ascii="Arial" w:hAnsi="Arial"/>
          <w:b/>
        </w:rPr>
        <w:t>Further enhancement of data collection for SON (Self-Organising Networks)/MDT (Minimization of Drive Tests) in NR standalone and MR-DC (Multi-Radio Dual Connectivity)</w:t>
      </w:r>
      <w:bookmarkEnd w:id="2"/>
    </w:p>
    <w:p>
      <w:pPr>
        <w:tabs>
          <w:tab w:val="left" w:pos="567"/>
        </w:tabs>
        <w:rPr>
          <w:rFonts w:ascii="Arial" w:hAnsi="Arial"/>
          <w:b/>
          <w:lang w:eastAsia="zh-CN"/>
        </w:rPr>
      </w:pPr>
      <w:r>
        <w:rPr>
          <w:rFonts w:ascii="Arial" w:hAnsi="Arial"/>
          <w:b/>
        </w:rPr>
        <w:t>WI code(s):</w:t>
      </w:r>
      <w:r>
        <w:rPr>
          <w:rFonts w:ascii="Arial" w:hAnsi="Arial"/>
          <w:b/>
          <w:color w:val="0070C0"/>
        </w:rPr>
        <w:tab/>
      </w:r>
      <w:r>
        <w:rPr>
          <w:rFonts w:ascii="Arial" w:hAnsi="Arial"/>
          <w:b/>
          <w:color w:val="0070C0"/>
        </w:rPr>
        <w:tab/>
      </w:r>
      <w:r>
        <w:rPr>
          <w:rFonts w:ascii="Arial" w:hAnsi="Arial"/>
          <w:b/>
          <w:color w:val="0070C0"/>
        </w:rPr>
        <w:tab/>
      </w:r>
      <w:r>
        <w:rPr>
          <w:rFonts w:hint="eastAsia" w:ascii="Arial" w:hAnsi="Arial"/>
          <w:b/>
        </w:rPr>
        <w:t>NR_ENDC_SON_MDT_enh2-Core</w:t>
      </w:r>
    </w:p>
    <w:p>
      <w:pPr>
        <w:tabs>
          <w:tab w:val="left" w:pos="567"/>
        </w:tabs>
        <w:rPr>
          <w:rFonts w:ascii="Arial" w:hAnsi="Arial" w:eastAsia="宋体"/>
          <w:b/>
          <w:lang w:eastAsia="zh-CN"/>
        </w:rPr>
      </w:pPr>
      <w:r>
        <w:rPr>
          <w:rFonts w:hint="eastAsia" w:ascii="Arial" w:hAnsi="Arial" w:eastAsia="宋体"/>
          <w:b/>
          <w:lang w:eastAsia="zh-CN"/>
        </w:rPr>
        <w:t>L</w:t>
      </w:r>
      <w:r>
        <w:rPr>
          <w:rFonts w:ascii="Arial" w:hAnsi="Arial"/>
          <w:b/>
        </w:rPr>
        <w:t>eading WG:</w:t>
      </w:r>
      <w:r>
        <w:rPr>
          <w:rFonts w:ascii="Arial" w:hAnsi="Arial"/>
          <w:b/>
          <w:color w:val="0070C0"/>
        </w:rPr>
        <w:tab/>
      </w:r>
      <w:r>
        <w:rPr>
          <w:rFonts w:ascii="Arial" w:hAnsi="Arial"/>
          <w:b/>
          <w:color w:val="0070C0"/>
        </w:rPr>
        <w:tab/>
      </w:r>
      <w:r>
        <w:rPr>
          <w:rFonts w:hint="eastAsia" w:ascii="Arial" w:hAnsi="Arial"/>
          <w:b/>
        </w:rPr>
        <w:t>RAN3</w:t>
      </w:r>
    </w:p>
    <w:p>
      <w:pPr>
        <w:tabs>
          <w:tab w:val="left" w:pos="567"/>
        </w:tabs>
        <w:rPr>
          <w:rFonts w:ascii="Arial" w:hAnsi="Arial" w:eastAsiaTheme="minorEastAsia"/>
          <w:b/>
          <w:color w:val="0070C0"/>
          <w:lang w:eastAsia="zh-CN"/>
        </w:rPr>
      </w:pPr>
      <w:r>
        <w:rPr>
          <w:rFonts w:ascii="Arial" w:hAnsi="Arial"/>
          <w:b/>
        </w:rPr>
        <w:t>Release:</w:t>
      </w:r>
      <w:r>
        <w:rPr>
          <w:rFonts w:ascii="Arial" w:hAnsi="Arial"/>
          <w:b/>
        </w:rPr>
        <w:tab/>
      </w:r>
      <w:r>
        <w:rPr>
          <w:rFonts w:ascii="Arial" w:hAnsi="Arial"/>
          <w:b/>
        </w:rPr>
        <w:tab/>
      </w:r>
      <w:r>
        <w:rPr>
          <w:rFonts w:ascii="Arial" w:hAnsi="Arial"/>
          <w:b/>
        </w:rPr>
        <w:tab/>
      </w:r>
      <w:r>
        <w:rPr>
          <w:rFonts w:ascii="Arial" w:hAnsi="Arial"/>
          <w:b/>
        </w:rPr>
        <w:t>Rel-</w:t>
      </w:r>
      <w:r>
        <w:rPr>
          <w:rFonts w:hint="eastAsia" w:ascii="Arial" w:hAnsi="Arial"/>
          <w:b/>
        </w:rPr>
        <w:t>1</w:t>
      </w:r>
      <w:r>
        <w:rPr>
          <w:rFonts w:hint="eastAsia" w:ascii="Arial" w:hAnsi="Arial" w:eastAsiaTheme="minorEastAsia"/>
          <w:b/>
          <w:lang w:val="en-US" w:eastAsia="zh-CN"/>
        </w:rPr>
        <w:t>8</w:t>
      </w:r>
    </w:p>
    <w:p>
      <w:pPr>
        <w:pBdr>
          <w:bottom w:val="single" w:color="auto" w:sz="12" w:space="1"/>
        </w:pBdr>
        <w:tabs>
          <w:tab w:val="left" w:pos="567"/>
        </w:tabs>
      </w:pPr>
    </w:p>
    <w:p>
      <w:pPr>
        <w:pStyle w:val="4"/>
      </w:pPr>
      <w:r>
        <w:t>1</w:t>
      </w:r>
      <w:r>
        <w:tab/>
      </w:r>
      <w:r>
        <w:t>Introduction</w:t>
      </w:r>
    </w:p>
    <w:p>
      <w:pPr>
        <w:rPr>
          <w:rFonts w:eastAsia="宋体"/>
          <w:lang w:val="en-US" w:eastAsia="zh-CN"/>
        </w:rPr>
      </w:pPr>
      <w:r>
        <w:rPr>
          <w:rFonts w:hint="eastAsia" w:eastAsia="宋体"/>
          <w:lang w:eastAsia="zh-CN"/>
        </w:rPr>
        <w:t>This work item introduces</w:t>
      </w:r>
      <w:r>
        <w:rPr>
          <w:rFonts w:hint="eastAsia" w:eastAsia="宋体"/>
          <w:lang w:val="en-US" w:eastAsia="zh-CN"/>
        </w:rPr>
        <w:t xml:space="preserve"> </w:t>
      </w:r>
      <w:r>
        <w:rPr>
          <w:rFonts w:hint="eastAsia" w:eastAsia="宋体"/>
        </w:rPr>
        <w:t xml:space="preserve">data collection </w:t>
      </w:r>
      <w:r>
        <w:rPr>
          <w:rFonts w:hint="eastAsia" w:eastAsia="宋体"/>
          <w:lang w:val="en-US" w:eastAsia="zh-CN"/>
        </w:rPr>
        <w:t>f</w:t>
      </w:r>
      <w:r>
        <w:rPr>
          <w:rFonts w:hint="eastAsia" w:eastAsia="宋体"/>
          <w:lang w:eastAsia="zh-CN"/>
        </w:rPr>
        <w:t>urther</w:t>
      </w:r>
      <w:r>
        <w:rPr>
          <w:rFonts w:hint="eastAsia" w:eastAsia="宋体"/>
          <w:lang w:val="en-US" w:eastAsia="zh-CN"/>
        </w:rPr>
        <w:t xml:space="preserve"> </w:t>
      </w:r>
      <w:r>
        <w:rPr>
          <w:rFonts w:hint="eastAsia" w:eastAsia="宋体"/>
        </w:rPr>
        <w:t xml:space="preserve">enhancement in </w:t>
      </w:r>
      <w:r>
        <w:rPr>
          <w:rFonts w:hint="eastAsia" w:eastAsia="宋体"/>
          <w:lang w:eastAsia="zh-CN"/>
        </w:rPr>
        <w:t>NR standalone and MR-DC</w:t>
      </w:r>
      <w:r>
        <w:rPr>
          <w:rFonts w:hint="eastAsia" w:eastAsia="宋体"/>
        </w:rPr>
        <w:t xml:space="preserve"> </w:t>
      </w:r>
      <w:r>
        <w:rPr>
          <w:rFonts w:eastAsia="宋体"/>
        </w:rPr>
        <w:t>for SON/MDT purpose</w:t>
      </w:r>
      <w:r>
        <w:rPr>
          <w:rFonts w:hint="eastAsia" w:eastAsia="宋体"/>
          <w:lang w:val="en-US" w:eastAsia="zh-CN"/>
        </w:rPr>
        <w:t xml:space="preserve">, </w:t>
      </w:r>
      <w:r>
        <w:rPr>
          <w:rFonts w:hint="eastAsia" w:eastAsia="宋体"/>
          <w:lang w:eastAsia="zh-CN"/>
        </w:rPr>
        <w:t xml:space="preserve">including </w:t>
      </w:r>
      <w:r>
        <w:rPr>
          <w:rFonts w:eastAsia="宋体"/>
        </w:rPr>
        <w:t>SON/MDT enhancements for</w:t>
      </w:r>
      <w:r>
        <w:rPr>
          <w:rFonts w:hint="eastAsia" w:eastAsia="宋体"/>
          <w:lang w:val="en-US" w:eastAsia="zh-CN"/>
        </w:rPr>
        <w:t xml:space="preserve"> inter-RAT Successful Handover Report (inter-RAT SHR) and </w:t>
      </w:r>
      <w:bookmarkStart w:id="3" w:name="OLE_LINK2"/>
      <w:r>
        <w:rPr>
          <w:rFonts w:hint="eastAsia"/>
        </w:rPr>
        <w:t>S</w:t>
      </w:r>
      <w:r>
        <w:rPr>
          <w:rFonts w:eastAsia="宋体"/>
        </w:rPr>
        <w:t xml:space="preserve">uccessful PScell </w:t>
      </w:r>
      <w:r>
        <w:rPr>
          <w:rFonts w:hint="eastAsia" w:eastAsia="宋体"/>
          <w:lang w:val="en-US" w:eastAsia="zh-CN"/>
        </w:rPr>
        <w:t>C</w:t>
      </w:r>
      <w:r>
        <w:rPr>
          <w:rFonts w:eastAsia="宋体"/>
        </w:rPr>
        <w:t>hange</w:t>
      </w:r>
      <w:r>
        <w:rPr>
          <w:rFonts w:hint="eastAsia" w:eastAsia="宋体"/>
          <w:lang w:val="en-US" w:eastAsia="zh-CN"/>
        </w:rPr>
        <w:t xml:space="preserve"> R</w:t>
      </w:r>
      <w:r>
        <w:rPr>
          <w:rFonts w:eastAsia="宋体"/>
        </w:rPr>
        <w:t>eport</w:t>
      </w:r>
      <w:r>
        <w:rPr>
          <w:rFonts w:hint="eastAsia" w:eastAsia="宋体"/>
          <w:lang w:val="en-US" w:eastAsia="zh-CN"/>
        </w:rPr>
        <w:t xml:space="preserve"> (SPR)</w:t>
      </w:r>
      <w:bookmarkEnd w:id="3"/>
      <w:r>
        <w:rPr>
          <w:rFonts w:hint="eastAsia" w:eastAsia="宋体"/>
          <w:lang w:val="en-US" w:eastAsia="zh-CN"/>
        </w:rPr>
        <w:t xml:space="preserve">, MRO for </w:t>
      </w:r>
      <w:r>
        <w:rPr>
          <w:rFonts w:hint="eastAsia" w:eastAsia="宋体"/>
          <w:lang w:eastAsia="zh-CN"/>
        </w:rPr>
        <w:t>MR-DC</w:t>
      </w:r>
      <w:r>
        <w:rPr>
          <w:rFonts w:hint="eastAsia" w:eastAsia="宋体"/>
          <w:lang w:val="en-US" w:eastAsia="zh-CN"/>
        </w:rPr>
        <w:t xml:space="preserve"> </w:t>
      </w:r>
      <w:r>
        <w:t>Conditional PSCell Change</w:t>
      </w:r>
      <w:r>
        <w:rPr>
          <w:rFonts w:hint="eastAsia" w:eastAsia="宋体"/>
          <w:lang w:val="en-US" w:eastAsia="zh-CN"/>
        </w:rPr>
        <w:t xml:space="preserve"> </w:t>
      </w:r>
      <w:r>
        <w:rPr>
          <w:rFonts w:eastAsia="宋体"/>
          <w:lang w:val="en-US" w:eastAsia="zh-CN"/>
        </w:rPr>
        <w:t>(</w:t>
      </w:r>
      <w:r>
        <w:rPr>
          <w:rFonts w:hint="eastAsia" w:eastAsia="宋体"/>
          <w:lang w:val="en-US" w:eastAsia="zh-CN"/>
        </w:rPr>
        <w:t>CPC</w:t>
      </w:r>
      <w:r>
        <w:rPr>
          <w:rFonts w:eastAsia="宋体"/>
          <w:lang w:val="en-US" w:eastAsia="zh-CN"/>
        </w:rPr>
        <w:t>)</w:t>
      </w:r>
      <w:r>
        <w:rPr>
          <w:rFonts w:hint="eastAsia" w:eastAsia="宋体"/>
          <w:lang w:val="en-US" w:eastAsia="zh-CN"/>
        </w:rPr>
        <w:t xml:space="preserve"> and </w:t>
      </w:r>
      <w:r>
        <w:t>Conditional PSCell Addition</w:t>
      </w:r>
      <w:r>
        <w:rPr>
          <w:rFonts w:hint="eastAsia" w:eastAsia="宋体"/>
          <w:lang w:val="en-US" w:eastAsia="zh-CN"/>
        </w:rPr>
        <w:t xml:space="preserve"> </w:t>
      </w:r>
      <w:r>
        <w:rPr>
          <w:rFonts w:eastAsia="宋体"/>
          <w:lang w:val="en-US" w:eastAsia="zh-CN"/>
        </w:rPr>
        <w:t>(</w:t>
      </w:r>
      <w:r>
        <w:rPr>
          <w:rFonts w:hint="eastAsia" w:eastAsia="宋体"/>
          <w:lang w:val="en-US" w:eastAsia="zh-CN"/>
        </w:rPr>
        <w:t>CPA</w:t>
      </w:r>
      <w:r>
        <w:rPr>
          <w:rFonts w:eastAsia="宋体"/>
          <w:lang w:val="en-US" w:eastAsia="zh-CN"/>
        </w:rPr>
        <w:t>)</w:t>
      </w:r>
      <w:r>
        <w:rPr>
          <w:rFonts w:hint="eastAsia" w:eastAsia="宋体"/>
          <w:lang w:val="en-US" w:eastAsia="zh-CN"/>
        </w:rPr>
        <w:t>, F</w:t>
      </w:r>
      <w:r>
        <w:rPr>
          <w:rFonts w:eastAsia="宋体"/>
        </w:rPr>
        <w:t>ast MCG recovery</w:t>
      </w:r>
      <w:r>
        <w:rPr>
          <w:rFonts w:hint="eastAsia" w:eastAsia="宋体"/>
          <w:lang w:val="en-US" w:eastAsia="zh-CN"/>
        </w:rPr>
        <w:t>, I</w:t>
      </w:r>
      <w:r>
        <w:rPr>
          <w:rFonts w:eastAsia="宋体"/>
        </w:rPr>
        <w:t>nter-system handover voice fallback</w:t>
      </w:r>
      <w:r>
        <w:rPr>
          <w:rFonts w:hint="eastAsia" w:eastAsia="宋体"/>
          <w:lang w:val="en-US" w:eastAsia="zh-CN"/>
        </w:rPr>
        <w:t xml:space="preserve"> and MR-DC SCG failure, RACH Enhancements, SON/MDT Enhancements for Non-Public Networks</w:t>
      </w:r>
      <w:r>
        <w:rPr>
          <w:rFonts w:eastAsia="宋体"/>
          <w:lang w:val="en-US" w:eastAsia="zh-CN"/>
        </w:rPr>
        <w:t xml:space="preserve"> (NPN)</w:t>
      </w:r>
      <w:r>
        <w:rPr>
          <w:rFonts w:hint="eastAsia" w:eastAsia="宋体"/>
          <w:lang w:val="en-US" w:eastAsia="zh-CN"/>
        </w:rPr>
        <w:t>, SON for NR-U and MDT Enhancements.</w:t>
      </w:r>
    </w:p>
    <w:p>
      <w:pPr>
        <w:pStyle w:val="4"/>
      </w:pPr>
      <w:r>
        <w:t>2</w:t>
      </w:r>
      <w:r>
        <w:tab/>
      </w:r>
      <w:r>
        <w:t>Description</w:t>
      </w:r>
    </w:p>
    <w:p>
      <w:pPr>
        <w:rPr>
          <w:rFonts w:eastAsia="宋体"/>
          <w:lang w:val="en-US" w:eastAsia="zh-CN"/>
        </w:rPr>
      </w:pPr>
      <w:r>
        <w:rPr>
          <w:rFonts w:hint="eastAsia" w:eastAsia="宋体"/>
          <w:lang w:eastAsia="zh-CN"/>
        </w:rPr>
        <w:t>The key functionalities of this WI are described as below</w:t>
      </w:r>
      <w:r>
        <w:rPr>
          <w:rFonts w:hint="eastAsia" w:eastAsia="宋体"/>
          <w:lang w:val="en-US" w:eastAsia="zh-CN"/>
        </w:rPr>
        <w:t>.</w:t>
      </w:r>
    </w:p>
    <w:p>
      <w:pPr>
        <w:spacing w:before="360" w:beforeLines="100" w:afterLines="50"/>
        <w:rPr>
          <w:rFonts w:eastAsia="宋体"/>
          <w:b/>
          <w:u w:val="single"/>
          <w:lang w:eastAsia="zh-CN"/>
        </w:rPr>
      </w:pPr>
      <w:r>
        <w:rPr>
          <w:rFonts w:hint="eastAsia" w:eastAsia="宋体"/>
          <w:b/>
          <w:u w:val="single"/>
          <w:lang w:eastAsia="zh-CN"/>
        </w:rPr>
        <w:t>Inter-RAT SHR</w:t>
      </w:r>
    </w:p>
    <w:p>
      <w:pPr>
        <w:rPr>
          <w:rFonts w:eastAsia="宋体"/>
          <w:lang w:val="en-US" w:eastAsia="zh-CN"/>
        </w:rPr>
      </w:pPr>
      <w:bookmarkStart w:id="4" w:name="_Toc52551432"/>
      <w:bookmarkStart w:id="5" w:name="_Toc20403048"/>
      <w:bookmarkStart w:id="6" w:name="_Toc29372554"/>
      <w:bookmarkStart w:id="7" w:name="_Toc51971449"/>
      <w:bookmarkStart w:id="8" w:name="_Toc46502101"/>
      <w:r>
        <w:rPr>
          <w:color w:val="000000"/>
          <w:lang w:eastAsia="zh-CN"/>
        </w:rPr>
        <w:t>Successful Handovers Reports</w:t>
      </w:r>
      <w:r>
        <w:rPr>
          <w:rFonts w:hint="eastAsia"/>
          <w:color w:val="000000"/>
          <w:lang w:val="en-US" w:eastAsia="zh-CN"/>
        </w:rPr>
        <w:t xml:space="preserve"> (SHR)</w:t>
      </w:r>
      <w:r>
        <w:rPr>
          <w:rFonts w:hint="eastAsia"/>
          <w:color w:val="000000"/>
          <w:lang w:eastAsia="zh-CN"/>
        </w:rPr>
        <w:t xml:space="preserve"> is reported by </w:t>
      </w:r>
      <w:r>
        <w:rPr>
          <w:color w:val="000000"/>
          <w:lang w:eastAsia="zh-CN"/>
        </w:rPr>
        <w:t>the</w:t>
      </w:r>
      <w:r>
        <w:rPr>
          <w:rFonts w:hint="eastAsia"/>
          <w:color w:val="000000"/>
          <w:lang w:eastAsia="zh-CN"/>
        </w:rPr>
        <w:t xml:space="preserve"> UE </w:t>
      </w:r>
      <w:r>
        <w:rPr>
          <w:color w:val="000000"/>
          <w:lang w:eastAsia="zh-CN"/>
        </w:rPr>
        <w:t xml:space="preserve">to </w:t>
      </w:r>
      <w:r>
        <w:rPr>
          <w:rFonts w:hint="eastAsia"/>
          <w:color w:val="000000"/>
          <w:lang w:eastAsia="zh-CN"/>
        </w:rPr>
        <w:t>detect</w:t>
      </w:r>
      <w:r>
        <w:rPr>
          <w:color w:val="000000"/>
          <w:lang w:eastAsia="zh-CN"/>
        </w:rPr>
        <w:t xml:space="preserve"> </w:t>
      </w:r>
      <w:r>
        <w:rPr>
          <w:rFonts w:hint="eastAsia"/>
          <w:color w:val="000000"/>
          <w:lang w:val="en-US" w:eastAsia="zh-CN"/>
        </w:rPr>
        <w:t>near-</w:t>
      </w:r>
      <w:r>
        <w:rPr>
          <w:color w:val="000000"/>
          <w:lang w:eastAsia="zh-CN"/>
        </w:rPr>
        <w:t xml:space="preserve">failure events </w:t>
      </w:r>
      <w:r>
        <w:rPr>
          <w:rFonts w:hint="eastAsia"/>
          <w:color w:val="000000"/>
          <w:lang w:eastAsia="zh-CN"/>
        </w:rPr>
        <w:t>happened</w:t>
      </w:r>
      <w:r>
        <w:rPr>
          <w:color w:val="000000"/>
          <w:lang w:eastAsia="zh-CN"/>
        </w:rPr>
        <w:t xml:space="preserve"> during successful handovers</w:t>
      </w:r>
      <w:r>
        <w:rPr>
          <w:lang w:eastAsia="zh-CN"/>
        </w:rPr>
        <w:t>.</w:t>
      </w:r>
      <w:r>
        <w:t xml:space="preserve"> </w:t>
      </w:r>
      <w:r>
        <w:rPr>
          <w:rFonts w:hint="eastAsia" w:eastAsia="宋体"/>
          <w:lang w:val="en-US" w:eastAsia="zh-CN"/>
        </w:rPr>
        <w:t xml:space="preserve">Intra-NR SHR </w:t>
      </w:r>
      <w:bookmarkStart w:id="9" w:name="OLE_LINK9"/>
      <w:r>
        <w:rPr>
          <w:rFonts w:hint="eastAsia" w:eastAsia="宋体"/>
          <w:lang w:val="en-US" w:eastAsia="zh-CN"/>
        </w:rPr>
        <w:t>is introduced in Rel-17</w:t>
      </w:r>
      <w:bookmarkEnd w:id="9"/>
      <w:r>
        <w:rPr>
          <w:rFonts w:hint="eastAsia" w:eastAsia="宋体"/>
          <w:lang w:val="en-US" w:eastAsia="zh-CN"/>
        </w:rPr>
        <w:t xml:space="preserve">, and SHR for intra-system inter-RAT is introduced </w:t>
      </w:r>
      <w:bookmarkStart w:id="10" w:name="OLE_LINK12"/>
      <w:r>
        <w:rPr>
          <w:rFonts w:hint="eastAsia" w:eastAsia="宋体"/>
          <w:lang w:val="en-US" w:eastAsia="zh-CN"/>
        </w:rPr>
        <w:t>in Rel-18</w:t>
      </w:r>
      <w:bookmarkEnd w:id="10"/>
      <w:r>
        <w:rPr>
          <w:rFonts w:hint="eastAsia" w:eastAsia="宋体"/>
          <w:lang w:val="en-US" w:eastAsia="zh-CN"/>
        </w:rPr>
        <w:t xml:space="preserve">. </w:t>
      </w:r>
    </w:p>
    <w:p>
      <w:pPr>
        <w:rPr>
          <w:rFonts w:eastAsia="宋体"/>
          <w:lang w:val="en-US" w:eastAsia="zh-CN"/>
        </w:rPr>
      </w:pPr>
      <w:r>
        <w:rPr>
          <w:rFonts w:hint="eastAsia" w:eastAsia="宋体"/>
          <w:lang w:val="en-US" w:eastAsia="zh-CN"/>
        </w:rPr>
        <w:t xml:space="preserve">Inter-RAT SHR from NR to LTE is treated first in Rel-18 and it can be triggered by </w:t>
      </w:r>
      <w:bookmarkStart w:id="11" w:name="OLE_LINK14"/>
      <w:r>
        <w:rPr>
          <w:rFonts w:hint="eastAsia" w:eastAsia="宋体"/>
          <w:lang w:val="en-US" w:eastAsia="zh-CN"/>
        </w:rPr>
        <w:t>T310/T312</w:t>
      </w:r>
      <w:bookmarkEnd w:id="11"/>
      <w:r>
        <w:rPr>
          <w:rFonts w:hint="eastAsia" w:eastAsia="宋体"/>
          <w:lang w:val="en-US" w:eastAsia="zh-CN"/>
        </w:rPr>
        <w:t xml:space="preserve"> </w:t>
      </w:r>
      <w:bookmarkStart w:id="12" w:name="OLE_LINK11"/>
      <w:r>
        <w:rPr>
          <w:rFonts w:hint="eastAsia" w:eastAsia="宋体"/>
          <w:lang w:val="en-US" w:eastAsia="zh-CN"/>
        </w:rPr>
        <w:t>threshold</w:t>
      </w:r>
      <w:bookmarkEnd w:id="12"/>
      <w:r>
        <w:rPr>
          <w:rFonts w:hint="eastAsia" w:eastAsia="宋体"/>
          <w:lang w:val="en-US" w:eastAsia="zh-CN"/>
        </w:rPr>
        <w:t>s provided by the source node. If a UE s</w:t>
      </w:r>
      <w:r>
        <w:rPr>
          <w:color w:val="000000"/>
          <w:lang w:eastAsia="zh-CN"/>
        </w:rPr>
        <w:t>uccessful</w:t>
      </w:r>
      <w:r>
        <w:rPr>
          <w:rFonts w:hint="eastAsia"/>
          <w:color w:val="000000"/>
          <w:lang w:val="en-US" w:eastAsia="zh-CN"/>
        </w:rPr>
        <w:t>ly</w:t>
      </w:r>
      <w:r>
        <w:rPr>
          <w:color w:val="000000"/>
          <w:lang w:eastAsia="zh-CN"/>
        </w:rPr>
        <w:t xml:space="preserve"> </w:t>
      </w:r>
      <w:r>
        <w:rPr>
          <w:rFonts w:hint="eastAsia"/>
          <w:color w:val="000000"/>
          <w:lang w:val="en-US" w:eastAsia="zh-CN"/>
        </w:rPr>
        <w:t>h</w:t>
      </w:r>
      <w:r>
        <w:rPr>
          <w:color w:val="000000"/>
          <w:lang w:eastAsia="zh-CN"/>
        </w:rPr>
        <w:t>andover</w:t>
      </w:r>
      <w:r>
        <w:rPr>
          <w:rFonts w:hint="eastAsia"/>
          <w:color w:val="000000"/>
          <w:lang w:val="en-US" w:eastAsia="zh-CN"/>
        </w:rPr>
        <w:t xml:space="preserve"> from </w:t>
      </w:r>
      <w:r>
        <w:rPr>
          <w:rFonts w:hint="eastAsia" w:eastAsia="宋体"/>
          <w:lang w:val="en-US" w:eastAsia="zh-CN"/>
        </w:rPr>
        <w:t xml:space="preserve">NR to LTE but the </w:t>
      </w:r>
      <w:bookmarkStart w:id="13" w:name="OLE_LINK13"/>
      <w:r>
        <w:rPr>
          <w:rFonts w:hint="eastAsia" w:eastAsia="宋体"/>
          <w:lang w:val="en-US" w:eastAsia="zh-CN"/>
        </w:rPr>
        <w:t>elapsed</w:t>
      </w:r>
      <w:bookmarkEnd w:id="13"/>
      <w:r>
        <w:rPr>
          <w:rFonts w:hint="eastAsia" w:eastAsia="宋体"/>
          <w:lang w:val="en-US" w:eastAsia="zh-CN"/>
        </w:rPr>
        <w:t xml:space="preserve"> T310/T312 </w:t>
      </w:r>
      <w:r>
        <w:rPr>
          <w:rFonts w:hint="eastAsia"/>
        </w:rPr>
        <w:t xml:space="preserve">exceeds </w:t>
      </w:r>
      <w:r>
        <w:rPr>
          <w:rFonts w:hint="eastAsia" w:eastAsia="宋体"/>
          <w:lang w:val="en-US" w:eastAsia="zh-CN"/>
        </w:rPr>
        <w:t xml:space="preserve">SHR trigger, it is considered to have a high risk of failure. UE generates Inter-RAT SHR including the </w:t>
      </w:r>
      <w:bookmarkStart w:id="14" w:name="OLE_LINK15"/>
      <w:r>
        <w:rPr>
          <w:rFonts w:hint="eastAsia" w:eastAsia="宋体"/>
          <w:lang w:val="en-US" w:eastAsia="zh-CN"/>
        </w:rPr>
        <w:t>parameters</w:t>
      </w:r>
      <w:bookmarkEnd w:id="14"/>
      <w:r>
        <w:rPr>
          <w:rFonts w:hint="eastAsia" w:eastAsia="宋体"/>
          <w:lang w:val="en-US" w:eastAsia="zh-CN"/>
        </w:rPr>
        <w:t>, e.g. Source NR cell informatio, Target LTE cell information, Measurement results for source, target and neighbours, Cause to indicate which inter-RAT SHR triggering condition was met, UE location Information, which are useful for network to optimize inter-RAT successful handover from NR to LTE. For handover from NR to LTE, cross-RAT reporting is not supported, that means UE</w:t>
      </w:r>
      <w:r>
        <w:rPr>
          <w:rFonts w:eastAsia="宋体"/>
          <w:lang w:val="en-US" w:eastAsia="zh-CN"/>
        </w:rPr>
        <w:t xml:space="preserve"> can only</w:t>
      </w:r>
      <w:r>
        <w:rPr>
          <w:rFonts w:hint="eastAsia" w:eastAsia="宋体"/>
          <w:lang w:val="en-US" w:eastAsia="zh-CN"/>
        </w:rPr>
        <w:t xml:space="preserve"> report the SHR report</w:t>
      </w:r>
      <w:r>
        <w:rPr>
          <w:rFonts w:eastAsia="宋体"/>
          <w:lang w:val="en-US" w:eastAsia="zh-CN"/>
        </w:rPr>
        <w:t xml:space="preserve"> (if available)</w:t>
      </w:r>
      <w:r>
        <w:rPr>
          <w:rFonts w:hint="eastAsia" w:eastAsia="宋体"/>
          <w:lang w:val="en-US" w:eastAsia="zh-CN"/>
        </w:rPr>
        <w:t xml:space="preserve"> to the network when it comes back to NR. Then the receiving node forwards the inter-RAT SHR to corresponding node which generates the SHR trigger condition that triggers the inter-RAT SHR.</w:t>
      </w:r>
    </w:p>
    <w:bookmarkEnd w:id="4"/>
    <w:bookmarkEnd w:id="5"/>
    <w:bookmarkEnd w:id="6"/>
    <w:bookmarkEnd w:id="7"/>
    <w:bookmarkEnd w:id="8"/>
    <w:p>
      <w:pPr>
        <w:spacing w:before="360" w:beforeLines="100" w:afterLines="50"/>
        <w:rPr>
          <w:rFonts w:eastAsia="宋体"/>
          <w:b/>
          <w:u w:val="single"/>
          <w:lang w:eastAsia="zh-CN"/>
        </w:rPr>
      </w:pPr>
      <w:r>
        <w:rPr>
          <w:rFonts w:hint="eastAsia" w:eastAsia="宋体"/>
          <w:b/>
          <w:u w:val="single"/>
          <w:lang w:eastAsia="zh-CN"/>
        </w:rPr>
        <w:t xml:space="preserve">Successful PScell </w:t>
      </w:r>
      <w:r>
        <w:rPr>
          <w:rFonts w:hint="eastAsia" w:eastAsia="宋体"/>
          <w:b/>
          <w:u w:val="single"/>
          <w:lang w:val="en-US" w:eastAsia="zh-CN"/>
        </w:rPr>
        <w:t>C</w:t>
      </w:r>
      <w:r>
        <w:rPr>
          <w:rFonts w:hint="eastAsia" w:eastAsia="宋体"/>
          <w:b/>
          <w:u w:val="single"/>
          <w:lang w:eastAsia="zh-CN"/>
        </w:rPr>
        <w:t xml:space="preserve">hange </w:t>
      </w:r>
      <w:r>
        <w:rPr>
          <w:rFonts w:hint="eastAsia" w:eastAsia="宋体"/>
          <w:b/>
          <w:u w:val="single"/>
          <w:lang w:val="en-US" w:eastAsia="zh-CN"/>
        </w:rPr>
        <w:t>R</w:t>
      </w:r>
      <w:r>
        <w:rPr>
          <w:rFonts w:hint="eastAsia" w:eastAsia="宋体"/>
          <w:b/>
          <w:u w:val="single"/>
          <w:lang w:eastAsia="zh-CN"/>
        </w:rPr>
        <w:t>eport (SPR)</w:t>
      </w:r>
    </w:p>
    <w:p>
      <w:pPr>
        <w:jc w:val="both"/>
        <w:rPr>
          <w:lang w:val="en-US" w:eastAsia="zh-CN"/>
        </w:rPr>
      </w:pPr>
      <w:bookmarkStart w:id="15" w:name="_Hlk46846606"/>
      <w:r>
        <w:rPr>
          <w:rFonts w:hint="eastAsia"/>
          <w:lang w:eastAsia="zh-CN"/>
        </w:rPr>
        <w:t>The objective of Successful PSCell change Report (SPR) is to detect sub-optimal successful PSCell change/CPC or successful PSCell addition/CPA.</w:t>
      </w:r>
      <w:r>
        <w:rPr>
          <w:rFonts w:hint="eastAsia"/>
          <w:lang w:val="en-US" w:eastAsia="zh-CN"/>
        </w:rPr>
        <w:t xml:space="preserve"> For analysis of such sub-optimal successful PSCell change/CPC and successful PSCell addition/CPA, the UE </w:t>
      </w:r>
      <w:r>
        <w:rPr>
          <w:rFonts w:hint="eastAsia" w:eastAsia="宋体"/>
          <w:lang w:val="en-US" w:eastAsia="zh-CN"/>
        </w:rPr>
        <w:t>generates</w:t>
      </w:r>
      <w:r>
        <w:rPr>
          <w:rFonts w:hint="eastAsia"/>
          <w:lang w:val="en-US" w:eastAsia="zh-CN"/>
        </w:rPr>
        <w:t xml:space="preserve"> SPR based on the SPR triggers configured by the network. SPR triggers could be </w:t>
      </w:r>
      <w:r>
        <w:rPr>
          <w:rFonts w:eastAsiaTheme="minorEastAsia"/>
          <w:lang w:val="en-US" w:eastAsia="zh-CN"/>
        </w:rPr>
        <w:t>T310/T312</w:t>
      </w:r>
      <w:r>
        <w:rPr>
          <w:rFonts w:hint="eastAsia" w:eastAsiaTheme="minorEastAsia"/>
          <w:lang w:val="en-US" w:eastAsia="zh-CN"/>
        </w:rPr>
        <w:t>/</w:t>
      </w:r>
      <w:r>
        <w:rPr>
          <w:rFonts w:eastAsiaTheme="minorEastAsia"/>
          <w:lang w:val="en-US" w:eastAsia="zh-CN"/>
        </w:rPr>
        <w:t>T304 trigger</w:t>
      </w:r>
      <w:r>
        <w:rPr>
          <w:rFonts w:hint="eastAsia" w:eastAsiaTheme="minorEastAsia"/>
          <w:lang w:val="en-US" w:eastAsia="zh-CN"/>
        </w:rPr>
        <w:t xml:space="preserve"> and </w:t>
      </w:r>
      <w:r>
        <w:rPr>
          <w:rFonts w:hint="eastAsia"/>
          <w:lang w:eastAsia="zh-CN"/>
        </w:rPr>
        <w:t>Successful PSCell change Report</w:t>
      </w:r>
      <w:r>
        <w:rPr>
          <w:rFonts w:hint="eastAsia"/>
          <w:lang w:val="en-US" w:eastAsia="zh-CN"/>
        </w:rPr>
        <w:t xml:space="preserve"> includes the information e.g. Source PSCell information, Target PSCell information, SPR cause value, Latest measurement results, Location information of the UE, Time elapsed between the CPAC execution and reception of CPAC configuration, etc. In case the SPR is retrieved in a “new node” (different from the node that sent the SPR configuration to the UE i.e., “old MN”), the SPR is always sent from the “new node” to the “old MN” which then forwards to the respective node(s) which should perform SPR</w:t>
      </w:r>
      <w:r>
        <w:rPr>
          <w:lang w:val="en-US" w:eastAsia="zh-CN"/>
        </w:rPr>
        <w:t xml:space="preserve"> related</w:t>
      </w:r>
      <w:r>
        <w:rPr>
          <w:rFonts w:hint="eastAsia"/>
          <w:lang w:val="en-US" w:eastAsia="zh-CN"/>
        </w:rPr>
        <w:t xml:space="preserve"> optimization</w:t>
      </w:r>
      <w:r>
        <w:rPr>
          <w:lang w:val="en-US" w:eastAsia="zh-CN"/>
        </w:rPr>
        <w:t>s</w:t>
      </w:r>
      <w:r>
        <w:rPr>
          <w:rFonts w:hint="eastAsia"/>
          <w:lang w:val="en-US" w:eastAsia="zh-CN"/>
        </w:rPr>
        <w:t>.</w:t>
      </w:r>
    </w:p>
    <w:p>
      <w:pPr>
        <w:ind w:left="400" w:leftChars="200"/>
        <w:rPr>
          <w:rFonts w:eastAsiaTheme="minorEastAsia"/>
          <w:lang w:val="en-US" w:eastAsia="zh-CN"/>
        </w:rPr>
      </w:pPr>
      <w:r>
        <w:rPr>
          <w:rFonts w:hint="eastAsia" w:eastAsiaTheme="minorEastAsia"/>
          <w:lang w:val="en-US" w:eastAsia="zh-CN"/>
        </w:rPr>
        <w:t xml:space="preserve">- </w:t>
      </w:r>
      <w:r>
        <w:rPr>
          <w:rFonts w:eastAsiaTheme="minorEastAsia"/>
          <w:lang w:val="en-US" w:eastAsia="zh-CN"/>
        </w:rPr>
        <w:t>For SN-initiated PSCell change/CPC, the source SN decides the T310/T312 triggers for SPR and is responsible for SPR related optimizations e.g., to optimize PSCell change/CPC configuration or associated mobility thresholds or adjust T310/T312 timer values.</w:t>
      </w:r>
    </w:p>
    <w:p>
      <w:pPr>
        <w:ind w:left="400" w:leftChars="200"/>
        <w:rPr>
          <w:rFonts w:eastAsiaTheme="minorEastAsia"/>
          <w:lang w:val="en-US" w:eastAsia="zh-CN"/>
        </w:rPr>
      </w:pPr>
      <w:r>
        <w:rPr>
          <w:rFonts w:hint="eastAsia" w:eastAsiaTheme="minorEastAsia"/>
          <w:lang w:val="en-US" w:eastAsia="zh-CN"/>
        </w:rPr>
        <w:t xml:space="preserve">- </w:t>
      </w:r>
      <w:r>
        <w:rPr>
          <w:rFonts w:eastAsiaTheme="minorEastAsia"/>
          <w:lang w:val="en-US" w:eastAsia="zh-CN"/>
        </w:rPr>
        <w:t xml:space="preserve">For MN-initiated PSCell change/CPC, the MN decides the T310/T312 triggers for SPR. MN may </w:t>
      </w:r>
      <w:bookmarkStart w:id="16" w:name="OLE_LINK16"/>
      <w:r>
        <w:rPr>
          <w:rFonts w:eastAsiaTheme="minorEastAsia"/>
          <w:lang w:val="en-US" w:eastAsia="zh-CN"/>
        </w:rPr>
        <w:t>optimize PSCell change/CPC configuration or associated mobility thresholds</w:t>
      </w:r>
      <w:bookmarkEnd w:id="16"/>
      <w:r>
        <w:rPr>
          <w:rFonts w:eastAsiaTheme="minorEastAsia"/>
          <w:lang w:val="en-US" w:eastAsia="zh-CN"/>
        </w:rPr>
        <w:t xml:space="preserve"> or both. Source SN may optimize lower layer issues e.g., adjust T310/T312 timer values.</w:t>
      </w:r>
    </w:p>
    <w:p>
      <w:pPr>
        <w:ind w:left="400" w:leftChars="200"/>
        <w:rPr>
          <w:rFonts w:eastAsiaTheme="minorEastAsia"/>
          <w:lang w:val="en-US" w:eastAsia="zh-CN"/>
        </w:rPr>
      </w:pPr>
      <w:r>
        <w:rPr>
          <w:rFonts w:hint="eastAsia" w:eastAsiaTheme="minorEastAsia"/>
          <w:lang w:val="en-US" w:eastAsia="zh-CN"/>
        </w:rPr>
        <w:t xml:space="preserve">- </w:t>
      </w:r>
      <w:r>
        <w:rPr>
          <w:rFonts w:eastAsiaTheme="minorEastAsia"/>
          <w:lang w:val="en-US" w:eastAsia="zh-CN"/>
        </w:rPr>
        <w:t>For PSCell addition/CPA and PSCell change/CPC (MN or SN initiated), the target SN always decides the T304 trigger for SPR and performs root cause analysis.</w:t>
      </w:r>
      <w:r>
        <w:rPr>
          <w:rFonts w:hint="eastAsia" w:eastAsiaTheme="minorEastAsia"/>
          <w:lang w:val="en-US" w:eastAsia="zh-CN"/>
        </w:rPr>
        <w:t xml:space="preserve"> The objective of T304 SPR trigger is to optimize RACH access issues in target SN.</w:t>
      </w:r>
    </w:p>
    <w:bookmarkEnd w:id="15"/>
    <w:p>
      <w:pPr>
        <w:spacing w:before="360" w:beforeLines="100" w:afterLines="50"/>
        <w:rPr>
          <w:rFonts w:eastAsia="宋体"/>
          <w:b/>
          <w:u w:val="single"/>
          <w:lang w:val="en-US" w:eastAsia="zh-CN"/>
        </w:rPr>
      </w:pPr>
      <w:r>
        <w:rPr>
          <w:rFonts w:hint="eastAsia" w:eastAsia="宋体"/>
          <w:b/>
          <w:u w:val="single"/>
          <w:lang w:eastAsia="zh-CN"/>
        </w:rPr>
        <w:t>MRO for CPC and CPA</w:t>
      </w:r>
      <w:r>
        <w:rPr>
          <w:rFonts w:hint="eastAsia" w:eastAsia="宋体"/>
          <w:b/>
          <w:u w:val="single"/>
          <w:lang w:val="en-US" w:eastAsia="zh-CN"/>
        </w:rPr>
        <w:t>(CPAC)</w:t>
      </w:r>
    </w:p>
    <w:p>
      <w:pPr>
        <w:rPr>
          <w:lang w:val="en-US" w:eastAsia="zh-CN"/>
        </w:rPr>
      </w:pPr>
      <w:r>
        <w:rPr>
          <w:rFonts w:hint="eastAsia"/>
          <w:lang w:val="en-US" w:eastAsia="zh-CN"/>
        </w:rPr>
        <w:t xml:space="preserve">MRO for CPC and CPA is to detect </w:t>
      </w:r>
      <w:bookmarkStart w:id="17" w:name="OLE_LINK7"/>
      <w:r>
        <w:rPr>
          <w:rFonts w:hint="eastAsia"/>
          <w:lang w:val="en-US" w:eastAsia="zh-CN"/>
        </w:rPr>
        <w:t>CPAC failures</w:t>
      </w:r>
      <w:bookmarkEnd w:id="17"/>
      <w:r>
        <w:rPr>
          <w:rFonts w:hint="eastAsia"/>
          <w:lang w:val="en-US" w:eastAsia="zh-CN"/>
        </w:rPr>
        <w:t xml:space="preserve"> that occur due to Too late CPC execution or Too early CPC/CPA execution, or CPC/CPA execution to wrong PSCell and to help </w:t>
      </w:r>
      <w:bookmarkStart w:id="18" w:name="OLE_LINK8"/>
      <w:r>
        <w:rPr>
          <w:rFonts w:hint="eastAsia"/>
          <w:lang w:val="en-US" w:eastAsia="zh-CN"/>
        </w:rPr>
        <w:t>network identify the problem node</w:t>
      </w:r>
      <w:bookmarkEnd w:id="18"/>
      <w:r>
        <w:rPr>
          <w:rFonts w:hint="eastAsia"/>
          <w:lang w:val="en-US" w:eastAsia="zh-CN"/>
        </w:rPr>
        <w:t xml:space="preserve">(e.g. MN, source SN or (candidate) target SN) in the procedure of CPAC. </w:t>
      </w:r>
    </w:p>
    <w:p>
      <w:pPr>
        <w:rPr>
          <w:rFonts w:eastAsia="等线"/>
          <w:lang w:val="en-US" w:eastAsia="zh-CN"/>
        </w:rPr>
      </w:pPr>
      <w:r>
        <w:rPr>
          <w:rFonts w:hint="eastAsia"/>
          <w:lang w:val="en-US" w:eastAsia="zh-CN"/>
        </w:rPr>
        <w:t xml:space="preserve">When CPAC failure occurs, UE reports SCGFailureInformation message to MN, including </w:t>
      </w:r>
      <w:r>
        <w:rPr>
          <w:bCs/>
        </w:rPr>
        <w:t>Source PSCell info</w:t>
      </w:r>
      <w:r>
        <w:rPr>
          <w:rFonts w:hint="eastAsia" w:eastAsia="宋体"/>
          <w:bCs/>
          <w:lang w:val="en-US" w:eastAsia="zh-CN"/>
        </w:rPr>
        <w:t xml:space="preserve">, </w:t>
      </w:r>
      <w:r>
        <w:rPr>
          <w:bCs/>
        </w:rPr>
        <w:t>Target PScell info</w:t>
      </w:r>
      <w:r>
        <w:rPr>
          <w:rFonts w:hint="eastAsia" w:eastAsia="宋体"/>
          <w:bCs/>
          <w:lang w:val="en-US" w:eastAsia="zh-CN"/>
        </w:rPr>
        <w:t xml:space="preserve">, </w:t>
      </w:r>
      <w:r>
        <w:rPr>
          <w:bCs/>
        </w:rPr>
        <w:t>Latest radio measurements of neighbour cell(s)</w:t>
      </w:r>
      <w:r>
        <w:rPr>
          <w:rFonts w:hint="eastAsia" w:eastAsia="宋体"/>
          <w:bCs/>
          <w:lang w:val="en-US" w:eastAsia="zh-CN"/>
        </w:rPr>
        <w:t xml:space="preserve">, </w:t>
      </w:r>
      <w:r>
        <w:rPr>
          <w:bCs/>
        </w:rPr>
        <w:t>the type of the first triggered CPAC event</w:t>
      </w:r>
      <w:r>
        <w:rPr>
          <w:rFonts w:hint="eastAsia" w:eastAsia="宋体"/>
          <w:bCs/>
          <w:lang w:val="en-US" w:eastAsia="zh-CN"/>
        </w:rPr>
        <w:t xml:space="preserve"> and </w:t>
      </w:r>
      <w:r>
        <w:rPr>
          <w:bCs/>
        </w:rPr>
        <w:t>the time duration between the two triggered CPAC events if multiple events are configured</w:t>
      </w:r>
      <w:r>
        <w:rPr>
          <w:rFonts w:hint="eastAsia"/>
          <w:lang w:val="en-US" w:eastAsia="zh-CN"/>
        </w:rPr>
        <w:t xml:space="preserve">. And then the MN performs the initial analysis when SCGFailureInformation is received from the UE e.g. whether it is CPA or CPC, if CPC whether it is MN initiated or SN initiated. </w:t>
      </w:r>
      <w:r>
        <w:rPr>
          <w:lang w:val="en-US" w:eastAsia="zh-CN"/>
        </w:rPr>
        <w:t>For CPA or MN initiated CPC</w:t>
      </w:r>
      <w:r>
        <w:rPr>
          <w:rFonts w:hint="eastAsia"/>
          <w:lang w:val="en-US" w:eastAsia="zh-CN"/>
        </w:rPr>
        <w:t xml:space="preserve">, </w:t>
      </w:r>
      <w:r>
        <w:rPr>
          <w:rFonts w:hint="eastAsia" w:eastAsia="等线"/>
          <w:lang w:val="en-US" w:eastAsia="zh-CN"/>
        </w:rPr>
        <w:t xml:space="preserve">the procedure is initiated by MN, and the possible problem node is MN or the (candidate) target SN. For </w:t>
      </w:r>
      <w:bookmarkStart w:id="19" w:name="OLE_LINK43"/>
      <w:r>
        <w:rPr>
          <w:rFonts w:hint="eastAsia" w:eastAsia="等线"/>
          <w:lang w:val="en-US" w:eastAsia="zh-CN"/>
        </w:rPr>
        <w:t>SN initiated CPC</w:t>
      </w:r>
      <w:bookmarkEnd w:id="19"/>
      <w:r>
        <w:rPr>
          <w:rFonts w:hint="eastAsia" w:eastAsia="等线"/>
          <w:lang w:val="en-US" w:eastAsia="zh-CN"/>
        </w:rPr>
        <w:t xml:space="preserve">, the procedure is initiated by source SN and the possible problem node is the source SN or the (candidate) target SN. After the root cause analysis, </w:t>
      </w:r>
      <w:r>
        <w:rPr>
          <w:rFonts w:hint="eastAsia"/>
          <w:lang w:val="en-US" w:eastAsia="zh-CN"/>
        </w:rPr>
        <w:t xml:space="preserve">network identify the problem node and the relevant node </w:t>
      </w:r>
      <w:r>
        <w:rPr>
          <w:rFonts w:hint="eastAsia" w:eastAsia="等线"/>
          <w:lang w:val="en-US" w:eastAsia="zh-CN"/>
        </w:rPr>
        <w:t xml:space="preserve">should to </w:t>
      </w:r>
      <w:r>
        <w:rPr>
          <w:rFonts w:eastAsia="等线"/>
          <w:lang w:val="en-US" w:eastAsia="zh-CN"/>
        </w:rPr>
        <w:t>make the optimization</w:t>
      </w:r>
      <w:r>
        <w:rPr>
          <w:rFonts w:hint="eastAsia" w:eastAsia="等线"/>
          <w:lang w:val="en-US" w:eastAsia="zh-CN"/>
        </w:rPr>
        <w:t>.</w:t>
      </w:r>
    </w:p>
    <w:p>
      <w:pPr>
        <w:spacing w:before="360" w:beforeLines="100" w:afterLines="50"/>
        <w:rPr>
          <w:rFonts w:eastAsia="宋体"/>
          <w:b/>
          <w:u w:val="single"/>
          <w:lang w:eastAsia="zh-CN"/>
        </w:rPr>
      </w:pPr>
      <w:r>
        <w:rPr>
          <w:rFonts w:hint="eastAsia" w:eastAsia="宋体"/>
          <w:b/>
          <w:u w:val="single"/>
          <w:lang w:eastAsia="zh-CN"/>
        </w:rPr>
        <w:t>MRO for the fast MCG recovery</w:t>
      </w:r>
    </w:p>
    <w:p>
      <w:pPr>
        <w:rPr>
          <w:lang w:val="en-US" w:eastAsia="zh-CN"/>
        </w:rPr>
      </w:pPr>
      <w:r>
        <w:rPr>
          <w:rFonts w:hint="eastAsia"/>
          <w:lang w:val="en-US" w:eastAsia="zh-CN"/>
        </w:rPr>
        <w:t>The fast MCG recovery feature introduced in Rel-16 aims to decrease the connection interruption time during radio link failure (RLF). For the successful Fast MCG recovery, UE in MR-DC does not trigger RRC re-establishment upon detecting an RLF. Instead, it suspends the MCG transmissions of all bearers and prepares an MCGFailureInformation message, containing the reason for failure and any available measurements at the time of failure. Then the UE sends the message to the network via the SCG. Upon receiving the MCGFailureInformation message from the UE, the MN determines the best action to address the MCG failure, for example, sends a reconfiguration to change the Primary Cell of the UE to a better cell to restore the MCG connectivity or an RRC release message to the UE to release the connection if no suitable target cell is determined.</w:t>
      </w:r>
    </w:p>
    <w:p>
      <w:pPr>
        <w:rPr>
          <w:rFonts w:eastAsiaTheme="minorEastAsia"/>
          <w:lang w:val="en-US" w:eastAsia="zh-CN"/>
        </w:rPr>
      </w:pPr>
      <w:bookmarkStart w:id="20" w:name="OLE_LINK3"/>
      <w:r>
        <w:rPr>
          <w:rFonts w:hint="eastAsia" w:eastAsiaTheme="minorEastAsia"/>
          <w:lang w:val="en-US" w:eastAsia="zh-CN"/>
        </w:rPr>
        <w:t>MRO</w:t>
      </w:r>
      <w:r>
        <w:rPr>
          <w:rFonts w:hint="eastAsia" w:eastAsiaTheme="minorEastAsia"/>
          <w:lang w:eastAsia="zh-CN"/>
        </w:rPr>
        <w:t xml:space="preserve"> enhancement for fast MCG recovery</w:t>
      </w:r>
      <w:bookmarkEnd w:id="20"/>
      <w:r>
        <w:rPr>
          <w:rFonts w:hint="eastAsia" w:eastAsiaTheme="minorEastAsia"/>
          <w:lang w:eastAsia="zh-CN"/>
        </w:rPr>
        <w:t xml:space="preserve"> is not to optimize the </w:t>
      </w:r>
      <w:r>
        <w:rPr>
          <w:rFonts w:eastAsiaTheme="minorEastAsia"/>
          <w:lang w:eastAsia="zh-CN"/>
        </w:rPr>
        <w:t>procedure</w:t>
      </w:r>
      <w:r>
        <w:rPr>
          <w:rFonts w:hint="eastAsia" w:eastAsiaTheme="minorEastAsia"/>
          <w:lang w:eastAsia="zh-CN"/>
        </w:rPr>
        <w:t xml:space="preserve"> defined in Rel-16, the intention is to avoid the failure of fast MCG recovery or near failure fast MCG recovery based on the information reported by the UE and exchanged among network interface.</w:t>
      </w:r>
      <w:r>
        <w:rPr>
          <w:rFonts w:hint="eastAsia" w:eastAsiaTheme="minorEastAsia"/>
          <w:lang w:val="en-US" w:eastAsia="zh-CN"/>
        </w:rPr>
        <w:t xml:space="preserve"> And the following scenarios are included in MRO</w:t>
      </w:r>
      <w:r>
        <w:rPr>
          <w:rFonts w:hint="eastAsia" w:eastAsiaTheme="minorEastAsia"/>
          <w:lang w:eastAsia="zh-CN"/>
        </w:rPr>
        <w:t xml:space="preserve"> enhancement for fast MCG recovery</w:t>
      </w:r>
      <w:r>
        <w:rPr>
          <w:rFonts w:hint="eastAsia" w:eastAsiaTheme="minorEastAsia"/>
          <w:lang w:val="en-US" w:eastAsia="zh-CN"/>
        </w:rPr>
        <w:t xml:space="preserve"> in Rel-18:</w:t>
      </w:r>
    </w:p>
    <w:p>
      <w:pPr>
        <w:ind w:left="400" w:leftChars="200"/>
        <w:rPr>
          <w:rFonts w:eastAsiaTheme="minorEastAsia"/>
          <w:lang w:val="en-US" w:eastAsia="zh-CN"/>
        </w:rPr>
      </w:pPr>
      <w:r>
        <w:rPr>
          <w:rFonts w:hint="eastAsia" w:eastAsiaTheme="minorEastAsia"/>
          <w:lang w:val="en-US" w:eastAsia="zh-CN"/>
        </w:rPr>
        <w:t xml:space="preserve">- Fast MCG recovery failure </w:t>
      </w:r>
      <w:r>
        <w:rPr>
          <w:rFonts w:eastAsiaTheme="minorEastAsia"/>
          <w:kern w:val="2"/>
          <w:lang w:val="de-DE" w:eastAsia="zh-CN"/>
        </w:rPr>
        <w:t>case</w:t>
      </w:r>
      <w:r>
        <w:rPr>
          <w:rFonts w:hint="eastAsia" w:eastAsiaTheme="minorEastAsia"/>
          <w:kern w:val="2"/>
          <w:lang w:val="en-US" w:eastAsia="zh-CN"/>
        </w:rPr>
        <w:t>s</w:t>
      </w:r>
      <w:r>
        <w:rPr>
          <w:rFonts w:hint="eastAsia" w:eastAsiaTheme="minorEastAsia"/>
          <w:lang w:val="en-US" w:eastAsia="zh-CN"/>
        </w:rPr>
        <w:t xml:space="preserve">, </w:t>
      </w:r>
      <w:r>
        <w:rPr>
          <w:rFonts w:eastAsiaTheme="minorEastAsia"/>
          <w:kern w:val="2"/>
          <w:lang w:val="de-DE" w:eastAsia="zh-CN"/>
        </w:rPr>
        <w:t xml:space="preserve">i.e. </w:t>
      </w:r>
      <w:r>
        <w:rPr>
          <w:rFonts w:hint="eastAsia" w:eastAsiaTheme="minorEastAsia"/>
          <w:lang w:val="en-US" w:eastAsia="zh-CN"/>
        </w:rPr>
        <w:t>SCG fails when the UE is undergoing fast MCG recovery (i.e. SCG failure happens while T316 is running), or the signalling delay is longer than the time the UE waits for the response (T316 expired), or t</w:t>
      </w:r>
      <w:r>
        <w:rPr>
          <w:rFonts w:hint="eastAsia" w:eastAsiaTheme="minorEastAsia"/>
          <w:kern w:val="2"/>
          <w:lang w:val="en-US" w:eastAsia="zh-CN"/>
        </w:rPr>
        <w:t>he SCG fails or is deactivated yet before the UE sends the MCGFailureInformation.</w:t>
      </w:r>
    </w:p>
    <w:p>
      <w:pPr>
        <w:ind w:left="400" w:leftChars="200"/>
        <w:rPr>
          <w:rFonts w:eastAsiaTheme="minorEastAsia"/>
          <w:kern w:val="2"/>
          <w:lang w:val="de-DE" w:eastAsia="zh-CN"/>
        </w:rPr>
      </w:pPr>
      <w:r>
        <w:rPr>
          <w:rFonts w:hint="eastAsia" w:eastAsiaTheme="minorEastAsia"/>
          <w:lang w:val="en-US" w:eastAsia="zh-CN"/>
        </w:rPr>
        <w:t xml:space="preserve">- </w:t>
      </w:r>
      <w:r>
        <w:rPr>
          <w:rFonts w:eastAsiaTheme="minorEastAsia"/>
          <w:kern w:val="2"/>
          <w:lang w:val="de-DE" w:eastAsia="zh-CN"/>
        </w:rPr>
        <w:t xml:space="preserve">Fast </w:t>
      </w:r>
      <w:r>
        <w:rPr>
          <w:rFonts w:hint="eastAsia" w:eastAsiaTheme="minorEastAsia"/>
          <w:lang w:val="en-US" w:eastAsia="zh-CN"/>
        </w:rPr>
        <w:t xml:space="preserve">MCG </w:t>
      </w:r>
      <w:r>
        <w:rPr>
          <w:rFonts w:eastAsiaTheme="minorEastAsia"/>
          <w:kern w:val="2"/>
          <w:lang w:val="de-DE" w:eastAsia="zh-CN"/>
        </w:rPr>
        <w:t>recovery near failure case, i.e. UE receives the response message from MN via SN while T316 is running which almost expires but not yet.</w:t>
      </w:r>
    </w:p>
    <w:p>
      <w:pPr>
        <w:rPr>
          <w:rFonts w:ascii="Calibri" w:hAnsi="Calibri" w:cs="Calibri" w:eastAsiaTheme="minorEastAsia"/>
          <w:i/>
          <w:iCs/>
          <w:color w:val="00B050"/>
          <w:kern w:val="2"/>
          <w:sz w:val="16"/>
          <w:szCs w:val="16"/>
          <w:lang w:val="en-US" w:eastAsia="zh-CN"/>
        </w:rPr>
      </w:pPr>
      <w:r>
        <w:rPr>
          <w:rFonts w:eastAsiaTheme="minorEastAsia"/>
          <w:kern w:val="2"/>
          <w:lang w:val="en-US" w:eastAsia="zh-CN"/>
        </w:rPr>
        <w:t xml:space="preserve">RLF report is enhanced to support </w:t>
      </w:r>
      <w:r>
        <w:rPr>
          <w:rFonts w:hint="eastAsia" w:eastAsiaTheme="minorEastAsia"/>
          <w:kern w:val="2"/>
          <w:lang w:val="en-US" w:eastAsia="zh-CN"/>
        </w:rPr>
        <w:t xml:space="preserve">MRO for fast MCG recovery. For fast MCG recovery failure </w:t>
      </w:r>
      <w:r>
        <w:rPr>
          <w:rFonts w:eastAsiaTheme="minorEastAsia"/>
          <w:kern w:val="2"/>
          <w:lang w:val="de-DE" w:eastAsia="zh-CN"/>
        </w:rPr>
        <w:t>case</w:t>
      </w:r>
      <w:r>
        <w:rPr>
          <w:rFonts w:hint="eastAsia" w:eastAsiaTheme="minorEastAsia"/>
          <w:kern w:val="2"/>
          <w:lang w:val="en-US" w:eastAsia="zh-CN"/>
        </w:rPr>
        <w:t xml:space="preserve">s, </w:t>
      </w:r>
      <w:bookmarkStart w:id="21" w:name="OLE_LINK18"/>
      <w:r>
        <w:rPr>
          <w:rFonts w:hint="eastAsia" w:eastAsiaTheme="minorEastAsia"/>
          <w:kern w:val="2"/>
          <w:lang w:val="en-US" w:eastAsia="zh-CN"/>
        </w:rPr>
        <w:t>i</w:t>
      </w:r>
      <w:r>
        <w:rPr>
          <w:rFonts w:eastAsiaTheme="minorEastAsia"/>
          <w:kern w:val="2"/>
          <w:lang w:val="en-US"/>
        </w:rPr>
        <w:t>t is beneficial for the UE to report</w:t>
      </w:r>
      <w:r>
        <w:rPr>
          <w:rFonts w:hint="eastAsia" w:eastAsiaTheme="minorEastAsia"/>
          <w:kern w:val="2"/>
          <w:lang w:val="en-US" w:eastAsia="zh-CN"/>
        </w:rPr>
        <w:t xml:space="preserve"> </w:t>
      </w:r>
      <w:r>
        <w:rPr>
          <w:rFonts w:eastAsiaTheme="minorEastAsia"/>
          <w:kern w:val="2"/>
          <w:lang w:val="en-US"/>
        </w:rPr>
        <w:t>PSCell where SCG failure happened, the cause of the fast MCG recovery failure and also if the problem is SCG failure, the SCG failure type.</w:t>
      </w:r>
      <w:r>
        <w:rPr>
          <w:rFonts w:hint="eastAsia" w:eastAsiaTheme="minorEastAsia"/>
          <w:kern w:val="2"/>
          <w:lang w:val="en-US" w:eastAsia="zh-CN"/>
        </w:rPr>
        <w:t xml:space="preserve"> For </w:t>
      </w:r>
      <w:r>
        <w:rPr>
          <w:rFonts w:eastAsiaTheme="minorEastAsia"/>
          <w:kern w:val="2"/>
          <w:lang w:val="de-DE" w:eastAsia="zh-CN"/>
        </w:rPr>
        <w:t>near failure case</w:t>
      </w:r>
      <w:r>
        <w:rPr>
          <w:rFonts w:hint="eastAsia" w:eastAsiaTheme="minorEastAsia"/>
          <w:kern w:val="2"/>
          <w:lang w:val="en-US" w:eastAsia="zh-CN"/>
        </w:rPr>
        <w:t xml:space="preserve">, </w:t>
      </w:r>
      <w:r>
        <w:t>UE reports the elapsed T316 between the transmission of MCGFailureInformation and receiving RRC reconfiguration or RRC release message</w:t>
      </w:r>
      <w:r>
        <w:rPr>
          <w:rFonts w:hint="eastAsia" w:eastAsia="宋体"/>
          <w:lang w:val="en-US" w:eastAsia="zh-CN"/>
        </w:rPr>
        <w:t xml:space="preserve"> and </w:t>
      </w:r>
      <w:r>
        <w:rPr>
          <w:iCs/>
        </w:rPr>
        <w:t>this PSCell identity</w:t>
      </w:r>
      <w:r>
        <w:rPr>
          <w:rFonts w:hint="eastAsia" w:eastAsia="宋体"/>
          <w:iCs/>
          <w:lang w:val="en-US" w:eastAsia="zh-CN"/>
        </w:rPr>
        <w:t xml:space="preserve"> in </w:t>
      </w:r>
      <w:r>
        <w:rPr>
          <w:rFonts w:eastAsiaTheme="minorEastAsia"/>
          <w:kern w:val="2"/>
          <w:lang w:val="en-US" w:eastAsia="zh-CN"/>
        </w:rPr>
        <w:t>RLF report</w:t>
      </w:r>
      <w:r>
        <w:t>.</w:t>
      </w:r>
    </w:p>
    <w:bookmarkEnd w:id="21"/>
    <w:p>
      <w:pPr>
        <w:spacing w:before="360" w:beforeLines="100" w:afterLines="50"/>
        <w:rPr>
          <w:rFonts w:eastAsia="宋体"/>
          <w:b/>
          <w:u w:val="single"/>
          <w:lang w:eastAsia="zh-CN"/>
        </w:rPr>
      </w:pPr>
      <w:r>
        <w:rPr>
          <w:rFonts w:hint="eastAsia" w:eastAsia="宋体"/>
          <w:b/>
          <w:u w:val="single"/>
          <w:lang w:eastAsia="zh-CN"/>
        </w:rPr>
        <w:t xml:space="preserve">MRO for inter-system </w:t>
      </w:r>
      <w:bookmarkStart w:id="22" w:name="OLE_LINK5"/>
      <w:r>
        <w:rPr>
          <w:rFonts w:hint="eastAsia" w:eastAsia="宋体"/>
          <w:b/>
          <w:u w:val="single"/>
          <w:lang w:eastAsia="zh-CN"/>
        </w:rPr>
        <w:t>handover for voice fallback</w:t>
      </w:r>
      <w:bookmarkEnd w:id="22"/>
    </w:p>
    <w:p>
      <w:pPr>
        <w:rPr>
          <w:rFonts w:eastAsia="宋体"/>
          <w:lang w:val="en-US" w:eastAsia="zh-CN"/>
        </w:rPr>
      </w:pPr>
      <w:r>
        <w:rPr>
          <w:rFonts w:hint="eastAsia" w:eastAsiaTheme="minorEastAsia"/>
          <w:lang w:val="en-US" w:eastAsia="zh-CN"/>
        </w:rPr>
        <w:t xml:space="preserve">Besides </w:t>
      </w:r>
      <w:r>
        <w:rPr>
          <w:rFonts w:hint="eastAsia" w:eastAsiaTheme="minorEastAsia"/>
          <w:lang w:eastAsia="zh-CN"/>
        </w:rPr>
        <w:t>Inter-system handover from 5GS to EPS due to coverage</w:t>
      </w:r>
      <w:r>
        <w:rPr>
          <w:rFonts w:hint="eastAsia" w:eastAsiaTheme="minorEastAsia"/>
          <w:lang w:val="en-US" w:eastAsia="zh-CN"/>
        </w:rPr>
        <w:t>, v</w:t>
      </w:r>
      <w:r>
        <w:rPr>
          <w:rFonts w:eastAsia="宋体"/>
        </w:rPr>
        <w:t xml:space="preserve">oice over NR with EPS Fallback includes an additional mobility trigger by which the UE falls back from </w:t>
      </w:r>
      <w:r>
        <w:rPr>
          <w:rFonts w:hint="eastAsia" w:eastAsiaTheme="minorEastAsia"/>
          <w:lang w:eastAsia="zh-CN"/>
        </w:rPr>
        <w:t>NR</w:t>
      </w:r>
      <w:r>
        <w:rPr>
          <w:rFonts w:eastAsia="宋体"/>
        </w:rPr>
        <w:t xml:space="preserve"> to LTE during call establishment</w:t>
      </w:r>
      <w:r>
        <w:rPr>
          <w:rFonts w:hint="eastAsia" w:eastAsia="宋体"/>
          <w:lang w:val="en-US" w:eastAsia="zh-CN"/>
        </w:rPr>
        <w:t>,</w:t>
      </w:r>
      <w:r>
        <w:rPr>
          <w:rFonts w:eastAsia="宋体"/>
        </w:rPr>
        <w:t xml:space="preserve"> in case not all feature for voice over NR are implemented in the UE or in case of temporary lack of radio resources in NR.</w:t>
      </w:r>
      <w:r>
        <w:rPr>
          <w:rFonts w:hint="eastAsia" w:eastAsia="宋体"/>
          <w:lang w:val="en-US" w:eastAsia="zh-CN"/>
        </w:rPr>
        <w:t xml:space="preserve"> </w:t>
      </w:r>
      <w:r>
        <w:rPr>
          <w:rFonts w:hint="eastAsia" w:eastAsiaTheme="minorEastAsia"/>
          <w:lang w:eastAsia="zh-CN"/>
        </w:rPr>
        <w:t xml:space="preserve">In the previous releases, it has been specified SON solutions for MRO based on </w:t>
      </w:r>
      <w:r>
        <w:rPr>
          <w:rFonts w:eastAsiaTheme="minorEastAsia"/>
          <w:lang w:eastAsia="zh-CN"/>
        </w:rPr>
        <w:t>coverage</w:t>
      </w:r>
      <w:r>
        <w:rPr>
          <w:rFonts w:hint="eastAsia" w:eastAsiaTheme="minorEastAsia"/>
          <w:lang w:val="en-US" w:eastAsia="zh-CN"/>
        </w:rPr>
        <w:t xml:space="preserve">, but failure of voice fallback is not involved. Therefore, the definition of Inter-system Mobility Failure for Voice Fallback, </w:t>
      </w:r>
      <w:r>
        <w:rPr>
          <w:rFonts w:eastAsia="宋体"/>
        </w:rPr>
        <w:t>UE reporting</w:t>
      </w:r>
      <w:r>
        <w:rPr>
          <w:rFonts w:hint="eastAsia" w:eastAsia="宋体"/>
          <w:lang w:val="en-US" w:eastAsia="zh-CN"/>
        </w:rPr>
        <w:t xml:space="preserve"> and </w:t>
      </w:r>
      <w:bookmarkStart w:id="23" w:name="OLE_LINK4"/>
      <w:r>
        <w:rPr>
          <w:rFonts w:eastAsia="宋体"/>
        </w:rPr>
        <w:t>inter-node information exchange</w:t>
      </w:r>
      <w:bookmarkEnd w:id="23"/>
      <w:r>
        <w:rPr>
          <w:rFonts w:hint="eastAsia" w:eastAsia="宋体"/>
          <w:lang w:val="en-US" w:eastAsia="zh-CN"/>
        </w:rPr>
        <w:t xml:space="preserve"> are specified in MRO for inter-system handover for voice fallback.</w:t>
      </w:r>
    </w:p>
    <w:p>
      <w:pPr>
        <w:rPr>
          <w:lang w:val="en-US" w:eastAsia="zh-CN"/>
        </w:rPr>
      </w:pPr>
      <w:r>
        <w:rPr>
          <w:rFonts w:hint="eastAsia"/>
          <w:lang w:val="en-US" w:eastAsia="zh-CN"/>
        </w:rPr>
        <w:t xml:space="preserve">Inter-system Mobility Failure for Voice Fallback is that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 Source Cell ID , Failure Cell ID , Suitable Cell ID and UE RLF Report Container are included in </w:t>
      </w:r>
      <w:r>
        <w:rPr>
          <w:rFonts w:eastAsia="宋体"/>
        </w:rPr>
        <w:t>inter-node information exchange</w:t>
      </w:r>
      <w:r>
        <w:rPr>
          <w:rFonts w:hint="eastAsia" w:eastAsia="宋体"/>
          <w:lang w:val="en-US" w:eastAsia="zh-CN"/>
        </w:rPr>
        <w:t xml:space="preserve"> in </w:t>
      </w:r>
      <w:r>
        <w:rPr>
          <w:rFonts w:hint="eastAsia"/>
          <w:lang w:val="en-US" w:eastAsia="zh-CN"/>
        </w:rPr>
        <w:t>case Handover Report Type is Inter-system Mobility Failure during Voice Fallback, it is beneficial for NR node to optimize the configuration of handover for voice fallback.</w:t>
      </w:r>
    </w:p>
    <w:p>
      <w:pPr>
        <w:spacing w:before="360" w:beforeLines="100" w:afterLines="50"/>
        <w:rPr>
          <w:rFonts w:eastAsia="宋体"/>
          <w:b/>
          <w:u w:val="single"/>
          <w:lang w:eastAsia="zh-CN"/>
        </w:rPr>
      </w:pPr>
      <w:r>
        <w:rPr>
          <w:rFonts w:hint="eastAsia" w:eastAsia="宋体"/>
          <w:b/>
          <w:u w:val="single"/>
          <w:lang w:eastAsia="zh-CN"/>
        </w:rPr>
        <w:t>MRO for MR-DC SCG failure</w:t>
      </w:r>
    </w:p>
    <w:p>
      <w:pPr>
        <w:rPr>
          <w:color w:val="000000"/>
          <w:lang w:val="en-US"/>
        </w:rPr>
      </w:pPr>
      <w:r>
        <w:rPr>
          <w:rFonts w:hint="eastAsia"/>
          <w:lang w:eastAsia="zh-CN"/>
        </w:rPr>
        <w:t>MRO for MR-DC SCG failure</w:t>
      </w:r>
      <w:r>
        <w:rPr>
          <w:lang w:eastAsia="zh-CN"/>
        </w:rPr>
        <w:t xml:space="preserve"> is to detect PSCell change failures that occur due to </w:t>
      </w:r>
      <w:r>
        <w:rPr>
          <w:lang w:eastAsia="ja-JP"/>
        </w:rPr>
        <w:t>Too late PSCell change</w:t>
      </w:r>
      <w:r>
        <w:rPr>
          <w:lang w:eastAsia="zh-CN"/>
        </w:rPr>
        <w:t xml:space="preserve"> or </w:t>
      </w:r>
      <w:r>
        <w:rPr>
          <w:lang w:eastAsia="ja-JP"/>
        </w:rPr>
        <w:t>Too early PSCell change</w:t>
      </w:r>
      <w:r>
        <w:rPr>
          <w:lang w:eastAsia="zh-CN"/>
        </w:rPr>
        <w:t xml:space="preserve">, or </w:t>
      </w:r>
      <w:r>
        <w:rPr>
          <w:lang w:eastAsia="ja-JP"/>
        </w:rPr>
        <w:t>Triggering PSCell change to wrong PSCell</w:t>
      </w:r>
      <w:r>
        <w:rPr>
          <w:lang w:eastAsia="zh-CN"/>
        </w:rPr>
        <w:t>.</w:t>
      </w:r>
      <w:r>
        <w:rPr>
          <w:rFonts w:hint="eastAsia"/>
          <w:lang w:val="en-US" w:eastAsia="zh-CN"/>
        </w:rPr>
        <w:t xml:space="preserve"> SCG Failure Information Report message from UE is used for</w:t>
      </w:r>
      <w:r>
        <w:rPr>
          <w:rFonts w:hint="eastAsia"/>
          <w:lang w:eastAsia="zh-CN"/>
        </w:rPr>
        <w:t xml:space="preserve"> MR-DC SCG failure</w:t>
      </w:r>
      <w:r>
        <w:rPr>
          <w:rFonts w:hint="eastAsia"/>
          <w:lang w:val="en-US" w:eastAsia="zh-CN"/>
        </w:rPr>
        <w:t xml:space="preserve"> MRO. MN performs initial analysis to identify the node that caused the failure. The node responsible for the last PSCell change (the source SN, the last serving SN or the MN) performs the final root cause analysis, and may </w:t>
      </w:r>
      <w:r>
        <w:rPr>
          <w:rFonts w:eastAsiaTheme="minorEastAsia"/>
          <w:lang w:val="en-US" w:eastAsia="zh-CN"/>
        </w:rPr>
        <w:t>optimize PSCell change</w:t>
      </w:r>
      <w:r>
        <w:rPr>
          <w:rFonts w:hint="eastAsia" w:eastAsiaTheme="minorEastAsia"/>
          <w:lang w:val="en-US" w:eastAsia="zh-CN"/>
        </w:rPr>
        <w:t xml:space="preserve"> </w:t>
      </w:r>
      <w:r>
        <w:rPr>
          <w:rFonts w:eastAsiaTheme="minorEastAsia"/>
          <w:lang w:val="en-US" w:eastAsia="zh-CN"/>
        </w:rPr>
        <w:t>configuration or associated mobility thresholds</w:t>
      </w:r>
      <w:r>
        <w:rPr>
          <w:rFonts w:hint="eastAsia" w:eastAsiaTheme="minorEastAsia"/>
          <w:lang w:val="en-US" w:eastAsia="zh-CN"/>
        </w:rPr>
        <w:t>.</w:t>
      </w:r>
    </w:p>
    <w:p>
      <w:pPr>
        <w:spacing w:before="360" w:beforeLines="100" w:afterLines="50"/>
        <w:rPr>
          <w:rFonts w:eastAsia="宋体"/>
          <w:b/>
          <w:u w:val="single"/>
          <w:lang w:eastAsia="zh-CN"/>
        </w:rPr>
      </w:pPr>
      <w:r>
        <w:rPr>
          <w:rFonts w:hint="eastAsia" w:eastAsia="宋体"/>
          <w:b/>
          <w:u w:val="single"/>
          <w:lang w:eastAsia="zh-CN"/>
        </w:rPr>
        <w:t>RACH Enhancements</w:t>
      </w:r>
    </w:p>
    <w:p>
      <w:pPr>
        <w:rPr>
          <w:color w:val="000000"/>
          <w:lang w:eastAsia="zh-CN"/>
        </w:rPr>
      </w:pPr>
      <w:r>
        <w:rPr>
          <w:rFonts w:hint="eastAsia"/>
          <w:color w:val="000000"/>
          <w:lang w:eastAsia="zh-CN"/>
        </w:rPr>
        <w:t xml:space="preserve">The revealed scenarios for RACH report optimization </w:t>
      </w:r>
      <w:r>
        <w:rPr>
          <w:rFonts w:hint="eastAsia"/>
          <w:color w:val="000000"/>
          <w:lang w:val="en-US" w:eastAsia="zh-CN"/>
        </w:rPr>
        <w:t xml:space="preserve">in Rel-18 </w:t>
      </w:r>
      <w:r>
        <w:rPr>
          <w:rFonts w:hint="eastAsia"/>
          <w:color w:val="000000"/>
          <w:lang w:eastAsia="zh-CN"/>
        </w:rPr>
        <w:t>includes the following,</w:t>
      </w:r>
    </w:p>
    <w:p>
      <w:pPr>
        <w:ind w:left="400" w:leftChars="200"/>
        <w:rPr>
          <w:rFonts w:eastAsiaTheme="minorEastAsia"/>
          <w:lang w:val="en-US" w:eastAsia="zh-CN"/>
        </w:rPr>
      </w:pPr>
      <w:r>
        <w:rPr>
          <w:rFonts w:hint="eastAsia" w:eastAsiaTheme="minorEastAsia"/>
          <w:lang w:val="en-US" w:eastAsia="zh-CN"/>
        </w:rPr>
        <w:t>- SN RACH report in MR-DC</w:t>
      </w:r>
    </w:p>
    <w:p>
      <w:pPr>
        <w:ind w:left="400" w:leftChars="200"/>
        <w:rPr>
          <w:rFonts w:eastAsiaTheme="minorEastAsia"/>
          <w:lang w:val="en-US" w:eastAsia="zh-CN"/>
        </w:rPr>
      </w:pPr>
      <w:r>
        <w:rPr>
          <w:rFonts w:hint="eastAsia" w:eastAsiaTheme="minorEastAsia"/>
          <w:lang w:val="en-US" w:eastAsia="zh-CN"/>
        </w:rPr>
        <w:t>- RACH report retrieval for CU-DU architecture</w:t>
      </w:r>
    </w:p>
    <w:p>
      <w:pPr>
        <w:ind w:left="400" w:leftChars="200"/>
        <w:rPr>
          <w:rFonts w:eastAsiaTheme="minorEastAsia"/>
          <w:lang w:val="en-US" w:eastAsia="zh-CN"/>
        </w:rPr>
      </w:pPr>
      <w:r>
        <w:rPr>
          <w:rFonts w:hint="eastAsia" w:eastAsiaTheme="minorEastAsia"/>
          <w:lang w:val="en-US" w:eastAsia="zh-CN"/>
        </w:rPr>
        <w:t>- RACH report Enhancement for RACH partitioning</w:t>
      </w:r>
    </w:p>
    <w:p>
      <w:pPr>
        <w:rPr>
          <w:color w:val="000000"/>
          <w:lang w:val="en-US" w:eastAsia="zh-CN"/>
        </w:rPr>
      </w:pPr>
      <w:r>
        <w:rPr>
          <w:rFonts w:hint="eastAsia"/>
          <w:color w:val="000000"/>
          <w:lang w:val="en-US" w:eastAsia="zh-CN"/>
        </w:rPr>
        <w:t xml:space="preserve">For </w:t>
      </w:r>
      <w:r>
        <w:rPr>
          <w:rFonts w:hint="eastAsia" w:eastAsiaTheme="minorEastAsia"/>
          <w:lang w:val="en-US" w:eastAsia="zh-CN"/>
        </w:rPr>
        <w:t>SN RACH report in MR-DC, UE reports the SN RACH report to the MN, and then MN sends the SN RACH report to SN. UE could report the recorded SgNB related RACH information to the ‎current MN node for NR-DC case. And the node ‎which received the information could send the SN related RACH report information to the ‎SgNB(s).</w:t>
      </w:r>
      <w:r>
        <w:rPr>
          <w:rFonts w:eastAsiaTheme="minorEastAsia"/>
          <w:lang w:val="en-US" w:eastAsia="zh-CN"/>
        </w:rPr>
        <w:t xml:space="preserve"> </w:t>
      </w:r>
      <w:r>
        <w:rPr>
          <w:rFonts w:hint="eastAsia" w:eastAsiaTheme="minorEastAsia"/>
          <w:lang w:val="en-US" w:eastAsia="zh-CN"/>
        </w:rPr>
        <w:t xml:space="preserve">In order to help the network forward the report to the correct nodet, UE should report the PScell identity outside the RACH report. </w:t>
      </w:r>
      <w:r>
        <w:rPr>
          <w:rFonts w:eastAsiaTheme="minorEastAsia"/>
          <w:lang w:val="en-US" w:eastAsia="zh-CN"/>
        </w:rPr>
        <w:t>For (NG)EN-DC case, the UE can report NR RACH report (if available) and the NR cell identity list  to the MN based on the network’s request, and then the MN can forward the report  to the corresponding NR cells.</w:t>
      </w:r>
    </w:p>
    <w:p>
      <w:pPr>
        <w:rPr>
          <w:rFonts w:eastAsiaTheme="minorEastAsia"/>
          <w:lang w:val="en-US" w:eastAsia="zh-CN"/>
        </w:rPr>
      </w:pPr>
      <w:r>
        <w:rPr>
          <w:rFonts w:hint="eastAsia"/>
          <w:color w:val="000000"/>
          <w:lang w:val="en-US" w:eastAsia="zh-CN"/>
        </w:rPr>
        <w:t xml:space="preserve">For </w:t>
      </w:r>
      <w:r>
        <w:rPr>
          <w:rFonts w:hint="eastAsia" w:eastAsiaTheme="minorEastAsia"/>
          <w:lang w:val="en-US" w:eastAsia="zh-CN"/>
        </w:rPr>
        <w:t>RACH report retrieval for CU-DU architecture, Rel-18 supports a network-based solution for RACH report retrieval over F1AP based on an indication from the gNB-DU to the gNB-CU of successful RACH procedures which are not known to the gNB-CU and defines a new class-2 F1AP message to indicate certain RACH occurrence(s) from gNB-DU to gNB-CU.</w:t>
      </w:r>
    </w:p>
    <w:p>
      <w:pPr>
        <w:rPr>
          <w:rFonts w:eastAsiaTheme="minorEastAsia"/>
          <w:lang w:val="en-US" w:eastAsia="zh-CN"/>
        </w:rPr>
      </w:pPr>
      <w:r>
        <w:rPr>
          <w:rFonts w:hint="eastAsia" w:eastAsiaTheme="minorEastAsia"/>
          <w:lang w:val="en-US" w:eastAsia="zh-CN"/>
        </w:rPr>
        <w:t xml:space="preserve">For </w:t>
      </w:r>
      <w:bookmarkStart w:id="24" w:name="OLE_LINK6"/>
      <w:r>
        <w:rPr>
          <w:rFonts w:hint="eastAsia" w:eastAsiaTheme="minorEastAsia"/>
          <w:lang w:val="en-US" w:eastAsia="zh-CN"/>
        </w:rPr>
        <w:t>RA Report Enhancement</w:t>
      </w:r>
      <w:bookmarkEnd w:id="24"/>
      <w:r>
        <w:rPr>
          <w:rFonts w:hint="eastAsia" w:eastAsiaTheme="minorEastAsia"/>
          <w:lang w:val="en-US" w:eastAsia="zh-CN"/>
        </w:rPr>
        <w:t xml:space="preserve">s for RACH partitioning, RA report is enhanced to include feature combination related information and the addition of RACH partition configuration information. This information consists of the start preamble index and the number of preambles in the partition for which the RA Report was generated. This enables the NG-RAN to determine the RACH partition in use. </w:t>
      </w:r>
    </w:p>
    <w:p>
      <w:pPr>
        <w:spacing w:before="360" w:beforeLines="100" w:afterLines="50"/>
        <w:rPr>
          <w:rFonts w:eastAsia="宋体"/>
          <w:b/>
          <w:u w:val="single"/>
          <w:lang w:eastAsia="zh-CN"/>
        </w:rPr>
      </w:pPr>
      <w:r>
        <w:rPr>
          <w:rFonts w:hint="eastAsia" w:eastAsia="宋体"/>
          <w:b/>
          <w:u w:val="single"/>
          <w:lang w:eastAsia="zh-CN"/>
        </w:rPr>
        <w:t>SON/MDT Enhancements for Non-Public Networks</w:t>
      </w:r>
    </w:p>
    <w:p>
      <w:pPr>
        <w:rPr>
          <w:lang w:eastAsia="zh-CN"/>
        </w:rPr>
      </w:pPr>
      <w:r>
        <w:rPr>
          <w:rFonts w:hint="eastAsia"/>
          <w:lang w:eastAsia="zh-CN"/>
        </w:rPr>
        <w:t>A Non-Public Network (NPN) is a 5GS deployed for non-public use, including the following two types:</w:t>
      </w:r>
    </w:p>
    <w:p>
      <w:pPr>
        <w:ind w:left="400" w:leftChars="200"/>
        <w:rPr>
          <w:rFonts w:eastAsiaTheme="minorEastAsia"/>
          <w:lang w:val="en-US" w:eastAsia="zh-CN"/>
        </w:rPr>
      </w:pPr>
      <w:r>
        <w:rPr>
          <w:rFonts w:hint="eastAsia" w:eastAsiaTheme="minorEastAsia"/>
          <w:lang w:val="en-US" w:eastAsia="zh-CN"/>
        </w:rPr>
        <w:t>-    a Stand-alone Non-Public Network (SNPN), i.e. operated by an NPN operator and not relying on network functions provided by a PLMN</w:t>
      </w:r>
    </w:p>
    <w:p>
      <w:pPr>
        <w:ind w:left="400" w:leftChars="200"/>
        <w:rPr>
          <w:rFonts w:eastAsiaTheme="minorEastAsia"/>
          <w:lang w:val="en-US" w:eastAsia="zh-CN"/>
        </w:rPr>
      </w:pPr>
      <w:r>
        <w:rPr>
          <w:rFonts w:hint="eastAsia" w:eastAsiaTheme="minorEastAsia"/>
          <w:lang w:val="en-US" w:eastAsia="zh-CN"/>
        </w:rPr>
        <w:t>-     a Public Network Integrated NPN (PNI-NPN), i.e. a non-public network deployed with the support of a PLMN.</w:t>
      </w:r>
    </w:p>
    <w:p>
      <w:pPr>
        <w:rPr>
          <w:lang w:eastAsia="zh-CN"/>
        </w:rPr>
      </w:pPr>
      <w:r>
        <w:rPr>
          <w:rFonts w:hint="eastAsia"/>
          <w:lang w:eastAsia="zh-CN"/>
        </w:rPr>
        <w:t>To enable the NPN feature supported in SON/MDT, the network configures a list of SNPN ID/CAG ID in MDT configuration to specify the area scope of MDT task, which may restrict MDT data collection only for some specific NPNs within the area scope. For the SON/MDT report retrieval mechanism, UE performs SNPN ID checking before sending the availability indication and transmitting the information for corresponding SON and MDT reports, upon the network requests for it.</w:t>
      </w:r>
    </w:p>
    <w:p>
      <w:pPr>
        <w:spacing w:before="360" w:beforeLines="100" w:afterLines="50"/>
        <w:rPr>
          <w:rFonts w:eastAsia="宋体"/>
          <w:b/>
          <w:u w:val="single"/>
          <w:lang w:eastAsia="zh-CN"/>
        </w:rPr>
      </w:pPr>
      <w:r>
        <w:rPr>
          <w:rFonts w:hint="eastAsia" w:eastAsia="宋体"/>
          <w:b/>
          <w:u w:val="single"/>
          <w:lang w:eastAsia="zh-CN"/>
        </w:rPr>
        <w:t>SON for NR-U</w:t>
      </w:r>
    </w:p>
    <w:p>
      <w:pPr>
        <w:rPr>
          <w:lang w:eastAsia="zh-CN"/>
        </w:rPr>
      </w:pPr>
      <w:r>
        <w:rPr>
          <w:rFonts w:hint="eastAsia"/>
          <w:lang w:eastAsia="zh-CN"/>
        </w:rPr>
        <w:t xml:space="preserve">NR-based access to unlicensed spectrum (NR-U) uses the NR protocol to provide access services in unlicensed spectrum as an extension and supplement to 5G NR. In the unlicensed spectrum, the gNB and the UE may apply Listen-Before-Talk (LBT) before performing a transmission on a cell, and when LBT is applied, the transmitter listens to/senses the channel to determine whether the channel is free or busy and performs transmission only if the channel is sensed free. </w:t>
      </w:r>
    </w:p>
    <w:p>
      <w:pPr>
        <w:rPr>
          <w:lang w:eastAsia="zh-CN"/>
        </w:rPr>
      </w:pPr>
      <w:r>
        <w:rPr>
          <w:rFonts w:hint="eastAsia"/>
          <w:lang w:eastAsia="zh-CN"/>
        </w:rPr>
        <w:t>For Mobility Robustness Optimization, the network should separate the mobility related error from LBT-related ones to enable the gNB aware whether certain SON/MDT reports should be considered for optimization of mobility setting, while LBT failures may not related to mobility. A gNB may take into account the information regarding the LBT failures occurred during the handover execution for a specific UE, as detected by the UE for UL, and by the target gNB for DL. In the Handover Preparation procedure, the source gNB can request the target gNB to provide information on DL LBT failures at the target gNB during handover execution.</w:t>
      </w:r>
    </w:p>
    <w:p>
      <w:pPr>
        <w:rPr>
          <w:lang w:eastAsia="zh-CN"/>
        </w:rPr>
      </w:pPr>
      <w:r>
        <w:rPr>
          <w:rFonts w:hint="eastAsia"/>
          <w:lang w:eastAsia="zh-CN"/>
        </w:rPr>
        <w:t>For Mobility Load Balancing, to enable the gNB aware the traffic load information of the UE in NR-U channel and allocate proper resource for the UE, NR-U channel load is taken into account, including DL/UL channel occupancy time percentage, DL/UL energy detection threshold, radio resource usage.</w:t>
      </w:r>
    </w:p>
    <w:p>
      <w:pPr>
        <w:spacing w:before="360" w:beforeLines="100" w:afterLines="50"/>
        <w:rPr>
          <w:rFonts w:eastAsia="宋体"/>
          <w:b/>
          <w:u w:val="single"/>
          <w:lang w:eastAsia="zh-CN"/>
        </w:rPr>
      </w:pPr>
      <w:bookmarkStart w:id="25" w:name="OLE_LINK10"/>
      <w:r>
        <w:rPr>
          <w:rFonts w:hint="eastAsia" w:eastAsia="宋体"/>
          <w:b/>
          <w:u w:val="single"/>
        </w:rPr>
        <w:t>MDT Enhancements</w:t>
      </w:r>
      <w:bookmarkEnd w:id="25"/>
    </w:p>
    <w:p>
      <w:pPr>
        <w:rPr>
          <w:rFonts w:eastAsia="宋体"/>
          <w:lang w:val="en-US" w:eastAsia="zh-CN"/>
        </w:rPr>
      </w:pPr>
      <w:r>
        <w:rPr>
          <w:rFonts w:hint="eastAsia"/>
          <w:lang w:val="en-US" w:eastAsia="zh-CN"/>
        </w:rPr>
        <w:t>C</w:t>
      </w:r>
      <w:r>
        <w:rPr>
          <w:rFonts w:hint="eastAsia"/>
          <w:lang w:eastAsia="zh-CN"/>
        </w:rPr>
        <w:t>ross-RAT logged MDT reporting</w:t>
      </w:r>
      <w:r>
        <w:rPr>
          <w:rFonts w:hint="eastAsia"/>
          <w:lang w:val="en-US" w:eastAsia="zh-CN"/>
        </w:rPr>
        <w:t xml:space="preserve"> </w:t>
      </w:r>
      <w:r>
        <w:rPr>
          <w:rFonts w:hint="eastAsia"/>
          <w:lang w:eastAsia="zh-CN"/>
        </w:rPr>
        <w:t>for signaling based logged MDT override protection</w:t>
      </w:r>
      <w:r>
        <w:rPr>
          <w:rFonts w:hint="eastAsia"/>
          <w:lang w:val="en-US" w:eastAsia="zh-CN"/>
        </w:rPr>
        <w:t xml:space="preserve"> is introduced in Rel-18 MDT Enhancements. S</w:t>
      </w:r>
      <w:r>
        <w:rPr>
          <w:rFonts w:eastAsia="宋体"/>
        </w:rPr>
        <w:t xml:space="preserve">ignaling based logged MDT override protection </w:t>
      </w:r>
      <w:r>
        <w:rPr>
          <w:rFonts w:hint="eastAsia" w:eastAsia="宋体"/>
          <w:lang w:val="en-US" w:eastAsia="zh-CN"/>
        </w:rPr>
        <w:t xml:space="preserve">is </w:t>
      </w:r>
      <w:r>
        <w:rPr>
          <w:rFonts w:eastAsia="宋体"/>
        </w:rPr>
        <w:t>to address the scenario where the signaling based MDT is configured in E-UTRAN when UE reselects to NR while logged measurements are collected</w:t>
      </w:r>
      <w:r>
        <w:rPr>
          <w:rFonts w:hint="eastAsia" w:eastAsia="宋体"/>
          <w:lang w:val="en-US" w:eastAsia="zh-CN"/>
        </w:rPr>
        <w:t xml:space="preserve"> or </w:t>
      </w:r>
      <w:r>
        <w:rPr>
          <w:rFonts w:eastAsia="宋体"/>
        </w:rPr>
        <w:t>UE reselects to NR after logged measurements are collected and before uploading the logged MDT report.</w:t>
      </w:r>
      <w:r>
        <w:rPr>
          <w:rFonts w:hint="eastAsia" w:eastAsia="宋体"/>
          <w:lang w:val="en-US" w:eastAsia="zh-CN"/>
        </w:rPr>
        <w:t xml:space="preserve"> </w:t>
      </w:r>
      <w:r>
        <w:t xml:space="preserve">R17 NR signaling by the UE </w:t>
      </w:r>
      <w:r>
        <w:rPr>
          <w:rFonts w:hint="eastAsia" w:eastAsia="宋体"/>
          <w:lang w:val="en-US" w:eastAsia="zh-CN"/>
        </w:rPr>
        <w:t xml:space="preserve">is reused </w:t>
      </w:r>
      <w:r>
        <w:t>to inform gNB whether signaling based MDT is configured even when it is configured by E-UTRA</w:t>
      </w:r>
      <w:r>
        <w:rPr>
          <w:rFonts w:hint="eastAsia" w:eastAsia="宋体"/>
          <w:lang w:val="en-US" w:eastAsia="zh-CN"/>
        </w:rPr>
        <w:t>.</w:t>
      </w:r>
    </w:p>
    <w:p>
      <w:pPr>
        <w:pStyle w:val="4"/>
      </w:pPr>
      <w:r>
        <w:t>3</w:t>
      </w:r>
      <w:r>
        <w:tab/>
      </w:r>
      <w:r>
        <w:t>References</w:t>
      </w:r>
    </w:p>
    <w:p>
      <w:pPr>
        <w:spacing w:after="0"/>
        <w:rPr>
          <w:rFonts w:eastAsia="宋体"/>
          <w:kern w:val="2"/>
          <w:lang w:eastAsia="zh-CN"/>
        </w:rPr>
      </w:pPr>
      <w:r>
        <w:t>[1]</w:t>
      </w:r>
      <w:r>
        <w:rPr>
          <w:rFonts w:hint="eastAsia" w:eastAsia="宋体"/>
          <w:kern w:val="2"/>
          <w:lang w:eastAsia="zh-CN"/>
        </w:rPr>
        <w:tab/>
      </w:r>
      <w:r>
        <w:rPr>
          <w:rFonts w:hint="eastAsia" w:eastAsia="宋体"/>
          <w:kern w:val="2"/>
          <w:lang w:eastAsia="zh-CN"/>
        </w:rPr>
        <w:t>RP-233438</w:t>
      </w:r>
      <w:r>
        <w:rPr>
          <w:rFonts w:hint="eastAsia"/>
          <w:kern w:val="2"/>
          <w:lang w:eastAsia="zh-CN"/>
        </w:rPr>
        <w:t>, Revised WID: Further enhancement of data collection for SON (Self-Organising Networks)/MDT (Minimization of Drive Tests) in NR standalone and MR-DC (Multi-Radio Dual Connectivity), CMCC</w:t>
      </w:r>
    </w:p>
    <w:p>
      <w:pPr>
        <w:spacing w:after="0"/>
        <w:rPr>
          <w:rFonts w:eastAsia="宋体"/>
          <w:kern w:val="2"/>
          <w:lang w:eastAsia="zh-CN"/>
        </w:rPr>
      </w:pPr>
      <w:r>
        <w:rPr>
          <w:rFonts w:hint="eastAsia" w:eastAsia="宋体"/>
          <w:kern w:val="2"/>
          <w:lang w:eastAsia="zh-CN"/>
        </w:rPr>
        <w:t>[2]</w:t>
      </w:r>
      <w:r>
        <w:rPr>
          <w:rFonts w:hint="eastAsia" w:eastAsia="宋体"/>
          <w:kern w:val="2"/>
          <w:lang w:eastAsia="zh-CN"/>
        </w:rPr>
        <w:tab/>
      </w:r>
      <w:r>
        <w:rPr>
          <w:rFonts w:hint="eastAsia" w:eastAsia="宋体"/>
          <w:kern w:val="2"/>
          <w:lang w:eastAsia="zh-CN"/>
        </w:rPr>
        <w:t>RP-233437</w:t>
      </w:r>
      <w:bookmarkStart w:id="26" w:name="_GoBack"/>
      <w:bookmarkEnd w:id="26"/>
      <w:r>
        <w:rPr>
          <w:rFonts w:hint="eastAsia" w:eastAsia="宋体"/>
          <w:kern w:val="2"/>
          <w:lang w:eastAsia="zh-CN"/>
        </w:rPr>
        <w:t>, Status Report for WI on further enhancement of data collection for SONMDT in NR standalone and </w:t>
      </w:r>
    </w:p>
    <w:p>
      <w:pPr>
        <w:spacing w:after="0"/>
        <w:rPr>
          <w:rFonts w:eastAsia="宋体"/>
          <w:kern w:val="2"/>
          <w:lang w:eastAsia="zh-CN"/>
        </w:rPr>
      </w:pPr>
      <w:r>
        <w:rPr>
          <w:rFonts w:hint="eastAsia" w:eastAsia="宋体"/>
          <w:kern w:val="2"/>
          <w:lang w:eastAsia="zh-CN"/>
        </w:rPr>
        <w:t>MR-DC, CMCC</w:t>
      </w:r>
    </w:p>
    <w:p>
      <w:pPr>
        <w:spacing w:after="0"/>
        <w:rPr>
          <w:rFonts w:eastAsia="宋体"/>
          <w:lang w:eastAsia="zh-CN"/>
        </w:rPr>
      </w:pPr>
    </w:p>
    <w:sectPr>
      <w:footerReference r:id="rId4" w:type="default"/>
      <w:pgSz w:w="11906" w:h="16838"/>
      <w:pgMar w:top="1134" w:right="1134" w:bottom="1134" w:left="1134"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rStyle w:val="49"/>
      </w:rPr>
      <w:fldChar w:fldCharType="begin"/>
    </w:r>
    <w:r>
      <w:rPr>
        <w:rStyle w:val="49"/>
      </w:rPr>
      <w:instrText xml:space="preserve"> PAGE </w:instrText>
    </w:r>
    <w:r>
      <w:rPr>
        <w:rStyle w:val="49"/>
      </w:rPr>
      <w:fldChar w:fldCharType="separate"/>
    </w:r>
    <w:r>
      <w:rPr>
        <w:rStyle w:val="49"/>
      </w:rPr>
      <w:t>1</w:t>
    </w:r>
    <w:r>
      <w:rPr>
        <w:rStyle w:val="49"/>
      </w:rPr>
      <w:fldChar w:fldCharType="end"/>
    </w:r>
    <w:r>
      <w:rPr>
        <w:rStyle w:val="49"/>
      </w:rPr>
      <w:t xml:space="preserve"> / </w:t>
    </w:r>
    <w:r>
      <w:rPr>
        <w:rStyle w:val="49"/>
      </w:rPr>
      <w:fldChar w:fldCharType="begin"/>
    </w:r>
    <w:r>
      <w:rPr>
        <w:rStyle w:val="49"/>
      </w:rPr>
      <w:instrText xml:space="preserve"> NUMPAGES </w:instrText>
    </w:r>
    <w:r>
      <w:rPr>
        <w:rStyle w:val="49"/>
      </w:rPr>
      <w:fldChar w:fldCharType="separate"/>
    </w:r>
    <w:r>
      <w:rPr>
        <w:rStyle w:val="49"/>
      </w:rPr>
      <w:t>5</w:t>
    </w:r>
    <w:r>
      <w:rPr>
        <w:rStyle w:val="4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characterSpacingControl w:val="compressPunctuation"/>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F2B"/>
    <w:rsid w:val="000070C4"/>
    <w:rsid w:val="000103EC"/>
    <w:rsid w:val="00010677"/>
    <w:rsid w:val="00010D3D"/>
    <w:rsid w:val="0001181D"/>
    <w:rsid w:val="00011DFC"/>
    <w:rsid w:val="00012A65"/>
    <w:rsid w:val="00012B8C"/>
    <w:rsid w:val="00014FE9"/>
    <w:rsid w:val="000153B1"/>
    <w:rsid w:val="0001569D"/>
    <w:rsid w:val="00015E67"/>
    <w:rsid w:val="0001660E"/>
    <w:rsid w:val="00016C9C"/>
    <w:rsid w:val="00017416"/>
    <w:rsid w:val="0001743C"/>
    <w:rsid w:val="0002010B"/>
    <w:rsid w:val="00020708"/>
    <w:rsid w:val="00020C1B"/>
    <w:rsid w:val="0002209B"/>
    <w:rsid w:val="000244DF"/>
    <w:rsid w:val="00025356"/>
    <w:rsid w:val="00025CD5"/>
    <w:rsid w:val="00025FDA"/>
    <w:rsid w:val="00026AE7"/>
    <w:rsid w:val="00027038"/>
    <w:rsid w:val="000278B2"/>
    <w:rsid w:val="0003005C"/>
    <w:rsid w:val="00030FFB"/>
    <w:rsid w:val="000322D1"/>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0D0"/>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A7A1E"/>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4AE5"/>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5CD"/>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4B6"/>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7DE"/>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4F65"/>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617"/>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2AD2"/>
    <w:rsid w:val="001C2D3B"/>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6681"/>
    <w:rsid w:val="001D72DC"/>
    <w:rsid w:val="001D789A"/>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000"/>
    <w:rsid w:val="001F54FB"/>
    <w:rsid w:val="001F5CE9"/>
    <w:rsid w:val="001F609C"/>
    <w:rsid w:val="001F6D5A"/>
    <w:rsid w:val="001F7726"/>
    <w:rsid w:val="0020036F"/>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099"/>
    <w:rsid w:val="00214177"/>
    <w:rsid w:val="00214C61"/>
    <w:rsid w:val="00214D4A"/>
    <w:rsid w:val="00214D86"/>
    <w:rsid w:val="00215186"/>
    <w:rsid w:val="00215A1D"/>
    <w:rsid w:val="00216143"/>
    <w:rsid w:val="00216A2E"/>
    <w:rsid w:val="00217230"/>
    <w:rsid w:val="0021734B"/>
    <w:rsid w:val="00217388"/>
    <w:rsid w:val="002176CF"/>
    <w:rsid w:val="00217D10"/>
    <w:rsid w:val="002204DF"/>
    <w:rsid w:val="002205E3"/>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BBF"/>
    <w:rsid w:val="00230B8F"/>
    <w:rsid w:val="0023119E"/>
    <w:rsid w:val="00231BC4"/>
    <w:rsid w:val="00232AC4"/>
    <w:rsid w:val="002334E3"/>
    <w:rsid w:val="00233AE9"/>
    <w:rsid w:val="00235706"/>
    <w:rsid w:val="00235E9F"/>
    <w:rsid w:val="00235F30"/>
    <w:rsid w:val="002365F4"/>
    <w:rsid w:val="0023717B"/>
    <w:rsid w:val="00237808"/>
    <w:rsid w:val="00237D6B"/>
    <w:rsid w:val="00240369"/>
    <w:rsid w:val="002408A7"/>
    <w:rsid w:val="00241078"/>
    <w:rsid w:val="002423C0"/>
    <w:rsid w:val="00242A96"/>
    <w:rsid w:val="00242FC1"/>
    <w:rsid w:val="0024431F"/>
    <w:rsid w:val="00244566"/>
    <w:rsid w:val="002449B2"/>
    <w:rsid w:val="00244A13"/>
    <w:rsid w:val="002453D9"/>
    <w:rsid w:val="0024627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29FF"/>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4118"/>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0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46C1"/>
    <w:rsid w:val="002B486B"/>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3B8"/>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427"/>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0A38"/>
    <w:rsid w:val="00331241"/>
    <w:rsid w:val="003314FE"/>
    <w:rsid w:val="00333067"/>
    <w:rsid w:val="0033333F"/>
    <w:rsid w:val="00333E2A"/>
    <w:rsid w:val="00334461"/>
    <w:rsid w:val="003352B8"/>
    <w:rsid w:val="00335697"/>
    <w:rsid w:val="00335AB6"/>
    <w:rsid w:val="0033675A"/>
    <w:rsid w:val="00336E03"/>
    <w:rsid w:val="00336EBB"/>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0E6"/>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0BC1"/>
    <w:rsid w:val="003A12F8"/>
    <w:rsid w:val="003A1569"/>
    <w:rsid w:val="003A16CA"/>
    <w:rsid w:val="003A1BC0"/>
    <w:rsid w:val="003A3274"/>
    <w:rsid w:val="003A372E"/>
    <w:rsid w:val="003A39B1"/>
    <w:rsid w:val="003A5076"/>
    <w:rsid w:val="003A5234"/>
    <w:rsid w:val="003A530D"/>
    <w:rsid w:val="003A5DA4"/>
    <w:rsid w:val="003A7CBD"/>
    <w:rsid w:val="003B003C"/>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56FB"/>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BC0"/>
    <w:rsid w:val="003D3EC7"/>
    <w:rsid w:val="003D3F0E"/>
    <w:rsid w:val="003D4D83"/>
    <w:rsid w:val="003D622D"/>
    <w:rsid w:val="003E08FD"/>
    <w:rsid w:val="003E1EF2"/>
    <w:rsid w:val="003E2844"/>
    <w:rsid w:val="003E3254"/>
    <w:rsid w:val="003E37CE"/>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0BE"/>
    <w:rsid w:val="00405372"/>
    <w:rsid w:val="00405EDC"/>
    <w:rsid w:val="00406346"/>
    <w:rsid w:val="00406881"/>
    <w:rsid w:val="004072EB"/>
    <w:rsid w:val="004073EB"/>
    <w:rsid w:val="00407CA9"/>
    <w:rsid w:val="004100B9"/>
    <w:rsid w:val="00411C73"/>
    <w:rsid w:val="0041213C"/>
    <w:rsid w:val="004124A1"/>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7F0"/>
    <w:rsid w:val="00422E23"/>
    <w:rsid w:val="0042324D"/>
    <w:rsid w:val="00425499"/>
    <w:rsid w:val="00425A95"/>
    <w:rsid w:val="00425E55"/>
    <w:rsid w:val="0042713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9EC"/>
    <w:rsid w:val="00440CF3"/>
    <w:rsid w:val="00441B4B"/>
    <w:rsid w:val="00441E5E"/>
    <w:rsid w:val="00442507"/>
    <w:rsid w:val="004432F0"/>
    <w:rsid w:val="004433A2"/>
    <w:rsid w:val="00444752"/>
    <w:rsid w:val="00444C2E"/>
    <w:rsid w:val="0044524B"/>
    <w:rsid w:val="004459D0"/>
    <w:rsid w:val="00445BE2"/>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584"/>
    <w:rsid w:val="004565D7"/>
    <w:rsid w:val="00456714"/>
    <w:rsid w:val="00456E84"/>
    <w:rsid w:val="004602D7"/>
    <w:rsid w:val="004603C5"/>
    <w:rsid w:val="00460839"/>
    <w:rsid w:val="00460AE5"/>
    <w:rsid w:val="00461891"/>
    <w:rsid w:val="00461BF4"/>
    <w:rsid w:val="004629B8"/>
    <w:rsid w:val="00462EB2"/>
    <w:rsid w:val="004639A8"/>
    <w:rsid w:val="00464A5A"/>
    <w:rsid w:val="004652AA"/>
    <w:rsid w:val="00465ED0"/>
    <w:rsid w:val="00467258"/>
    <w:rsid w:val="00467EC2"/>
    <w:rsid w:val="004701EC"/>
    <w:rsid w:val="004708E8"/>
    <w:rsid w:val="0047122A"/>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4C8F"/>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BF"/>
    <w:rsid w:val="004C0EF4"/>
    <w:rsid w:val="004C1909"/>
    <w:rsid w:val="004C2393"/>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77D"/>
    <w:rsid w:val="004D4931"/>
    <w:rsid w:val="004D4B48"/>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59C5"/>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447F"/>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27E01"/>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4AE4"/>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3FA1"/>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7E9A"/>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5C4"/>
    <w:rsid w:val="005B5CDA"/>
    <w:rsid w:val="005B6497"/>
    <w:rsid w:val="005B69C8"/>
    <w:rsid w:val="005B725C"/>
    <w:rsid w:val="005B76F7"/>
    <w:rsid w:val="005B7CC5"/>
    <w:rsid w:val="005C0104"/>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84C"/>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55"/>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1AB"/>
    <w:rsid w:val="0061498D"/>
    <w:rsid w:val="00614C47"/>
    <w:rsid w:val="00615178"/>
    <w:rsid w:val="00615ACA"/>
    <w:rsid w:val="00616AF1"/>
    <w:rsid w:val="00616D83"/>
    <w:rsid w:val="00620A7D"/>
    <w:rsid w:val="00620E44"/>
    <w:rsid w:val="00620F86"/>
    <w:rsid w:val="006222DC"/>
    <w:rsid w:val="0062236E"/>
    <w:rsid w:val="00622F51"/>
    <w:rsid w:val="006235FD"/>
    <w:rsid w:val="0062414A"/>
    <w:rsid w:val="0062542A"/>
    <w:rsid w:val="006263EC"/>
    <w:rsid w:val="006269E9"/>
    <w:rsid w:val="0062748A"/>
    <w:rsid w:val="00627D06"/>
    <w:rsid w:val="006309BF"/>
    <w:rsid w:val="00630DD6"/>
    <w:rsid w:val="0063109A"/>
    <w:rsid w:val="00631D48"/>
    <w:rsid w:val="00631DDC"/>
    <w:rsid w:val="00632313"/>
    <w:rsid w:val="00632A4C"/>
    <w:rsid w:val="00632D31"/>
    <w:rsid w:val="006334D1"/>
    <w:rsid w:val="00633BB0"/>
    <w:rsid w:val="00633F9E"/>
    <w:rsid w:val="006350CD"/>
    <w:rsid w:val="00635F76"/>
    <w:rsid w:val="00636605"/>
    <w:rsid w:val="006366EF"/>
    <w:rsid w:val="00636963"/>
    <w:rsid w:val="00637249"/>
    <w:rsid w:val="00637724"/>
    <w:rsid w:val="006377CF"/>
    <w:rsid w:val="00640620"/>
    <w:rsid w:val="00641667"/>
    <w:rsid w:val="00641CD7"/>
    <w:rsid w:val="00642C50"/>
    <w:rsid w:val="00642F5A"/>
    <w:rsid w:val="0064339B"/>
    <w:rsid w:val="00644BBB"/>
    <w:rsid w:val="0064511A"/>
    <w:rsid w:val="00645123"/>
    <w:rsid w:val="00645295"/>
    <w:rsid w:val="0064534C"/>
    <w:rsid w:val="0064538C"/>
    <w:rsid w:val="006454DE"/>
    <w:rsid w:val="00645FE7"/>
    <w:rsid w:val="00646B8E"/>
    <w:rsid w:val="006471AF"/>
    <w:rsid w:val="006479F8"/>
    <w:rsid w:val="006501AD"/>
    <w:rsid w:val="00650784"/>
    <w:rsid w:val="006510B4"/>
    <w:rsid w:val="00651721"/>
    <w:rsid w:val="0065191A"/>
    <w:rsid w:val="006525F0"/>
    <w:rsid w:val="0065265C"/>
    <w:rsid w:val="00653629"/>
    <w:rsid w:val="00653A4C"/>
    <w:rsid w:val="006546AC"/>
    <w:rsid w:val="00654A7F"/>
    <w:rsid w:val="00654CE2"/>
    <w:rsid w:val="0065636B"/>
    <w:rsid w:val="00657834"/>
    <w:rsid w:val="006578AB"/>
    <w:rsid w:val="00657EEC"/>
    <w:rsid w:val="00657F79"/>
    <w:rsid w:val="0066058A"/>
    <w:rsid w:val="00660702"/>
    <w:rsid w:val="00661FA9"/>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21B"/>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84"/>
    <w:rsid w:val="006A7EAF"/>
    <w:rsid w:val="006B05FB"/>
    <w:rsid w:val="006B063A"/>
    <w:rsid w:val="006B0A5E"/>
    <w:rsid w:val="006B2262"/>
    <w:rsid w:val="006B2CDC"/>
    <w:rsid w:val="006B2E5B"/>
    <w:rsid w:val="006B3137"/>
    <w:rsid w:val="006B47B3"/>
    <w:rsid w:val="006B51FA"/>
    <w:rsid w:val="006B58BA"/>
    <w:rsid w:val="006B76F0"/>
    <w:rsid w:val="006C0C71"/>
    <w:rsid w:val="006C2AB5"/>
    <w:rsid w:val="006C4144"/>
    <w:rsid w:val="006C41B0"/>
    <w:rsid w:val="006C440F"/>
    <w:rsid w:val="006C5DAC"/>
    <w:rsid w:val="006C6539"/>
    <w:rsid w:val="006C6594"/>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B7C"/>
    <w:rsid w:val="006D4F8C"/>
    <w:rsid w:val="006D53DF"/>
    <w:rsid w:val="006D5935"/>
    <w:rsid w:val="006D5B80"/>
    <w:rsid w:val="006D69A3"/>
    <w:rsid w:val="006D7000"/>
    <w:rsid w:val="006D72F9"/>
    <w:rsid w:val="006E007F"/>
    <w:rsid w:val="006E0498"/>
    <w:rsid w:val="006E0E90"/>
    <w:rsid w:val="006E128D"/>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2FD0"/>
    <w:rsid w:val="00703611"/>
    <w:rsid w:val="00704C8D"/>
    <w:rsid w:val="007058B5"/>
    <w:rsid w:val="00705BC2"/>
    <w:rsid w:val="00705C4A"/>
    <w:rsid w:val="00707668"/>
    <w:rsid w:val="00710AF1"/>
    <w:rsid w:val="00711839"/>
    <w:rsid w:val="00712020"/>
    <w:rsid w:val="00712540"/>
    <w:rsid w:val="0071419C"/>
    <w:rsid w:val="007151E1"/>
    <w:rsid w:val="00715699"/>
    <w:rsid w:val="00715C7C"/>
    <w:rsid w:val="0071626E"/>
    <w:rsid w:val="00716882"/>
    <w:rsid w:val="00717F62"/>
    <w:rsid w:val="0072125C"/>
    <w:rsid w:val="00721D75"/>
    <w:rsid w:val="00721EBF"/>
    <w:rsid w:val="007220FD"/>
    <w:rsid w:val="007228A7"/>
    <w:rsid w:val="00724982"/>
    <w:rsid w:val="007255AD"/>
    <w:rsid w:val="007258CD"/>
    <w:rsid w:val="007258E6"/>
    <w:rsid w:val="0072628A"/>
    <w:rsid w:val="007263D9"/>
    <w:rsid w:val="007264A5"/>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D55"/>
    <w:rsid w:val="007A689C"/>
    <w:rsid w:val="007A7732"/>
    <w:rsid w:val="007B010A"/>
    <w:rsid w:val="007B0282"/>
    <w:rsid w:val="007B0691"/>
    <w:rsid w:val="007B0C5D"/>
    <w:rsid w:val="007B1803"/>
    <w:rsid w:val="007B2528"/>
    <w:rsid w:val="007B25F3"/>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3504"/>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5CA6"/>
    <w:rsid w:val="007F69C3"/>
    <w:rsid w:val="007F6E4A"/>
    <w:rsid w:val="007F7355"/>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163"/>
    <w:rsid w:val="00811CDA"/>
    <w:rsid w:val="00811E03"/>
    <w:rsid w:val="0081317C"/>
    <w:rsid w:val="00813813"/>
    <w:rsid w:val="00815776"/>
    <w:rsid w:val="00815B07"/>
    <w:rsid w:val="00815DA0"/>
    <w:rsid w:val="00816C69"/>
    <w:rsid w:val="00817919"/>
    <w:rsid w:val="00817FF7"/>
    <w:rsid w:val="0082004B"/>
    <w:rsid w:val="008204BC"/>
    <w:rsid w:val="00820594"/>
    <w:rsid w:val="00820788"/>
    <w:rsid w:val="008208A4"/>
    <w:rsid w:val="00820D50"/>
    <w:rsid w:val="00822D39"/>
    <w:rsid w:val="00822EF3"/>
    <w:rsid w:val="00823351"/>
    <w:rsid w:val="008236DD"/>
    <w:rsid w:val="00823916"/>
    <w:rsid w:val="00823CDE"/>
    <w:rsid w:val="00824BFD"/>
    <w:rsid w:val="00825C36"/>
    <w:rsid w:val="0082733A"/>
    <w:rsid w:val="008276D6"/>
    <w:rsid w:val="00827F99"/>
    <w:rsid w:val="00832230"/>
    <w:rsid w:val="00833010"/>
    <w:rsid w:val="00834B8A"/>
    <w:rsid w:val="00836601"/>
    <w:rsid w:val="00837206"/>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0470"/>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701"/>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4BEC"/>
    <w:rsid w:val="00895A0F"/>
    <w:rsid w:val="00895E77"/>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A6D"/>
    <w:rsid w:val="008A65F4"/>
    <w:rsid w:val="008A6930"/>
    <w:rsid w:val="008A7037"/>
    <w:rsid w:val="008A751D"/>
    <w:rsid w:val="008A7CE2"/>
    <w:rsid w:val="008B0082"/>
    <w:rsid w:val="008B022E"/>
    <w:rsid w:val="008B147C"/>
    <w:rsid w:val="008B19A5"/>
    <w:rsid w:val="008B2642"/>
    <w:rsid w:val="008B2788"/>
    <w:rsid w:val="008B3663"/>
    <w:rsid w:val="008B36AF"/>
    <w:rsid w:val="008B46FF"/>
    <w:rsid w:val="008B4CFE"/>
    <w:rsid w:val="008B5ED8"/>
    <w:rsid w:val="008B5F7E"/>
    <w:rsid w:val="008B75CD"/>
    <w:rsid w:val="008B78DD"/>
    <w:rsid w:val="008C0364"/>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5536"/>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5B07"/>
    <w:rsid w:val="00906F16"/>
    <w:rsid w:val="00907932"/>
    <w:rsid w:val="009107B2"/>
    <w:rsid w:val="009116D3"/>
    <w:rsid w:val="0091189F"/>
    <w:rsid w:val="00911E60"/>
    <w:rsid w:val="0091269D"/>
    <w:rsid w:val="00912781"/>
    <w:rsid w:val="00912C77"/>
    <w:rsid w:val="009137A3"/>
    <w:rsid w:val="009139D9"/>
    <w:rsid w:val="00913F4A"/>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119"/>
    <w:rsid w:val="00936795"/>
    <w:rsid w:val="00936C33"/>
    <w:rsid w:val="00936E45"/>
    <w:rsid w:val="00937494"/>
    <w:rsid w:val="00937908"/>
    <w:rsid w:val="00937D05"/>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B51"/>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6E13"/>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BB4"/>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133"/>
    <w:rsid w:val="00A134DE"/>
    <w:rsid w:val="00A13D6B"/>
    <w:rsid w:val="00A159B6"/>
    <w:rsid w:val="00A15D64"/>
    <w:rsid w:val="00A16287"/>
    <w:rsid w:val="00A179A1"/>
    <w:rsid w:val="00A17D8A"/>
    <w:rsid w:val="00A20DB2"/>
    <w:rsid w:val="00A22500"/>
    <w:rsid w:val="00A23A07"/>
    <w:rsid w:val="00A2420D"/>
    <w:rsid w:val="00A24956"/>
    <w:rsid w:val="00A25084"/>
    <w:rsid w:val="00A26402"/>
    <w:rsid w:val="00A2654C"/>
    <w:rsid w:val="00A26864"/>
    <w:rsid w:val="00A30AB2"/>
    <w:rsid w:val="00A30CEF"/>
    <w:rsid w:val="00A31090"/>
    <w:rsid w:val="00A311C0"/>
    <w:rsid w:val="00A31492"/>
    <w:rsid w:val="00A31F09"/>
    <w:rsid w:val="00A3224A"/>
    <w:rsid w:val="00A3238B"/>
    <w:rsid w:val="00A3338C"/>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515"/>
    <w:rsid w:val="00A5163E"/>
    <w:rsid w:val="00A5188F"/>
    <w:rsid w:val="00A51A45"/>
    <w:rsid w:val="00A51EEC"/>
    <w:rsid w:val="00A52CB7"/>
    <w:rsid w:val="00A55B7E"/>
    <w:rsid w:val="00A55DAD"/>
    <w:rsid w:val="00A56BC1"/>
    <w:rsid w:val="00A5720F"/>
    <w:rsid w:val="00A5777E"/>
    <w:rsid w:val="00A57C55"/>
    <w:rsid w:val="00A60C2F"/>
    <w:rsid w:val="00A60D5F"/>
    <w:rsid w:val="00A615D9"/>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43E"/>
    <w:rsid w:val="00A765DF"/>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1B81"/>
    <w:rsid w:val="00A9224D"/>
    <w:rsid w:val="00A93A39"/>
    <w:rsid w:val="00A94E43"/>
    <w:rsid w:val="00A951D4"/>
    <w:rsid w:val="00A955B1"/>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F70"/>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B91"/>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3AE"/>
    <w:rsid w:val="00B40EAA"/>
    <w:rsid w:val="00B42195"/>
    <w:rsid w:val="00B42583"/>
    <w:rsid w:val="00B44569"/>
    <w:rsid w:val="00B44AF0"/>
    <w:rsid w:val="00B4514D"/>
    <w:rsid w:val="00B45A51"/>
    <w:rsid w:val="00B45F96"/>
    <w:rsid w:val="00B4708F"/>
    <w:rsid w:val="00B473AA"/>
    <w:rsid w:val="00B47E1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974"/>
    <w:rsid w:val="00B81A4A"/>
    <w:rsid w:val="00B827B7"/>
    <w:rsid w:val="00B82A00"/>
    <w:rsid w:val="00B82CFC"/>
    <w:rsid w:val="00B838C9"/>
    <w:rsid w:val="00B846E9"/>
    <w:rsid w:val="00B84FAB"/>
    <w:rsid w:val="00B85ED2"/>
    <w:rsid w:val="00B860DB"/>
    <w:rsid w:val="00B86168"/>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79FC"/>
    <w:rsid w:val="00BB06AE"/>
    <w:rsid w:val="00BB2564"/>
    <w:rsid w:val="00BB269C"/>
    <w:rsid w:val="00BB4542"/>
    <w:rsid w:val="00BB4BC4"/>
    <w:rsid w:val="00BB4BEF"/>
    <w:rsid w:val="00BB4EDF"/>
    <w:rsid w:val="00BB57A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12E"/>
    <w:rsid w:val="00BD652A"/>
    <w:rsid w:val="00BD6990"/>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5D7"/>
    <w:rsid w:val="00C13CFD"/>
    <w:rsid w:val="00C143CC"/>
    <w:rsid w:val="00C15E88"/>
    <w:rsid w:val="00C1642D"/>
    <w:rsid w:val="00C16780"/>
    <w:rsid w:val="00C16CF4"/>
    <w:rsid w:val="00C16FF3"/>
    <w:rsid w:val="00C1720B"/>
    <w:rsid w:val="00C1791D"/>
    <w:rsid w:val="00C17D01"/>
    <w:rsid w:val="00C211B3"/>
    <w:rsid w:val="00C221C8"/>
    <w:rsid w:val="00C22278"/>
    <w:rsid w:val="00C226F5"/>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4B0F"/>
    <w:rsid w:val="00C36A16"/>
    <w:rsid w:val="00C3771F"/>
    <w:rsid w:val="00C3775C"/>
    <w:rsid w:val="00C37F46"/>
    <w:rsid w:val="00C408A1"/>
    <w:rsid w:val="00C40DB1"/>
    <w:rsid w:val="00C4107B"/>
    <w:rsid w:val="00C41EF2"/>
    <w:rsid w:val="00C42217"/>
    <w:rsid w:val="00C43270"/>
    <w:rsid w:val="00C434C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5D28"/>
    <w:rsid w:val="00C57965"/>
    <w:rsid w:val="00C57DBB"/>
    <w:rsid w:val="00C57FE5"/>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A72"/>
    <w:rsid w:val="00C75315"/>
    <w:rsid w:val="00C7569E"/>
    <w:rsid w:val="00C77076"/>
    <w:rsid w:val="00C7749D"/>
    <w:rsid w:val="00C778E1"/>
    <w:rsid w:val="00C83374"/>
    <w:rsid w:val="00C833A9"/>
    <w:rsid w:val="00C83F3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411"/>
    <w:rsid w:val="00CB1B03"/>
    <w:rsid w:val="00CB2AA3"/>
    <w:rsid w:val="00CB3245"/>
    <w:rsid w:val="00CB386C"/>
    <w:rsid w:val="00CB3D90"/>
    <w:rsid w:val="00CB40E6"/>
    <w:rsid w:val="00CB5C80"/>
    <w:rsid w:val="00CB6597"/>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23A4"/>
    <w:rsid w:val="00CE331D"/>
    <w:rsid w:val="00CE3338"/>
    <w:rsid w:val="00CE3A6F"/>
    <w:rsid w:val="00CE3BB7"/>
    <w:rsid w:val="00CE3D09"/>
    <w:rsid w:val="00CE3DC6"/>
    <w:rsid w:val="00CE42B5"/>
    <w:rsid w:val="00CE4B51"/>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04AA"/>
    <w:rsid w:val="00D01D3D"/>
    <w:rsid w:val="00D03A01"/>
    <w:rsid w:val="00D03AE5"/>
    <w:rsid w:val="00D03BA5"/>
    <w:rsid w:val="00D0406C"/>
    <w:rsid w:val="00D0446D"/>
    <w:rsid w:val="00D06EE4"/>
    <w:rsid w:val="00D0796B"/>
    <w:rsid w:val="00D07FB2"/>
    <w:rsid w:val="00D10529"/>
    <w:rsid w:val="00D1099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BFF"/>
    <w:rsid w:val="00D3172D"/>
    <w:rsid w:val="00D3241B"/>
    <w:rsid w:val="00D32510"/>
    <w:rsid w:val="00D327D9"/>
    <w:rsid w:val="00D332DF"/>
    <w:rsid w:val="00D366F5"/>
    <w:rsid w:val="00D37241"/>
    <w:rsid w:val="00D374DF"/>
    <w:rsid w:val="00D37873"/>
    <w:rsid w:val="00D40639"/>
    <w:rsid w:val="00D40A37"/>
    <w:rsid w:val="00D41607"/>
    <w:rsid w:val="00D41B1C"/>
    <w:rsid w:val="00D4364A"/>
    <w:rsid w:val="00D44A5D"/>
    <w:rsid w:val="00D5291E"/>
    <w:rsid w:val="00D530BB"/>
    <w:rsid w:val="00D532B2"/>
    <w:rsid w:val="00D539DB"/>
    <w:rsid w:val="00D53C22"/>
    <w:rsid w:val="00D540C0"/>
    <w:rsid w:val="00D5418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441"/>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A7B"/>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B74AF"/>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951"/>
    <w:rsid w:val="00DE0CF1"/>
    <w:rsid w:val="00DE0F02"/>
    <w:rsid w:val="00DE133C"/>
    <w:rsid w:val="00DE1A6E"/>
    <w:rsid w:val="00DE2B39"/>
    <w:rsid w:val="00DE361D"/>
    <w:rsid w:val="00DE39AF"/>
    <w:rsid w:val="00DE4FEE"/>
    <w:rsid w:val="00DE524A"/>
    <w:rsid w:val="00DE5E9D"/>
    <w:rsid w:val="00DE5F1C"/>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27B4"/>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16D"/>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57FE9"/>
    <w:rsid w:val="00E6097C"/>
    <w:rsid w:val="00E614F3"/>
    <w:rsid w:val="00E61DE5"/>
    <w:rsid w:val="00E6220E"/>
    <w:rsid w:val="00E62425"/>
    <w:rsid w:val="00E640C5"/>
    <w:rsid w:val="00E648D9"/>
    <w:rsid w:val="00E65089"/>
    <w:rsid w:val="00E65AD6"/>
    <w:rsid w:val="00E65B35"/>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4F3E"/>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A01"/>
    <w:rsid w:val="00EA166C"/>
    <w:rsid w:val="00EA1BA9"/>
    <w:rsid w:val="00EA2FC9"/>
    <w:rsid w:val="00EA32AE"/>
    <w:rsid w:val="00EA3DA2"/>
    <w:rsid w:val="00EA3DBB"/>
    <w:rsid w:val="00EA4776"/>
    <w:rsid w:val="00EA4C8D"/>
    <w:rsid w:val="00EA4FC3"/>
    <w:rsid w:val="00EA5703"/>
    <w:rsid w:val="00EA6C98"/>
    <w:rsid w:val="00EB045D"/>
    <w:rsid w:val="00EB0CC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1DD4"/>
    <w:rsid w:val="00ED23C1"/>
    <w:rsid w:val="00ED297B"/>
    <w:rsid w:val="00ED3169"/>
    <w:rsid w:val="00ED3D63"/>
    <w:rsid w:val="00ED4866"/>
    <w:rsid w:val="00ED508C"/>
    <w:rsid w:val="00ED6A98"/>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0711"/>
    <w:rsid w:val="00F01820"/>
    <w:rsid w:val="00F01873"/>
    <w:rsid w:val="00F02CDD"/>
    <w:rsid w:val="00F03544"/>
    <w:rsid w:val="00F0366C"/>
    <w:rsid w:val="00F04061"/>
    <w:rsid w:val="00F042B9"/>
    <w:rsid w:val="00F046D3"/>
    <w:rsid w:val="00F047ED"/>
    <w:rsid w:val="00F06431"/>
    <w:rsid w:val="00F07190"/>
    <w:rsid w:val="00F107C7"/>
    <w:rsid w:val="00F10B13"/>
    <w:rsid w:val="00F10E0B"/>
    <w:rsid w:val="00F110ED"/>
    <w:rsid w:val="00F11816"/>
    <w:rsid w:val="00F12859"/>
    <w:rsid w:val="00F14189"/>
    <w:rsid w:val="00F14C89"/>
    <w:rsid w:val="00F15357"/>
    <w:rsid w:val="00F156C5"/>
    <w:rsid w:val="00F165FC"/>
    <w:rsid w:val="00F17801"/>
    <w:rsid w:val="00F17C43"/>
    <w:rsid w:val="00F2056F"/>
    <w:rsid w:val="00F22376"/>
    <w:rsid w:val="00F22422"/>
    <w:rsid w:val="00F23B33"/>
    <w:rsid w:val="00F24BDA"/>
    <w:rsid w:val="00F25978"/>
    <w:rsid w:val="00F267D7"/>
    <w:rsid w:val="00F273D3"/>
    <w:rsid w:val="00F27B69"/>
    <w:rsid w:val="00F306A3"/>
    <w:rsid w:val="00F323D9"/>
    <w:rsid w:val="00F333B7"/>
    <w:rsid w:val="00F339AF"/>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0F0F"/>
    <w:rsid w:val="00F71BF2"/>
    <w:rsid w:val="00F71FD0"/>
    <w:rsid w:val="00F7275C"/>
    <w:rsid w:val="00F7279A"/>
    <w:rsid w:val="00F73330"/>
    <w:rsid w:val="00F733F9"/>
    <w:rsid w:val="00F73D16"/>
    <w:rsid w:val="00F73D39"/>
    <w:rsid w:val="00F75FEB"/>
    <w:rsid w:val="00F7625A"/>
    <w:rsid w:val="00F764FF"/>
    <w:rsid w:val="00F7752E"/>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5B6"/>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743"/>
    <w:rsid w:val="00FB7390"/>
    <w:rsid w:val="00FB754A"/>
    <w:rsid w:val="00FC00C8"/>
    <w:rsid w:val="00FC1334"/>
    <w:rsid w:val="00FC142B"/>
    <w:rsid w:val="00FC2256"/>
    <w:rsid w:val="00FC267B"/>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01772317"/>
    <w:rsid w:val="02E14C48"/>
    <w:rsid w:val="035F3318"/>
    <w:rsid w:val="049114C9"/>
    <w:rsid w:val="08642E79"/>
    <w:rsid w:val="09CB0747"/>
    <w:rsid w:val="09E3503A"/>
    <w:rsid w:val="0A3D4134"/>
    <w:rsid w:val="0CEF0526"/>
    <w:rsid w:val="0F174DC4"/>
    <w:rsid w:val="0F4544FC"/>
    <w:rsid w:val="10E671D9"/>
    <w:rsid w:val="11057456"/>
    <w:rsid w:val="11487344"/>
    <w:rsid w:val="11CF799F"/>
    <w:rsid w:val="1209695E"/>
    <w:rsid w:val="133A1877"/>
    <w:rsid w:val="14F212EA"/>
    <w:rsid w:val="154148ED"/>
    <w:rsid w:val="16173564"/>
    <w:rsid w:val="167F1DE3"/>
    <w:rsid w:val="16EE7E2B"/>
    <w:rsid w:val="17146175"/>
    <w:rsid w:val="17FE485A"/>
    <w:rsid w:val="180A451C"/>
    <w:rsid w:val="18DB3A9C"/>
    <w:rsid w:val="1B672F15"/>
    <w:rsid w:val="1B956532"/>
    <w:rsid w:val="1C833C55"/>
    <w:rsid w:val="20542BB4"/>
    <w:rsid w:val="23903CDE"/>
    <w:rsid w:val="23CD3EE7"/>
    <w:rsid w:val="252653FE"/>
    <w:rsid w:val="25830256"/>
    <w:rsid w:val="25F01D48"/>
    <w:rsid w:val="26E2511F"/>
    <w:rsid w:val="26F9083B"/>
    <w:rsid w:val="28B00ECC"/>
    <w:rsid w:val="28B40580"/>
    <w:rsid w:val="295142D9"/>
    <w:rsid w:val="29D222A8"/>
    <w:rsid w:val="2B5D43BD"/>
    <w:rsid w:val="2E4A013D"/>
    <w:rsid w:val="2E9E41E9"/>
    <w:rsid w:val="307E7F39"/>
    <w:rsid w:val="30FC114A"/>
    <w:rsid w:val="31AB668C"/>
    <w:rsid w:val="33334E8E"/>
    <w:rsid w:val="33E46A45"/>
    <w:rsid w:val="377E4F55"/>
    <w:rsid w:val="392F7762"/>
    <w:rsid w:val="3AF5074E"/>
    <w:rsid w:val="3BB22DC0"/>
    <w:rsid w:val="3EDB6659"/>
    <w:rsid w:val="3F6C5805"/>
    <w:rsid w:val="415A0D7C"/>
    <w:rsid w:val="42503B2B"/>
    <w:rsid w:val="4259696B"/>
    <w:rsid w:val="43906F7A"/>
    <w:rsid w:val="4656090D"/>
    <w:rsid w:val="47392CA0"/>
    <w:rsid w:val="47B303B1"/>
    <w:rsid w:val="4A9E1D4D"/>
    <w:rsid w:val="4BAB7C31"/>
    <w:rsid w:val="4C2F1D7C"/>
    <w:rsid w:val="4D590BF1"/>
    <w:rsid w:val="4F7D7F62"/>
    <w:rsid w:val="51A072F7"/>
    <w:rsid w:val="51C51AB5"/>
    <w:rsid w:val="5320354F"/>
    <w:rsid w:val="533030B9"/>
    <w:rsid w:val="55786DC4"/>
    <w:rsid w:val="58471958"/>
    <w:rsid w:val="58714C43"/>
    <w:rsid w:val="59032653"/>
    <w:rsid w:val="597C443C"/>
    <w:rsid w:val="5AFF5D04"/>
    <w:rsid w:val="5B390AAD"/>
    <w:rsid w:val="5CA73892"/>
    <w:rsid w:val="5CEC084E"/>
    <w:rsid w:val="5D4E2409"/>
    <w:rsid w:val="5D9D0DF2"/>
    <w:rsid w:val="5DB72A19"/>
    <w:rsid w:val="5F3841E3"/>
    <w:rsid w:val="5F667D08"/>
    <w:rsid w:val="5FE944F5"/>
    <w:rsid w:val="61386389"/>
    <w:rsid w:val="61B85C5C"/>
    <w:rsid w:val="629A641D"/>
    <w:rsid w:val="62D24BD5"/>
    <w:rsid w:val="63603BE5"/>
    <w:rsid w:val="63CC129D"/>
    <w:rsid w:val="641C5FE0"/>
    <w:rsid w:val="643B4F0D"/>
    <w:rsid w:val="64B941CC"/>
    <w:rsid w:val="64CC6B27"/>
    <w:rsid w:val="65670E6D"/>
    <w:rsid w:val="67FE62C2"/>
    <w:rsid w:val="698279A8"/>
    <w:rsid w:val="6985295A"/>
    <w:rsid w:val="69DC353A"/>
    <w:rsid w:val="6A391A66"/>
    <w:rsid w:val="6AD611D4"/>
    <w:rsid w:val="6C1044DC"/>
    <w:rsid w:val="6CA770A9"/>
    <w:rsid w:val="6CDE590A"/>
    <w:rsid w:val="6EDC5ADD"/>
    <w:rsid w:val="6F942D9B"/>
    <w:rsid w:val="6FEF3DB2"/>
    <w:rsid w:val="717532B1"/>
    <w:rsid w:val="71C9279E"/>
    <w:rsid w:val="71EC41F4"/>
    <w:rsid w:val="71FB48CE"/>
    <w:rsid w:val="721329F2"/>
    <w:rsid w:val="726254B8"/>
    <w:rsid w:val="729F531D"/>
    <w:rsid w:val="7346536B"/>
    <w:rsid w:val="76200BCB"/>
    <w:rsid w:val="78041A17"/>
    <w:rsid w:val="78112FD2"/>
    <w:rsid w:val="7828694B"/>
    <w:rsid w:val="79825BD6"/>
    <w:rsid w:val="7B9F5DD5"/>
    <w:rsid w:val="7CBB4C39"/>
    <w:rsid w:val="7DD47A7D"/>
    <w:rsid w:val="7E0F77C5"/>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Arial" w:hAnsi="Arial" w:eastAsia="MS Gothic"/>
    </w:rPr>
  </w:style>
  <w:style w:type="paragraph" w:styleId="29">
    <w:name w:val="annotation text"/>
    <w:basedOn w:val="1"/>
    <w:semiHidden/>
    <w:qFormat/>
    <w:uiPriority w:val="0"/>
  </w:style>
  <w:style w:type="paragraph" w:styleId="30">
    <w:name w:val="Body Text"/>
    <w:basedOn w:val="1"/>
    <w:qFormat/>
    <w:uiPriority w:val="0"/>
  </w:style>
  <w:style w:type="paragraph" w:styleId="31">
    <w:name w:val="Body Text Indent"/>
    <w:basedOn w:val="1"/>
    <w:qFormat/>
    <w:uiPriority w:val="0"/>
    <w:pPr>
      <w:ind w:left="720"/>
    </w:pPr>
    <w:rPr>
      <w:b/>
      <w:bC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Date"/>
    <w:basedOn w:val="1"/>
    <w:next w:val="1"/>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page number"/>
    <w:basedOn w:val="47"/>
    <w:qFormat/>
    <w:uiPriority w:val="0"/>
  </w:style>
  <w:style w:type="character" w:styleId="50">
    <w:name w:val="Emphasis"/>
    <w:qFormat/>
    <w:uiPriority w:val="0"/>
    <w:rPr>
      <w:b/>
      <w:b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basedOn w:val="47"/>
    <w:semiHidden/>
    <w:qFormat/>
    <w:uiPriority w:val="0"/>
    <w:rPr>
      <w:b/>
      <w:position w:val="6"/>
      <w:sz w:val="16"/>
    </w:rPr>
  </w:style>
  <w:style w:type="paragraph" w:customStyle="1" w:styleId="54">
    <w:name w:val="normal puce"/>
    <w:basedOn w:val="1"/>
    <w:qFormat/>
    <w:uiPriority w:val="0"/>
    <w:pPr>
      <w:tabs>
        <w:tab w:val="left" w:pos="360"/>
      </w:tabs>
      <w:ind w:left="360" w:hanging="360"/>
    </w:pPr>
  </w:style>
  <w:style w:type="paragraph" w:customStyle="1" w:styleId="55">
    <w:name w:val="B1"/>
    <w:basedOn w:val="14"/>
    <w:link w:val="97"/>
    <w:qFormat/>
    <w:uiPriority w:val="0"/>
  </w:style>
  <w:style w:type="paragraph" w:customStyle="1" w:styleId="56">
    <w:name w:val="TAL"/>
    <w:basedOn w:val="1"/>
    <w:qFormat/>
    <w:uiPriority w:val="0"/>
    <w:pPr>
      <w:keepNext/>
      <w:keepLines/>
      <w:spacing w:after="0"/>
    </w:pPr>
    <w:rPr>
      <w:rFonts w:ascii="Arial" w:hAnsi="Arial"/>
      <w:sz w:val="18"/>
    </w:rPr>
  </w:style>
  <w:style w:type="paragraph" w:customStyle="1" w:styleId="57">
    <w:name w:val="Rec_CCITT_#"/>
    <w:basedOn w:val="1"/>
    <w:qFormat/>
    <w:uiPriority w:val="0"/>
    <w:pPr>
      <w:keepNext/>
      <w:keepLines/>
    </w:pPr>
    <w:rPr>
      <w:b/>
      <w:bCs/>
    </w:rPr>
  </w:style>
  <w:style w:type="paragraph" w:customStyle="1" w:styleId="5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56"/>
    <w:qFormat/>
    <w:uiPriority w:val="0"/>
    <w:pPr>
      <w:jc w:val="center"/>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0"/>
    <w:qFormat/>
    <w:uiPriority w:val="0"/>
  </w:style>
  <w:style w:type="paragraph" w:customStyle="1" w:styleId="89">
    <w:name w:val="B5"/>
    <w:basedOn w:val="39"/>
    <w:qFormat/>
    <w:uiPriority w:val="0"/>
  </w:style>
  <w:style w:type="paragraph" w:customStyle="1" w:styleId="90">
    <w:name w:val="ZTD"/>
    <w:basedOn w:val="79"/>
    <w:qFormat/>
    <w:uiPriority w:val="0"/>
    <w:pPr>
      <w:framePr w:hRule="auto" w:y="852"/>
    </w:pPr>
    <w:rPr>
      <w:i w:val="0"/>
      <w:sz w:val="40"/>
    </w:rPr>
  </w:style>
  <w:style w:type="character" w:customStyle="1" w:styleId="91">
    <w:name w:val="apple-style-span"/>
    <w:basedOn w:val="47"/>
    <w:qFormat/>
    <w:uiPriority w:val="0"/>
  </w:style>
  <w:style w:type="paragraph" w:customStyle="1" w:styleId="9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
    <w:name w:val="Doc-title Char"/>
    <w:link w:val="94"/>
    <w:qFormat/>
    <w:locked/>
    <w:uiPriority w:val="0"/>
    <w:rPr>
      <w:rFonts w:ascii="Arial" w:hAnsi="Arial" w:cs="Arial"/>
      <w:szCs w:val="24"/>
      <w:lang w:val="en-GB" w:eastAsia="en-GB"/>
    </w:rPr>
  </w:style>
  <w:style w:type="paragraph" w:customStyle="1" w:styleId="94">
    <w:name w:val="Doc-title"/>
    <w:basedOn w:val="1"/>
    <w:next w:val="1"/>
    <w:link w:val="93"/>
    <w:qFormat/>
    <w:uiPriority w:val="0"/>
    <w:pPr>
      <w:overflowPunct/>
      <w:autoSpaceDE/>
      <w:autoSpaceDN/>
      <w:adjustRightInd/>
      <w:spacing w:after="0"/>
      <w:ind w:left="1260" w:hanging="1260"/>
      <w:textAlignment w:val="auto"/>
    </w:pPr>
    <w:rPr>
      <w:rFonts w:ascii="Arial" w:hAnsi="Arial" w:eastAsia="MS Mincho"/>
      <w:szCs w:val="24"/>
      <w:lang w:eastAsia="en-G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96">
    <w:name w:val="Doc-text2 Char"/>
    <w:link w:val="95"/>
    <w:qFormat/>
    <w:locked/>
    <w:uiPriority w:val="0"/>
    <w:rPr>
      <w:rFonts w:ascii="Arial" w:hAnsi="Arial"/>
      <w:szCs w:val="24"/>
      <w:lang w:val="en-GB" w:eastAsia="en-GB"/>
    </w:rPr>
  </w:style>
  <w:style w:type="character" w:customStyle="1" w:styleId="97">
    <w:name w:val="B1 Char"/>
    <w:link w:val="55"/>
    <w:qFormat/>
    <w:uiPriority w:val="0"/>
    <w:rPr>
      <w:rFonts w:eastAsia="Times New Roman"/>
      <w:lang w:val="en-GB" w:eastAsia="en-US"/>
    </w:rPr>
  </w:style>
  <w:style w:type="paragraph" w:customStyle="1" w:styleId="98">
    <w:name w:val="CR Cover Page"/>
    <w:link w:val="99"/>
    <w:qFormat/>
    <w:uiPriority w:val="0"/>
    <w:pPr>
      <w:spacing w:after="120"/>
    </w:pPr>
    <w:rPr>
      <w:rFonts w:ascii="Arial" w:hAnsi="Arial" w:eastAsia="宋体" w:cs="Times New Roman"/>
      <w:lang w:val="en-GB" w:eastAsia="en-US" w:bidi="ar-SA"/>
    </w:rPr>
  </w:style>
  <w:style w:type="character" w:customStyle="1" w:styleId="99">
    <w:name w:val="CR Cover Page Zchn"/>
    <w:link w:val="98"/>
    <w:qFormat/>
    <w:locked/>
    <w:uiPriority w:val="0"/>
    <w:rPr>
      <w:rFonts w:ascii="Arial" w:hAnsi="Arial" w:eastAsia="宋体"/>
      <w:lang w:val="en-GB" w:eastAsia="en-US"/>
    </w:rPr>
  </w:style>
  <w:style w:type="paragraph" w:styleId="100">
    <w:name w:val="List Paragraph"/>
    <w:basedOn w:val="1"/>
    <w:qFormat/>
    <w:uiPriority w:val="99"/>
    <w:pPr>
      <w:ind w:left="720"/>
      <w:contextualSpacing/>
    </w:pPr>
  </w:style>
  <w:style w:type="paragraph" w:customStyle="1" w:styleId="101">
    <w:name w:val="AgreementsBox"/>
    <w:basedOn w:val="95"/>
    <w:qFormat/>
    <w:uiPriority w:val="0"/>
    <w:pPr>
      <w:pBdr>
        <w:top w:val="single" w:color="auto" w:sz="4" w:space="1"/>
        <w:left w:val="single" w:color="auto" w:sz="4" w:space="4"/>
        <w:bottom w:val="single" w:color="auto" w:sz="4" w:space="1"/>
        <w:right w:val="single" w:color="auto" w:sz="4" w:space="4"/>
      </w:pBdr>
      <w:ind w:left="1259" w:firstLine="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Huawei Technologies Co., Ltd.</Company>
  <Pages>5</Pages>
  <Words>2101</Words>
  <Characters>11980</Characters>
  <Lines>99</Lines>
  <Paragraphs>28</Paragraphs>
  <TotalTime>0</TotalTime>
  <ScaleCrop>false</ScaleCrop>
  <LinksUpToDate>false</LinksUpToDate>
  <CharactersWithSpaces>14053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2022-03-10T10:45:00Z</dcterms:created>
  <dc:creator>Joern Krause</dc:creator>
  <cp:lastModifiedBy>CMCC</cp:lastModifiedBy>
  <cp:lastPrinted>2014-08-13T09:20:00Z</cp:lastPrinted>
  <dcterms:modified xsi:type="dcterms:W3CDTF">2023-12-01T09:36:42Z</dcterms:modified>
  <dc:title>WI summary template</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AE654E7FB8E14C39B285CAC8E623D06E</vt:lpwstr>
  </property>
</Properties>
</file>