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rPr>
                <w:highlight w:val="none"/>
              </w:rPr>
            </w:pPr>
            <w:bookmarkStart w:id="0" w:name="page1"/>
            <w:bookmarkStart w:id="53" w:name="_GoBack"/>
            <w:bookmarkEnd w:id="53"/>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834</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2</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07</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4"/>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rPr>
                <w:highlight w:val="none"/>
              </w:rPr>
            </w:pPr>
            <w:r>
              <w:rPr>
                <w:highlight w:val="none"/>
              </w:rPr>
              <w:t>3rd Generation Partnership Project;</w:t>
            </w:r>
          </w:p>
          <w:p>
            <w:pPr>
              <w:pStyle w:val="51"/>
              <w:framePr w:wrap="auto" w:vAnchor="margin" w:hAnchor="text" w:yAlign="inline"/>
              <w:rPr>
                <w:highlight w:val="none"/>
              </w:rPr>
            </w:pPr>
            <w:r>
              <w:rPr>
                <w:highlight w:val="none"/>
              </w:rPr>
              <w:t>Technical Specification Group Services and System Aspects;</w:t>
            </w:r>
          </w:p>
          <w:p>
            <w:pPr>
              <w:pStyle w:val="51"/>
              <w:framePr w:wrap="auto" w:vAnchor="margin" w:hAnchor="text" w:yAlign="inline"/>
              <w:rPr>
                <w:highlight w:val="none"/>
              </w:rPr>
            </w:pPr>
            <w:r>
              <w:rPr>
                <w:highlight w:val="none"/>
              </w:rPr>
              <w:t>Management and orchestration;</w:t>
            </w:r>
          </w:p>
          <w:p>
            <w:pPr>
              <w:pStyle w:val="51"/>
              <w:framePr w:wrap="auto" w:vAnchor="margin" w:hAnchor="text" w:yAlign="inline"/>
              <w:rPr>
                <w:highlight w:val="none"/>
              </w:rPr>
            </w:pPr>
            <w:r>
              <w:t>Study on Management of Cloud Native Virtualized Network Functions</w:t>
            </w:r>
            <w:r>
              <w:rPr>
                <w:highlight w:val="none"/>
              </w:rPr>
              <w:t>;</w:t>
            </w:r>
          </w:p>
          <w:p>
            <w:pPr>
              <w:pStyle w:val="51"/>
              <w:framePr w:wrap="auto" w:vAnchor="margin" w:hAnchor="text" w:yAlign="inline"/>
              <w:rPr>
                <w:highlight w:val="none"/>
              </w:rPr>
            </w:pPr>
            <w:r>
              <w:rPr>
                <w:highlight w:val="none"/>
              </w:rPr>
              <w:t xml:space="preserve"> </w:t>
            </w:r>
          </w:p>
          <w:p>
            <w:pPr>
              <w:pStyle w:val="51"/>
              <w:framePr w:wrap="auto" w:vAnchor="margin" w:hAnchor="text" w:yAlign="inline"/>
              <w:rPr>
                <w:i/>
                <w:sz w:val="28"/>
                <w:highlight w:val="none"/>
              </w:rPr>
            </w:pPr>
            <w:r>
              <w:rPr>
                <w:highlight w:val="none"/>
              </w:rPr>
              <w:t>(</w:t>
            </w:r>
            <w:r>
              <w:rPr>
                <w:rStyle w:val="31"/>
                <w:highlight w:val="none"/>
              </w:rPr>
              <w:t>Release 1</w:t>
            </w:r>
            <w:r>
              <w:rPr>
                <w:rStyle w:val="31"/>
                <w:rFonts w:hint="default"/>
                <w:highlight w:val="none"/>
                <w:lang w:val="en-US"/>
              </w:rPr>
              <w:t>8</w:t>
            </w:r>
            <w:r>
              <w:rPr>
                <w:rStyle w:val="31"/>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8"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3"/>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3"/>
              <w:jc w:val="center"/>
              <w:rPr>
                <w:highlight w:val="none"/>
              </w:rPr>
            </w:pPr>
          </w:p>
          <w:p>
            <w:pPr>
              <w:pStyle w:val="43"/>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3"/>
              <w:jc w:val="center"/>
              <w:rPr>
                <w:sz w:val="18"/>
                <w:highlight w:val="none"/>
              </w:rPr>
            </w:pPr>
            <w:r>
              <w:rPr>
                <w:sz w:val="18"/>
                <w:highlight w:val="none"/>
              </w:rPr>
              <w:t>All rights reserved.</w:t>
            </w:r>
          </w:p>
          <w:p>
            <w:pPr>
              <w:pStyle w:val="43"/>
              <w:rPr>
                <w:sz w:val="18"/>
                <w:highlight w:val="none"/>
              </w:rPr>
            </w:pPr>
          </w:p>
          <w:p>
            <w:pPr>
              <w:pStyle w:val="43"/>
              <w:rPr>
                <w:sz w:val="18"/>
                <w:highlight w:val="none"/>
              </w:rPr>
            </w:pPr>
            <w:r>
              <w:rPr>
                <w:sz w:val="18"/>
                <w:highlight w:val="none"/>
              </w:rPr>
              <w:t>UMTS™ is a Trade Mark of ETSI registered for the benefit of its members</w:t>
            </w:r>
          </w:p>
          <w:p>
            <w:pPr>
              <w:pStyle w:val="43"/>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3"/>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_Toc28079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_Toc20742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_Toc4922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_Toc7206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_Toc5684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_Toc8005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_Toc15699 \h </w:instrText>
      </w:r>
      <w:r>
        <w:fldChar w:fldCharType="separate"/>
      </w:r>
      <w:r>
        <w:t>6</w:t>
      </w:r>
      <w:r>
        <w:fldChar w:fldCharType="end"/>
      </w:r>
    </w:p>
    <w:p>
      <w:pPr>
        <w:pStyle w:val="18"/>
        <w:tabs>
          <w:tab w:val="right" w:pos="2000"/>
          <w:tab w:val="right" w:leader="dot" w:pos="9641"/>
          <w:tab w:val="clear" w:pos="9639"/>
        </w:tabs>
      </w:pPr>
      <w:r>
        <w:rPr>
          <w:lang w:val="en-US"/>
        </w:rPr>
        <w:t>4</w:t>
      </w:r>
      <w:r>
        <w:rPr>
          <w:lang w:val="en-US"/>
        </w:rPr>
        <w:tab/>
      </w:r>
      <w:r>
        <w:rPr>
          <w:lang w:val="en-US"/>
        </w:rPr>
        <w:t>Concepts and background</w:t>
      </w:r>
      <w:r>
        <w:tab/>
      </w:r>
      <w:r>
        <w:fldChar w:fldCharType="begin"/>
      </w:r>
      <w:r>
        <w:instrText xml:space="preserve"> PAGEREF _Toc6811 \h </w:instrText>
      </w:r>
      <w:r>
        <w:fldChar w:fldCharType="separate"/>
      </w:r>
      <w:r>
        <w:t>7</w:t>
      </w:r>
      <w:r>
        <w:fldChar w:fldCharType="end"/>
      </w:r>
    </w:p>
    <w:p>
      <w:pPr>
        <w:pStyle w:val="18"/>
        <w:tabs>
          <w:tab w:val="right" w:pos="2000"/>
          <w:tab w:val="right" w:leader="dot" w:pos="9641"/>
          <w:tab w:val="clear" w:pos="9639"/>
        </w:tabs>
      </w:pPr>
      <w:r>
        <w:rPr>
          <w:lang w:val="en-US"/>
        </w:rPr>
        <w:t>5</w:t>
      </w:r>
      <w:r>
        <w:tab/>
      </w:r>
      <w:r>
        <w:t>P</w:t>
      </w:r>
      <w:r>
        <w:rPr>
          <w:rFonts w:hint="eastAsia"/>
        </w:rPr>
        <w:t>otential</w:t>
      </w:r>
      <w:r>
        <w:t xml:space="preserve"> use cases</w:t>
      </w:r>
      <w:r>
        <w:rPr>
          <w:rFonts w:hint="eastAsia"/>
        </w:rPr>
        <w:t xml:space="preserve"> and </w:t>
      </w:r>
      <w:r>
        <w:t>requirements</w:t>
      </w:r>
      <w:r>
        <w:tab/>
      </w:r>
      <w:r>
        <w:fldChar w:fldCharType="begin"/>
      </w:r>
      <w:r>
        <w:instrText xml:space="preserve"> PAGEREF _Toc29402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r>
        <w:tab/>
      </w:r>
      <w:r>
        <w:fldChar w:fldCharType="begin"/>
      </w:r>
      <w:r>
        <w:instrText xml:space="preserve"> PAGEREF _Toc5769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1</w:t>
      </w:r>
      <w:r>
        <w:rPr>
          <w:i w:val="0"/>
        </w:rPr>
        <w:t>.1</w:t>
      </w:r>
      <w:r>
        <w:rPr>
          <w:i w:val="0"/>
          <w:lang w:val="en-US"/>
        </w:rPr>
        <w:tab/>
      </w:r>
      <w:r>
        <w:rPr>
          <w:i w:val="0"/>
        </w:rPr>
        <w:t>Description</w:t>
      </w:r>
      <w:r>
        <w:tab/>
      </w:r>
      <w:r>
        <w:fldChar w:fldCharType="begin"/>
      </w:r>
      <w:r>
        <w:instrText xml:space="preserve"> PAGEREF _Toc28718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_Toc30549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2</w:t>
      </w:r>
      <w:r>
        <w:rPr>
          <w:i w:val="0"/>
        </w:rPr>
        <w:t>.1</w:t>
      </w:r>
      <w:r>
        <w:rPr>
          <w:i w:val="0"/>
          <w:lang w:val="en-US"/>
        </w:rPr>
        <w:tab/>
      </w:r>
      <w:r>
        <w:rPr>
          <w:i w:val="0"/>
        </w:rPr>
        <w:t>Description</w:t>
      </w:r>
      <w:r>
        <w:tab/>
      </w:r>
      <w:r>
        <w:fldChar w:fldCharType="begin"/>
      </w:r>
      <w:r>
        <w:instrText xml:space="preserve"> PAGEREF _Toc16137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r>
        <w:tab/>
      </w:r>
      <w:r>
        <w:fldChar w:fldCharType="begin"/>
      </w:r>
      <w:r>
        <w:instrText xml:space="preserve"> PAGEREF _Toc17441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3</w:t>
      </w:r>
      <w:r>
        <w:rPr>
          <w:i w:val="0"/>
        </w:rPr>
        <w:t>.1</w:t>
      </w:r>
      <w:r>
        <w:rPr>
          <w:i w:val="0"/>
          <w:lang w:val="en-US"/>
        </w:rPr>
        <w:tab/>
      </w:r>
      <w:r>
        <w:rPr>
          <w:i w:val="0"/>
        </w:rPr>
        <w:t>Description</w:t>
      </w:r>
      <w:r>
        <w:tab/>
      </w:r>
      <w:r>
        <w:fldChar w:fldCharType="begin"/>
      </w:r>
      <w:r>
        <w:instrText xml:space="preserve"> PAGEREF _Toc1324 \h </w:instrText>
      </w:r>
      <w:r>
        <w:fldChar w:fldCharType="separate"/>
      </w:r>
      <w:r>
        <w:t>8</w:t>
      </w:r>
      <w:r>
        <w:fldChar w:fldCharType="end"/>
      </w:r>
    </w:p>
    <w:p>
      <w:pPr>
        <w:pStyle w:val="16"/>
        <w:tabs>
          <w:tab w:val="right" w:pos="2000"/>
          <w:tab w:val="right" w:leader="dot" w:pos="9641"/>
          <w:tab w:val="clear" w:pos="9639"/>
        </w:tabs>
      </w:pPr>
      <w:r>
        <w:rPr>
          <w:i w:val="0"/>
        </w:rPr>
        <w:t>5.</w:t>
      </w:r>
      <w:r>
        <w:rPr>
          <w:rFonts w:hint="default"/>
          <w:i w:val="0"/>
          <w:lang w:val="en-US"/>
        </w:rPr>
        <w:t>3</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_Toc25156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r>
        <w:tab/>
      </w:r>
      <w:r>
        <w:fldChar w:fldCharType="begin"/>
      </w:r>
      <w:r>
        <w:instrText xml:space="preserve"> PAGEREF _Toc30402 \h </w:instrText>
      </w:r>
      <w:r>
        <w:fldChar w:fldCharType="separate"/>
      </w:r>
      <w:r>
        <w:t>9</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4</w:t>
      </w:r>
      <w:r>
        <w:rPr>
          <w:i w:val="0"/>
        </w:rPr>
        <w:t>.1</w:t>
      </w:r>
      <w:r>
        <w:rPr>
          <w:i w:val="0"/>
          <w:lang w:val="en-US"/>
        </w:rPr>
        <w:tab/>
      </w:r>
      <w:r>
        <w:rPr>
          <w:i w:val="0"/>
          <w:iCs w:val="0"/>
          <w:color w:val="auto"/>
        </w:rPr>
        <w:t>Description</w:t>
      </w:r>
      <w:r>
        <w:tab/>
      </w:r>
      <w:r>
        <w:fldChar w:fldCharType="begin"/>
      </w:r>
      <w:r>
        <w:instrText xml:space="preserve"> PAGEREF _Toc20645 \h </w:instrText>
      </w:r>
      <w:r>
        <w:fldChar w:fldCharType="separate"/>
      </w:r>
      <w:r>
        <w:t>9</w:t>
      </w:r>
      <w:r>
        <w:fldChar w:fldCharType="end"/>
      </w:r>
    </w:p>
    <w:p>
      <w:pPr>
        <w:pStyle w:val="16"/>
        <w:tabs>
          <w:tab w:val="right" w:pos="2000"/>
          <w:tab w:val="right" w:leader="dot" w:pos="9641"/>
          <w:tab w:val="clear" w:pos="9639"/>
        </w:tabs>
      </w:pPr>
      <w:r>
        <w:rPr>
          <w:i w:val="0"/>
        </w:rPr>
        <w:t>5.</w:t>
      </w:r>
      <w:r>
        <w:rPr>
          <w:rFonts w:hint="default"/>
          <w:i w:val="0"/>
          <w:lang w:val="en-US"/>
        </w:rPr>
        <w:t>4</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_Toc27865 \h </w:instrText>
      </w:r>
      <w:r>
        <w:fldChar w:fldCharType="separate"/>
      </w:r>
      <w:r>
        <w:t>9</w:t>
      </w:r>
      <w:r>
        <w:fldChar w:fldCharType="end"/>
      </w:r>
    </w:p>
    <w:p>
      <w:pPr>
        <w:pStyle w:val="18"/>
        <w:tabs>
          <w:tab w:val="right" w:pos="2000"/>
          <w:tab w:val="right" w:leader="dot" w:pos="9641"/>
          <w:tab w:val="clear" w:pos="9639"/>
        </w:tabs>
      </w:pPr>
      <w:r>
        <w:rPr>
          <w:lang w:val="en-US"/>
        </w:rPr>
        <w:t>6</w:t>
      </w:r>
      <w:r>
        <w:tab/>
      </w:r>
      <w:r>
        <w:rPr>
          <w:rFonts w:hint="eastAsia"/>
          <w:lang w:eastAsia="zh-CN"/>
        </w:rPr>
        <w:t>Potential solutions</w:t>
      </w:r>
      <w:r>
        <w:tab/>
      </w:r>
      <w:r>
        <w:fldChar w:fldCharType="begin"/>
      </w:r>
      <w:r>
        <w:instrText xml:space="preserve"> PAGEREF _Toc2770 \h </w:instrText>
      </w:r>
      <w:r>
        <w:fldChar w:fldCharType="separate"/>
      </w:r>
      <w:r>
        <w:t>9</w:t>
      </w:r>
      <w:r>
        <w:fldChar w:fldCharType="end"/>
      </w:r>
    </w:p>
    <w:p>
      <w:pPr>
        <w:pStyle w:val="17"/>
        <w:tabs>
          <w:tab w:val="right" w:pos="2000"/>
          <w:tab w:val="right" w:leader="dot" w:pos="9641"/>
          <w:tab w:val="clear" w:pos="9639"/>
        </w:tabs>
      </w:pPr>
      <w:r>
        <w:rPr>
          <w:lang w:val="en-US"/>
        </w:rPr>
        <w:t>6</w:t>
      </w:r>
      <w:r>
        <w:t>.X</w:t>
      </w:r>
      <w:r>
        <w:rPr>
          <w:lang w:val="en-US"/>
        </w:rPr>
        <w:tab/>
      </w:r>
      <w:r>
        <w:rPr>
          <w:lang w:val="en-US"/>
        </w:rPr>
        <w:t>Potential solution</w:t>
      </w:r>
      <w:r>
        <w:t>#</w:t>
      </w:r>
      <w:r>
        <w:rPr>
          <w:rFonts w:hint="eastAsia"/>
          <w:lang w:eastAsia="zh-CN"/>
        </w:rPr>
        <w:t xml:space="preserve"> Num</w:t>
      </w:r>
      <w:r>
        <w:t>: title</w:t>
      </w:r>
      <w:r>
        <w:tab/>
      </w:r>
      <w:r>
        <w:fldChar w:fldCharType="begin"/>
      </w:r>
      <w:r>
        <w:instrText xml:space="preserve"> PAGEREF _Toc18584 \h </w:instrText>
      </w:r>
      <w:r>
        <w:fldChar w:fldCharType="separate"/>
      </w:r>
      <w:r>
        <w:t>9</w:t>
      </w:r>
      <w:r>
        <w:fldChar w:fldCharType="end"/>
      </w:r>
    </w:p>
    <w:p>
      <w:pPr>
        <w:pStyle w:val="16"/>
        <w:tabs>
          <w:tab w:val="right" w:pos="2000"/>
          <w:tab w:val="right" w:leader="dot" w:pos="9641"/>
          <w:tab w:val="clear" w:pos="9639"/>
        </w:tabs>
      </w:pPr>
      <w:r>
        <w:rPr>
          <w:i w:val="0"/>
          <w:lang w:val="en-US"/>
        </w:rPr>
        <w:t>6</w:t>
      </w:r>
      <w:r>
        <w:rPr>
          <w:i w:val="0"/>
        </w:rPr>
        <w:t>.X.1</w:t>
      </w:r>
      <w:r>
        <w:rPr>
          <w:i w:val="0"/>
          <w:lang w:val="en-US"/>
        </w:rPr>
        <w:tab/>
      </w:r>
      <w:r>
        <w:rPr>
          <w:lang w:eastAsia="ko-KR"/>
        </w:rPr>
        <w:t>Introduction</w:t>
      </w:r>
      <w:r>
        <w:tab/>
      </w:r>
      <w:r>
        <w:fldChar w:fldCharType="begin"/>
      </w:r>
      <w:r>
        <w:instrText xml:space="preserve"> PAGEREF _Toc14821 \h </w:instrText>
      </w:r>
      <w:r>
        <w:fldChar w:fldCharType="separate"/>
      </w:r>
      <w:r>
        <w:t>9</w:t>
      </w:r>
      <w:r>
        <w:fldChar w:fldCharType="end"/>
      </w:r>
    </w:p>
    <w:p>
      <w:pPr>
        <w:pStyle w:val="18"/>
        <w:tabs>
          <w:tab w:val="right" w:pos="2000"/>
          <w:tab w:val="right" w:leader="dot" w:pos="9641"/>
          <w:tab w:val="clear" w:pos="9639"/>
        </w:tabs>
      </w:pPr>
      <w:r>
        <w:rPr>
          <w:lang w:val="en-US"/>
        </w:rPr>
        <w:t>7</w:t>
      </w:r>
      <w:r>
        <w:rPr>
          <w:lang w:val="en-US"/>
        </w:rPr>
        <w:tab/>
      </w:r>
      <w:r>
        <w:rPr>
          <w:lang w:val="en-US"/>
        </w:rPr>
        <w:t>Conclusions and recommendations</w:t>
      </w:r>
      <w:r>
        <w:tab/>
      </w:r>
      <w:r>
        <w:fldChar w:fldCharType="begin"/>
      </w:r>
      <w:r>
        <w:instrText xml:space="preserve"> PAGEREF _Toc20756 \h </w:instrText>
      </w:r>
      <w:r>
        <w:fldChar w:fldCharType="separate"/>
      </w:r>
      <w:r>
        <w:t>9</w:t>
      </w:r>
      <w:r>
        <w:fldChar w:fldCharType="end"/>
      </w:r>
    </w:p>
    <w:p>
      <w:pPr>
        <w:pStyle w:val="19"/>
        <w:tabs>
          <w:tab w:val="right" w:leader="dot" w:pos="9641"/>
          <w:tab w:val="clear" w:pos="9639"/>
        </w:tabs>
      </w:pPr>
      <w:r>
        <w:t>Annex &lt;X&gt; (informative): Change history</w:t>
      </w:r>
      <w:r>
        <w:tab/>
      </w:r>
      <w:r>
        <w:fldChar w:fldCharType="begin"/>
      </w:r>
      <w:r>
        <w:instrText xml:space="preserve"> PAGEREF _Toc18803 \h </w:instrText>
      </w:r>
      <w:r>
        <w:fldChar w:fldCharType="separate"/>
      </w:r>
      <w:r>
        <w:t>10</w:t>
      </w:r>
      <w:r>
        <w:fldChar w:fldCharType="end"/>
      </w:r>
    </w:p>
    <w:p>
      <w:r>
        <w:fldChar w:fldCharType="end"/>
      </w:r>
    </w:p>
    <w:p>
      <w:pPr>
        <w:pStyle w:val="64"/>
      </w:pPr>
      <w:r>
        <w:br w:type="page"/>
      </w:r>
    </w:p>
    <w:p>
      <w:pPr>
        <w:pStyle w:val="2"/>
      </w:pPr>
      <w:bookmarkStart w:id="13" w:name="foreword"/>
      <w:bookmarkEnd w:id="13"/>
      <w:bookmarkStart w:id="14" w:name="_Toc16171"/>
      <w:bookmarkStart w:id="15" w:name="_Toc28079"/>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3825"/>
      <w:bookmarkStart w:id="20" w:name="_Toc20742"/>
      <w:r>
        <w:t>1</w:t>
      </w:r>
      <w:r>
        <w:tab/>
      </w:r>
      <w:r>
        <w:t>Scope</w:t>
      </w:r>
      <w:bookmarkEnd w:id="19"/>
      <w:bookmarkEnd w:id="20"/>
    </w:p>
    <w:p>
      <w:pPr>
        <w:jc w:val="both"/>
      </w:pPr>
      <w:bookmarkStart w:id="21" w:name="references"/>
      <w:bookmarkEnd w:id="21"/>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2" w:name="_Toc14666"/>
      <w:bookmarkStart w:id="23" w:name="_Toc4922"/>
      <w:r>
        <w:t>2</w:t>
      </w:r>
      <w:r>
        <w:tab/>
      </w:r>
      <w:r>
        <w:t>References</w:t>
      </w:r>
      <w:bookmarkEnd w:id="22"/>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numPr>
          <w:ilvl w:val="0"/>
          <w:numId w:val="1"/>
        </w:numPr>
      </w:pPr>
      <w:r>
        <w:t>3GPP TR 21.905: "Vocabulary for 3GPP Specifications".</w:t>
      </w:r>
    </w:p>
    <w:p>
      <w:pPr>
        <w:pStyle w:val="42"/>
        <w:numPr>
          <w:ilvl w:val="0"/>
          <w:numId w:val="1"/>
        </w:numPr>
      </w:pPr>
      <w:r>
        <w:rPr>
          <w:rFonts w:hint="eastAsia"/>
        </w:rPr>
        <w:t xml:space="preserve">ETSI GR NFV-EVE019: </w:t>
      </w:r>
      <w:r>
        <w:t>"</w:t>
      </w:r>
      <w:r>
        <w:rPr>
          <w:rFonts w:hint="eastAsia"/>
        </w:rPr>
        <w:t>Report on VNF generic OAM functions</w:t>
      </w:r>
      <w:r>
        <w:t>"</w:t>
      </w:r>
      <w:r>
        <w:rPr>
          <w:rFonts w:hint="default"/>
          <w:lang w:val="en-US"/>
        </w:rPr>
        <w:t>.</w:t>
      </w:r>
    </w:p>
    <w:p>
      <w:pPr>
        <w:pStyle w:val="42"/>
        <w:numPr>
          <w:ilvl w:val="0"/>
          <w:numId w:val="1"/>
        </w:numPr>
      </w:pPr>
      <w:r>
        <w:t>ETSI GR NFV-IFA 029: "Report on the Enhancements of the NFV architecture towards</w:t>
      </w:r>
      <w:r>
        <w:br w:type="textWrapping"/>
      </w:r>
      <w:r>
        <w:t>Cloud-native and PaaS"</w:t>
      </w:r>
      <w:r>
        <w:rPr>
          <w:rFonts w:hint="default"/>
          <w:lang w:val="en-US"/>
        </w:rPr>
        <w:t>.</w:t>
      </w:r>
    </w:p>
    <w:p>
      <w:pPr>
        <w:pStyle w:val="42"/>
        <w:numPr>
          <w:ilvl w:val="0"/>
          <w:numId w:val="1"/>
        </w:numPr>
        <w:rPr>
          <w:rFonts w:hint="eastAsia"/>
        </w:rPr>
      </w:pPr>
      <w:r>
        <w:rPr>
          <w:rFonts w:hint="eastAsia"/>
        </w:rPr>
        <w:t>ETSI GR NFV-IFA 008: "Network Functions Virtualisation (NFV) Release 4; Management and Orchestration; Ve-Vnfm reference point - Interface and Information Model Specification".</w:t>
      </w:r>
    </w:p>
    <w:p>
      <w:pPr>
        <w:pStyle w:val="42"/>
        <w:numPr>
          <w:ilvl w:val="0"/>
          <w:numId w:val="1"/>
        </w:numPr>
      </w:pPr>
      <w:r>
        <w:rPr>
          <w:rFonts w:hint="eastAsia"/>
        </w:rPr>
        <w:t>ETSI GR NFV-IFA 011: "Network Functions Virtualisation (NFV) Release 4; Management and Orchestration; VNF Descriptor and Packaging Specification".</w:t>
      </w:r>
    </w:p>
    <w:p>
      <w:pPr>
        <w:pStyle w:val="2"/>
      </w:pPr>
      <w:bookmarkStart w:id="24" w:name="definitions"/>
      <w:bookmarkEnd w:id="24"/>
      <w:bookmarkStart w:id="25" w:name="_Toc10319"/>
      <w:bookmarkStart w:id="26" w:name="_Toc7206"/>
      <w:r>
        <w:t>3</w:t>
      </w:r>
      <w:r>
        <w:tab/>
      </w:r>
      <w:r>
        <w:t>Definitions of terms, symbols and abbreviations</w:t>
      </w:r>
      <w:bookmarkEnd w:id="25"/>
      <w:bookmarkEnd w:id="26"/>
    </w:p>
    <w:p>
      <w:pPr>
        <w:pStyle w:val="3"/>
      </w:pPr>
      <w:bookmarkStart w:id="27" w:name="_Toc8159"/>
      <w:bookmarkStart w:id="28" w:name="_Toc5684"/>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15426"/>
      <w:bookmarkStart w:id="30" w:name="_Toc8005"/>
      <w:r>
        <w:t>3.2</w:t>
      </w:r>
      <w:r>
        <w:tab/>
      </w:r>
      <w:r>
        <w:t>Symbols</w:t>
      </w:r>
      <w:bookmarkEnd w:id="29"/>
      <w:bookmarkEnd w:id="30"/>
    </w:p>
    <w:p>
      <w:pPr>
        <w:keepNext/>
      </w:pPr>
      <w:r>
        <w:t>For the purposes of the present document, the following symbols apply:</w:t>
      </w:r>
    </w:p>
    <w:p>
      <w:pPr>
        <w:pStyle w:val="45"/>
      </w:pPr>
      <w:r>
        <w:t>&lt;symbol&gt;</w:t>
      </w:r>
      <w:r>
        <w:tab/>
      </w:r>
      <w:r>
        <w:t>&lt;Explanation&gt;</w:t>
      </w:r>
    </w:p>
    <w:p>
      <w:pPr>
        <w:pStyle w:val="45"/>
      </w:pPr>
    </w:p>
    <w:p>
      <w:pPr>
        <w:pStyle w:val="3"/>
      </w:pPr>
      <w:bookmarkStart w:id="31" w:name="_Toc11029"/>
      <w:bookmarkStart w:id="32" w:name="_Toc15699"/>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33" w:name="clause4"/>
      <w:bookmarkEnd w:id="33"/>
    </w:p>
    <w:p>
      <w:pPr>
        <w:pStyle w:val="2"/>
        <w:rPr>
          <w:lang w:val="en-US"/>
        </w:rPr>
      </w:pPr>
      <w:bookmarkStart w:id="34" w:name="_Toc6811"/>
      <w:r>
        <w:rPr>
          <w:lang w:val="en-US"/>
        </w:rPr>
        <w:t>4</w:t>
      </w:r>
      <w:r>
        <w:rPr>
          <w:lang w:val="en-US"/>
        </w:rPr>
        <w:tab/>
      </w:r>
      <w:r>
        <w:rPr>
          <w:lang w:val="en-US"/>
        </w:rPr>
        <w:t>Concepts and background</w:t>
      </w:r>
      <w:bookmarkEnd w:id="34"/>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pPr>
        <w:pStyle w:val="2"/>
      </w:pPr>
      <w:bookmarkStart w:id="35" w:name="_Toc29402"/>
      <w:r>
        <w:rPr>
          <w:lang w:val="en-US"/>
        </w:rPr>
        <w:t>5</w:t>
      </w:r>
      <w:r>
        <w:tab/>
      </w:r>
      <w:r>
        <w:t>P</w:t>
      </w:r>
      <w:r>
        <w:rPr>
          <w:rFonts w:hint="eastAsia"/>
        </w:rPr>
        <w:t>otential</w:t>
      </w:r>
      <w:r>
        <w:t xml:space="preserve"> use cases</w:t>
      </w:r>
      <w:r>
        <w:rPr>
          <w:rFonts w:hint="eastAsia"/>
        </w:rPr>
        <w:t xml:space="preserve"> and </w:t>
      </w:r>
      <w:r>
        <w:t>requirements</w:t>
      </w:r>
      <w:bookmarkEnd w:id="35"/>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36" w:name="_Toc5769"/>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bookmarkEnd w:id="36"/>
      <w:r>
        <w:rPr>
          <w:lang w:val="en-US"/>
        </w:rPr>
        <w:t xml:space="preserve"> </w:t>
      </w:r>
    </w:p>
    <w:p>
      <w:pPr>
        <w:pStyle w:val="4"/>
        <w:rPr>
          <w:rStyle w:val="67"/>
          <w:i w:val="0"/>
        </w:rPr>
      </w:pPr>
      <w:bookmarkStart w:id="37" w:name="_Toc28718"/>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bookmarkEnd w:id="37"/>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[2]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pPr>
      <w:r>
        <w:rPr>
          <w:lang w:eastAsia="zh-CN"/>
        </w:rPr>
        <w:t xml:space="preserve">When configuring cloud-native VNFs, </w:t>
      </w:r>
      <w:r>
        <w:t xml:space="preserve">the 3GPP management system sends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7030A0"/>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7030A0"/>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38" w:name="_Toc30549"/>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38"/>
      <w:r>
        <w:rPr>
          <w:lang w:val="en-US"/>
        </w:rPr>
        <w:t xml:space="preserve"> </w:t>
      </w:r>
    </w:p>
    <w:p>
      <w:pPr>
        <w:pStyle w:val="4"/>
        <w:rPr>
          <w:rStyle w:val="67"/>
          <w:i w:val="0"/>
        </w:rPr>
      </w:pPr>
      <w:bookmarkStart w:id="39" w:name="_Toc16137"/>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bookmarkEnd w:id="39"/>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[2] and  can</w:t>
      </w:r>
      <w:r>
        <w:t xml:space="preserve"> </w:t>
      </w:r>
      <w:r>
        <w:rPr>
          <w:szCs w:val="21"/>
          <w:lang w:eastAsia="ja-JP"/>
        </w:rPr>
        <w:t>block and reroute the traffic of VNFC instances</w:t>
      </w:r>
      <w:r>
        <w:rPr>
          <w:szCs w:val="21"/>
          <w:lang w:val="en-US" w:eastAsia="ja-JP"/>
        </w:rPr>
        <w:t>.</w:t>
      </w:r>
    </w:p>
    <w:p>
      <w:pPr>
        <w:jc w:val="both"/>
      </w:pPr>
      <w:r>
        <w:rPr>
          <w:lang w:val="en-US" w:eastAsia="zh-CN"/>
        </w:rPr>
        <w:t xml:space="preserve">When there is a problem with one of the VNFCs of the cloud-native VNF, the 3GPP management system </w:t>
      </w:r>
      <w:r>
        <w:t xml:space="preserve">sends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40" w:name="_Toc17441"/>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bookmarkEnd w:id="40"/>
      <w:r>
        <w:rPr>
          <w:lang w:val="en-US"/>
        </w:rPr>
        <w:t xml:space="preserve"> </w:t>
      </w:r>
    </w:p>
    <w:p>
      <w:pPr>
        <w:pStyle w:val="4"/>
        <w:rPr>
          <w:rStyle w:val="67"/>
          <w:i w:val="0"/>
        </w:rPr>
      </w:pPr>
      <w:bookmarkStart w:id="41" w:name="_Toc1324"/>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bookmarkEnd w:id="41"/>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bookmarkStart w:id="42" w:name="_Toc25156"/>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42"/>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43" w:name="_Toc30402"/>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bookmarkEnd w:id="43"/>
      <w:r>
        <w:rPr>
          <w:lang w:val="en-US"/>
        </w:rPr>
        <w:t xml:space="preserve"> </w:t>
      </w:r>
    </w:p>
    <w:p>
      <w:pPr>
        <w:pStyle w:val="4"/>
        <w:rPr>
          <w:i/>
        </w:rPr>
      </w:pPr>
      <w:bookmarkStart w:id="44" w:name="_Toc20645"/>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bookmarkEnd w:id="44"/>
    </w:p>
    <w:p>
      <w:pPr>
        <w:rPr>
          <w:lang w:eastAsia="zh-CN"/>
        </w:rPr>
      </w:pPr>
      <w:r>
        <w:rPr>
          <w:lang w:eastAsia="zh-CN"/>
        </w:rPr>
        <w:t>As a pre-condition to this use case, the network is running normally. The 3GPP management system has subscribed to VNF instance lifecycle notifications from VNFM.</w:t>
      </w:r>
    </w:p>
    <w:p>
      <w:pPr>
        <w:rPr>
          <w:lang w:eastAsia="zh-CN"/>
        </w:rPr>
      </w:pPr>
      <w:r>
        <w:rPr>
          <w:lang w:eastAsia="zh-CN"/>
        </w:rPr>
        <w:t>The use case begins when the 3GPP management system decides to scale a VNF.</w:t>
      </w:r>
    </w:p>
    <w:p>
      <w:pPr>
        <w:rPr>
          <w:lang w:eastAsia="zh-CN"/>
        </w:rPr>
      </w:pPr>
      <w:r>
        <w:rPr>
          <w:lang w:eastAsia="zh-CN"/>
        </w:rPr>
        <w:t>The 3GPP management system requests VNFM to scale the VNF (as defined in ETSI GR NFV-IFA 008[</w:t>
      </w:r>
      <w:r>
        <w:rPr>
          <w:rFonts w:hint="default"/>
          <w:lang w:val="en-US" w:eastAsia="zh-CN"/>
        </w:rPr>
        <w:t>4</w:t>
      </w:r>
      <w:r>
        <w:rPr>
          <w:lang w:eastAsia="zh-CN"/>
        </w:rPr>
        <w:t>]). VNFM inspects the relevant VNF Descriptor (as defined in ETSI GR NFV-IFA 011[</w:t>
      </w:r>
      <w:r>
        <w:rPr>
          <w:rFonts w:hint="default"/>
          <w:lang w:val="en-US" w:eastAsia="zh-CN"/>
        </w:rPr>
        <w:t>5</w:t>
      </w:r>
      <w:r>
        <w:rPr>
          <w:lang w:eastAsia="zh-CN"/>
        </w:rPr>
        <w:t>]) to find the VNF components (VNFCs).</w:t>
      </w:r>
    </w:p>
    <w:p>
      <w:pPr>
        <w:rPr>
          <w:lang w:eastAsia="zh-CN"/>
        </w:rPr>
      </w:pPr>
      <w:r>
        <w:rPr>
          <w:lang w:eastAsia="zh-CN"/>
        </w:rPr>
        <w:t>VNFM will add or remove VNFC instances as needed for the desired scaling level of the VNF. When the VNFCs have been added or removed, VNFM sends a notification to the 3GPP management system to notify that the VNF has been scaled. This notification includes information on the changes to VNFCs.</w:t>
      </w:r>
    </w:p>
    <w:p>
      <w:pPr>
        <w:pStyle w:val="4"/>
        <w:rPr>
          <w:rStyle w:val="67"/>
          <w:i w:val="0"/>
        </w:rPr>
      </w:pPr>
      <w:bookmarkStart w:id="45" w:name="_Toc27865"/>
      <w:r>
        <w:rPr>
          <w:rStyle w:val="67"/>
          <w:i w:val="0"/>
        </w:rPr>
        <w:t>5.</w:t>
      </w:r>
      <w:r>
        <w:rPr>
          <w:rStyle w:val="67"/>
          <w:rFonts w:hint="default"/>
          <w:i w:val="0"/>
          <w:lang w:val="en-US"/>
        </w:rPr>
        <w:t>4</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45"/>
      <w:r>
        <w:rPr>
          <w:rStyle w:val="67"/>
          <w:i w:val="0"/>
        </w:rPr>
        <w:tab/>
      </w:r>
    </w:p>
    <w:p>
      <w:pPr>
        <w:rPr>
          <w:lang w:eastAsia="zh-CN"/>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2"/>
      </w:pPr>
      <w:bookmarkStart w:id="46" w:name="_Toc2770"/>
      <w:r>
        <w:rPr>
          <w:lang w:val="en-US"/>
        </w:rPr>
        <w:t>6</w:t>
      </w:r>
      <w:r>
        <w:tab/>
      </w:r>
      <w:r>
        <w:rPr>
          <w:rFonts w:hint="eastAsia"/>
          <w:lang w:eastAsia="zh-CN"/>
        </w:rPr>
        <w:t>Potential solutions</w:t>
      </w:r>
      <w:bookmarkEnd w:id="46"/>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rPr>
          <w:i/>
          <w:iCs/>
          <w:color w:val="FF0000"/>
        </w:rPr>
      </w:pPr>
    </w:p>
    <w:p>
      <w:pPr>
        <w:pStyle w:val="3"/>
        <w:rPr>
          <w:lang w:val="en-US"/>
        </w:rPr>
      </w:pPr>
      <w:bookmarkStart w:id="47" w:name="_Toc18584"/>
      <w:r>
        <w:rPr>
          <w:lang w:val="en-US"/>
        </w:rPr>
        <w:t>6</w:t>
      </w:r>
      <w:r>
        <w:t>.X</w:t>
      </w:r>
      <w:r>
        <w:rPr>
          <w:lang w:val="en-US"/>
        </w:rPr>
        <w:tab/>
      </w:r>
      <w:r>
        <w:rPr>
          <w:lang w:val="en-US"/>
        </w:rPr>
        <w:t>Potential solution</w:t>
      </w:r>
      <w:r>
        <w:t>#</w:t>
      </w:r>
      <w:r>
        <w:rPr>
          <w:rFonts w:hint="eastAsia"/>
          <w:lang w:eastAsia="zh-CN"/>
        </w:rPr>
        <w:t xml:space="preserve"> Num</w:t>
      </w:r>
      <w:r>
        <w:t>: title</w:t>
      </w:r>
      <w:bookmarkEnd w:id="47"/>
    </w:p>
    <w:p>
      <w:pPr>
        <w:pStyle w:val="4"/>
        <w:rPr>
          <w:lang w:eastAsia="ko-KR"/>
        </w:rPr>
      </w:pPr>
      <w:bookmarkStart w:id="48" w:name="_Toc14821"/>
      <w:r>
        <w:rPr>
          <w:rStyle w:val="67"/>
          <w:i w:val="0"/>
          <w:lang w:val="en-US"/>
        </w:rPr>
        <w:t>6</w:t>
      </w:r>
      <w:r>
        <w:rPr>
          <w:rStyle w:val="67"/>
          <w:i w:val="0"/>
        </w:rPr>
        <w:t>.X.1</w:t>
      </w:r>
      <w:r>
        <w:rPr>
          <w:rStyle w:val="67"/>
          <w:i w:val="0"/>
          <w:lang w:val="en-US"/>
        </w:rPr>
        <w:tab/>
      </w:r>
      <w:r>
        <w:rPr>
          <w:lang w:eastAsia="ko-KR"/>
        </w:rPr>
        <w:t>Introduction</w:t>
      </w:r>
      <w:bookmarkEnd w:id="48"/>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pStyle w:val="2"/>
        <w:rPr>
          <w:lang w:val="en-US"/>
        </w:rPr>
      </w:pPr>
      <w:bookmarkStart w:id="49" w:name="_Toc20756"/>
      <w:r>
        <w:rPr>
          <w:lang w:val="en-US"/>
        </w:rPr>
        <w:t>7</w:t>
      </w:r>
      <w:r>
        <w:rPr>
          <w:lang w:val="en-US"/>
        </w:rPr>
        <w:tab/>
      </w:r>
      <w:r>
        <w:rPr>
          <w:lang w:val="en-US"/>
        </w:rPr>
        <w:t>Conclusions and recommendations</w:t>
      </w:r>
      <w:bookmarkEnd w:id="49"/>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50" w:name="_Toc18803"/>
      <w:bookmarkStart w:id="51" w:name="_Toc27417"/>
      <w:r>
        <w:t>Annex &lt;X&gt; (informative):</w:t>
      </w:r>
      <w:r>
        <w:br w:type="textWrapping"/>
      </w:r>
      <w:r>
        <w:t>Change history</w:t>
      </w:r>
      <w:bookmarkEnd w:id="50"/>
      <w:bookmarkEnd w:id="51"/>
    </w:p>
    <w:p>
      <w:pPr>
        <w:pStyle w:val="48"/>
      </w:pPr>
      <w:bookmarkStart w:id="52" w:name="historyclause"/>
      <w:bookmarkEnd w:id="52"/>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91" w:type="dxa"/>
            <w:shd w:val="pct10" w:color="auto" w:fill="FFFFFF"/>
          </w:tcPr>
          <w:p>
            <w:pPr>
              <w:pStyle w:val="38"/>
              <w:rPr>
                <w:b/>
                <w:sz w:val="16"/>
              </w:rPr>
            </w:pPr>
            <w:r>
              <w:rPr>
                <w:b/>
                <w:sz w:val="16"/>
              </w:rPr>
              <w:t>Meeting</w:t>
            </w:r>
          </w:p>
        </w:tc>
        <w:tc>
          <w:tcPr>
            <w:tcW w:w="1003"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rPr>
                <w:rFonts w:hint="eastAsia" w:ascii="Arial" w:hAnsi="Arial" w:eastAsia="Times New Roman" w:cs="Times New Roman"/>
                <w:sz w:val="16"/>
                <w:szCs w:val="16"/>
                <w:lang w:val="en-US" w:eastAsia="zh-CN" w:bidi="ar-SA"/>
              </w:rPr>
            </w:pPr>
            <w:r>
              <w:rPr>
                <w:rFonts w:hint="eastAsia"/>
                <w:sz w:val="16"/>
                <w:szCs w:val="16"/>
                <w:lang w:eastAsia="zh-CN"/>
              </w:rPr>
              <w:t>2</w:t>
            </w:r>
            <w:r>
              <w:rPr>
                <w:sz w:val="16"/>
                <w:szCs w:val="16"/>
                <w:lang w:eastAsia="zh-CN"/>
              </w:rPr>
              <w:t>022-0</w:t>
            </w:r>
            <w:r>
              <w:rPr>
                <w:rFonts w:hint="default"/>
                <w:sz w:val="16"/>
                <w:szCs w:val="16"/>
                <w:lang w:val="en-US" w:eastAsia="zh-CN"/>
              </w:rPr>
              <w:t>5</w:t>
            </w:r>
          </w:p>
        </w:tc>
        <w:tc>
          <w:tcPr>
            <w:tcW w:w="891" w:type="dxa"/>
            <w:vMerge w:val="restart"/>
            <w:shd w:val="solid" w:color="FFFFFF" w:fill="auto"/>
            <w:vAlign w:val="top"/>
          </w:tcPr>
          <w:p>
            <w:pPr>
              <w:pStyle w:val="40"/>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p>
            <w:pPr>
              <w:pStyle w:val="4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rPr>
                <w:rFonts w:ascii="Arial" w:hAnsi="Arial" w:eastAsia="Times New Roman" w:cs="Times New Roman"/>
                <w:sz w:val="16"/>
                <w:szCs w:val="16"/>
                <w:lang w:val="en-GB" w:eastAsia="en-US" w:bidi="ar-SA"/>
              </w:rPr>
            </w:pPr>
            <w:r>
              <w:rPr>
                <w:rFonts w:hint="eastAsia"/>
                <w:sz w:val="16"/>
                <w:szCs w:val="16"/>
                <w:lang w:eastAsia="zh-CN"/>
              </w:rPr>
              <w:t>S5-22</w:t>
            </w:r>
            <w:r>
              <w:rPr>
                <w:rFonts w:hint="default"/>
                <w:sz w:val="16"/>
                <w:szCs w:val="16"/>
                <w:lang w:val="en-US" w:eastAsia="zh-CN"/>
              </w:rPr>
              <w:t>3354</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shd w:val="solid" w:color="FFFFFF" w:fill="auto"/>
            <w:vAlign w:val="top"/>
          </w:tcPr>
          <w:p>
            <w:pPr>
              <w:pStyle w:val="40"/>
              <w:rPr>
                <w:rFonts w:hint="eastAsia" w:ascii="Arial" w:hAnsi="Arial" w:eastAsia="Times New Roman" w:cs="Times New Roman"/>
                <w:sz w:val="16"/>
                <w:szCs w:val="16"/>
                <w:lang w:val="en-US" w:eastAsia="zh-CN" w:bidi="ar-SA"/>
              </w:rPr>
            </w:pPr>
          </w:p>
        </w:tc>
        <w:tc>
          <w:tcPr>
            <w:tcW w:w="891" w:type="dxa"/>
            <w:vMerge w:val="continue"/>
            <w:shd w:val="solid" w:color="FFFFFF" w:fill="auto"/>
            <w:vAlign w:val="top"/>
          </w:tcPr>
          <w:p>
            <w:pPr>
              <w:pStyle w:val="4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numPr>
                <w:ilvl w:val="-1"/>
                <w:numId w:val="0"/>
              </w:numPr>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rPr>
                <w:rFonts w:hint="default"/>
                <w:sz w:val="16"/>
                <w:szCs w:val="16"/>
                <w:lang w:val="en-US" w:eastAsia="zh-CN"/>
              </w:rPr>
            </w:pPr>
          </w:p>
        </w:tc>
        <w:tc>
          <w:tcPr>
            <w:tcW w:w="891" w:type="dxa"/>
            <w:vMerge w:val="continue"/>
            <w:shd w:val="solid" w:color="FFFFFF" w:fill="auto"/>
            <w:vAlign w:val="top"/>
          </w:tcPr>
          <w:p>
            <w:pPr>
              <w:pStyle w:val="40"/>
              <w:rPr>
                <w:rFonts w:hint="eastAsia"/>
                <w:sz w:val="16"/>
                <w:szCs w:val="16"/>
                <w:lang w:eastAsia="zh-CN"/>
              </w:rPr>
            </w:pPr>
          </w:p>
        </w:tc>
        <w:tc>
          <w:tcPr>
            <w:tcW w:w="1003" w:type="dxa"/>
            <w:shd w:val="solid" w:color="FFFFFF" w:fill="auto"/>
            <w:vAlign w:val="top"/>
          </w:tcPr>
          <w:p>
            <w:pPr>
              <w:pStyle w:val="40"/>
              <w:rPr>
                <w:rFonts w:hint="eastAsia"/>
                <w:sz w:val="16"/>
                <w:szCs w:val="16"/>
                <w:lang w:eastAsia="zh-CN"/>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rPr>
                <w:rFonts w:hint="default" w:cs="Times New Roman"/>
                <w:sz w:val="16"/>
                <w:szCs w:val="16"/>
                <w:lang w:val="en-US" w:eastAsia="en-US" w:bidi="ar-SA"/>
              </w:rPr>
            </w:pPr>
          </w:p>
        </w:tc>
        <w:tc>
          <w:tcPr>
            <w:tcW w:w="425" w:type="dxa"/>
            <w:shd w:val="solid" w:color="FFFFFF" w:fill="auto"/>
            <w:vAlign w:val="top"/>
          </w:tcPr>
          <w:p>
            <w:pPr>
              <w:pStyle w:val="37"/>
              <w:rPr>
                <w:rFonts w:hint="default" w:cs="Times New Roman"/>
                <w:sz w:val="16"/>
                <w:szCs w:val="16"/>
                <w:lang w:val="en-US" w:eastAsia="en-US" w:bidi="ar-SA"/>
              </w:rPr>
            </w:pPr>
          </w:p>
        </w:tc>
        <w:tc>
          <w:tcPr>
            <w:tcW w:w="425" w:type="dxa"/>
            <w:shd w:val="solid" w:color="FFFFFF" w:fill="auto"/>
            <w:vAlign w:val="top"/>
          </w:tcPr>
          <w:p>
            <w:pPr>
              <w:pStyle w:val="40"/>
              <w:rPr>
                <w:rFonts w:hint="default" w:cs="Times New Roman"/>
                <w:sz w:val="16"/>
                <w:szCs w:val="16"/>
                <w:lang w:val="en-US" w:eastAsia="en-US" w:bidi="ar-SA"/>
              </w:rPr>
            </w:pPr>
          </w:p>
        </w:tc>
        <w:tc>
          <w:tcPr>
            <w:tcW w:w="4962" w:type="dxa"/>
            <w:shd w:val="solid" w:color="FFFFFF" w:fill="auto"/>
            <w:vAlign w:val="top"/>
          </w:tcPr>
          <w:p>
            <w:pPr>
              <w:pStyle w:val="38"/>
              <w:numPr>
                <w:ilvl w:val="-1"/>
                <w:numId w:val="0"/>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tc>
        <w:tc>
          <w:tcPr>
            <w:tcW w:w="708" w:type="dxa"/>
            <w:vMerge w:val="continue"/>
            <w:shd w:val="solid" w:color="FFFFFF" w:fill="auto"/>
            <w:vAlign w:val="top"/>
          </w:tcPr>
          <w:p>
            <w:pPr>
              <w:pStyle w:val="4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rPr>
                <w:rFonts w:hint="default"/>
                <w:sz w:val="16"/>
                <w:szCs w:val="16"/>
                <w:lang w:val="en-US" w:eastAsia="zh-CN"/>
              </w:rPr>
            </w:pPr>
            <w:r>
              <w:rPr>
                <w:rFonts w:hint="default"/>
                <w:sz w:val="16"/>
                <w:szCs w:val="16"/>
                <w:lang w:val="en-US" w:eastAsia="zh-CN"/>
              </w:rPr>
              <w:t>2022-07</w:t>
            </w:r>
          </w:p>
        </w:tc>
        <w:tc>
          <w:tcPr>
            <w:tcW w:w="891" w:type="dxa"/>
            <w:vMerge w:val="restart"/>
            <w:shd w:val="solid" w:color="FFFFFF" w:fill="auto"/>
            <w:vAlign w:val="top"/>
          </w:tcPr>
          <w:p>
            <w:pPr>
              <w:pStyle w:val="40"/>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4</w:t>
            </w:r>
            <w:r>
              <w:rPr>
                <w:sz w:val="16"/>
                <w:szCs w:val="16"/>
                <w:lang w:eastAsia="zh-CN"/>
              </w:rPr>
              <w:t>e</w:t>
            </w:r>
          </w:p>
        </w:tc>
        <w:tc>
          <w:tcPr>
            <w:tcW w:w="1003" w:type="dxa"/>
            <w:shd w:val="solid" w:color="FFFFFF" w:fill="auto"/>
            <w:vAlign w:val="top"/>
          </w:tcPr>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tc>
        <w:tc>
          <w:tcPr>
            <w:tcW w:w="425" w:type="dxa"/>
            <w:shd w:val="solid" w:color="FFFFFF" w:fill="auto"/>
            <w:vAlign w:val="top"/>
          </w:tcPr>
          <w:p>
            <w:pPr>
              <w:pStyle w:val="38"/>
              <w:rPr>
                <w:rFonts w:hint="default" w:cs="Times New Roman"/>
                <w:sz w:val="16"/>
                <w:szCs w:val="16"/>
                <w:lang w:val="en-US" w:eastAsia="en-US" w:bidi="ar-SA"/>
              </w:rPr>
            </w:pPr>
          </w:p>
        </w:tc>
        <w:tc>
          <w:tcPr>
            <w:tcW w:w="425" w:type="dxa"/>
            <w:shd w:val="solid" w:color="FFFFFF" w:fill="auto"/>
            <w:vAlign w:val="top"/>
          </w:tcPr>
          <w:p>
            <w:pPr>
              <w:pStyle w:val="37"/>
              <w:rPr>
                <w:rFonts w:hint="default" w:cs="Times New Roman"/>
                <w:sz w:val="16"/>
                <w:szCs w:val="16"/>
                <w:lang w:val="en-US" w:eastAsia="en-US" w:bidi="ar-SA"/>
              </w:rPr>
            </w:pPr>
          </w:p>
        </w:tc>
        <w:tc>
          <w:tcPr>
            <w:tcW w:w="425" w:type="dxa"/>
            <w:shd w:val="solid" w:color="FFFFFF" w:fill="auto"/>
            <w:vAlign w:val="top"/>
          </w:tcPr>
          <w:p>
            <w:pPr>
              <w:pStyle w:val="40"/>
              <w:rPr>
                <w:rFonts w:hint="default" w:cs="Times New Roman"/>
                <w:sz w:val="16"/>
                <w:szCs w:val="16"/>
                <w:lang w:val="en-US" w:eastAsia="en-US" w:bidi="ar-SA"/>
              </w:rPr>
            </w:pPr>
          </w:p>
        </w:tc>
        <w:tc>
          <w:tcPr>
            <w:tcW w:w="4962" w:type="dxa"/>
            <w:shd w:val="solid" w:color="FFFFFF" w:fill="auto"/>
            <w:vAlign w:val="top"/>
          </w:tcPr>
          <w:p>
            <w:pPr>
              <w:pStyle w:val="38"/>
              <w:numPr>
                <w:ilvl w:val="-1"/>
                <w:numId w:val="0"/>
              </w:numPr>
              <w:ind w:lef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VNFC failover</w:t>
            </w:r>
          </w:p>
        </w:tc>
        <w:tc>
          <w:tcPr>
            <w:tcW w:w="708" w:type="dxa"/>
            <w:vMerge w:val="restart"/>
            <w:shd w:val="solid" w:color="FFFFFF" w:fill="auto"/>
            <w:vAlign w:val="top"/>
          </w:tcPr>
          <w:p>
            <w:pPr>
              <w:pStyle w:val="40"/>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rPr>
                <w:rFonts w:hint="default"/>
                <w:sz w:val="16"/>
                <w:szCs w:val="16"/>
                <w:lang w:val="en-US" w:eastAsia="zh-CN"/>
              </w:rPr>
            </w:pPr>
          </w:p>
        </w:tc>
        <w:tc>
          <w:tcPr>
            <w:tcW w:w="891" w:type="dxa"/>
            <w:vMerge w:val="continue"/>
            <w:shd w:val="solid" w:color="FFFFFF" w:fill="auto"/>
            <w:vAlign w:val="top"/>
          </w:tcPr>
          <w:p>
            <w:pPr>
              <w:pStyle w:val="40"/>
              <w:rPr>
                <w:rFonts w:hint="eastAsia"/>
                <w:sz w:val="16"/>
                <w:szCs w:val="16"/>
                <w:lang w:eastAsia="zh-CN"/>
              </w:rPr>
            </w:pPr>
          </w:p>
        </w:tc>
        <w:tc>
          <w:tcPr>
            <w:tcW w:w="1003" w:type="dxa"/>
            <w:shd w:val="solid" w:color="FFFFFF" w:fill="auto"/>
            <w:vAlign w:val="top"/>
          </w:tcPr>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tc>
        <w:tc>
          <w:tcPr>
            <w:tcW w:w="425" w:type="dxa"/>
            <w:shd w:val="solid" w:color="FFFFFF" w:fill="auto"/>
            <w:vAlign w:val="top"/>
          </w:tcPr>
          <w:p>
            <w:pPr>
              <w:pStyle w:val="38"/>
              <w:rPr>
                <w:rFonts w:hint="default" w:cs="Times New Roman"/>
                <w:sz w:val="16"/>
                <w:szCs w:val="16"/>
                <w:lang w:val="en-US" w:eastAsia="en-US" w:bidi="ar-SA"/>
              </w:rPr>
            </w:pPr>
          </w:p>
        </w:tc>
        <w:tc>
          <w:tcPr>
            <w:tcW w:w="425" w:type="dxa"/>
            <w:shd w:val="solid" w:color="FFFFFF" w:fill="auto"/>
            <w:vAlign w:val="top"/>
          </w:tcPr>
          <w:p>
            <w:pPr>
              <w:pStyle w:val="37"/>
              <w:rPr>
                <w:rFonts w:hint="default" w:cs="Times New Roman"/>
                <w:sz w:val="16"/>
                <w:szCs w:val="16"/>
                <w:lang w:val="en-US" w:eastAsia="en-US" w:bidi="ar-SA"/>
              </w:rPr>
            </w:pPr>
          </w:p>
        </w:tc>
        <w:tc>
          <w:tcPr>
            <w:tcW w:w="425" w:type="dxa"/>
            <w:shd w:val="solid" w:color="FFFFFF" w:fill="auto"/>
            <w:vAlign w:val="top"/>
          </w:tcPr>
          <w:p>
            <w:pPr>
              <w:pStyle w:val="40"/>
              <w:rPr>
                <w:rFonts w:hint="default" w:cs="Times New Roman"/>
                <w:sz w:val="16"/>
                <w:szCs w:val="16"/>
                <w:lang w:val="en-US" w:eastAsia="en-US" w:bidi="ar-SA"/>
              </w:rPr>
            </w:pPr>
          </w:p>
        </w:tc>
        <w:tc>
          <w:tcPr>
            <w:tcW w:w="4962" w:type="dxa"/>
            <w:shd w:val="solid" w:color="FFFFFF" w:fill="auto"/>
            <w:vAlign w:val="top"/>
          </w:tcPr>
          <w:p>
            <w:pPr>
              <w:pStyle w:val="38"/>
              <w:numPr>
                <w:ilvl w:val="-1"/>
                <w:numId w:val="0"/>
              </w:numPr>
              <w:ind w:lef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Traffic management of the cloud-native VNF using generic OAM functions</w:t>
            </w:r>
          </w:p>
        </w:tc>
        <w:tc>
          <w:tcPr>
            <w:tcW w:w="708" w:type="dxa"/>
            <w:vMerge w:val="continue"/>
            <w:shd w:val="solid" w:color="FFFFFF" w:fill="auto"/>
            <w:vAlign w:val="top"/>
          </w:tcPr>
          <w:p>
            <w:pPr>
              <w:pStyle w:val="4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rPr>
                <w:rFonts w:hint="default"/>
                <w:sz w:val="16"/>
                <w:szCs w:val="16"/>
                <w:lang w:val="en-US" w:eastAsia="zh-CN"/>
              </w:rPr>
            </w:pPr>
          </w:p>
        </w:tc>
        <w:tc>
          <w:tcPr>
            <w:tcW w:w="891" w:type="dxa"/>
            <w:vMerge w:val="continue"/>
            <w:shd w:val="solid" w:color="FFFFFF" w:fill="auto"/>
            <w:vAlign w:val="top"/>
          </w:tcPr>
          <w:p>
            <w:pPr>
              <w:pStyle w:val="40"/>
              <w:rPr>
                <w:rFonts w:hint="eastAsia"/>
                <w:sz w:val="16"/>
                <w:szCs w:val="16"/>
                <w:lang w:eastAsia="zh-CN"/>
              </w:rPr>
            </w:pPr>
          </w:p>
        </w:tc>
        <w:tc>
          <w:tcPr>
            <w:tcW w:w="1003" w:type="dxa"/>
            <w:shd w:val="solid" w:color="FFFFFF" w:fill="auto"/>
            <w:vAlign w:val="top"/>
          </w:tcPr>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rPr>
                <w:rFonts w:hint="default"/>
                <w:sz w:val="16"/>
                <w:szCs w:val="16"/>
                <w:lang w:val="en-US" w:eastAsia="zh-CN"/>
              </w:rPr>
            </w:pPr>
          </w:p>
          <w:p>
            <w:pPr>
              <w:pStyle w:val="40"/>
              <w:rPr>
                <w:rFonts w:hint="default"/>
                <w:sz w:val="16"/>
                <w:szCs w:val="16"/>
                <w:lang w:val="en-US" w:eastAsia="zh-CN"/>
              </w:rPr>
            </w:pPr>
          </w:p>
        </w:tc>
        <w:tc>
          <w:tcPr>
            <w:tcW w:w="425" w:type="dxa"/>
            <w:shd w:val="solid" w:color="FFFFFF" w:fill="auto"/>
            <w:vAlign w:val="top"/>
          </w:tcPr>
          <w:p>
            <w:pPr>
              <w:pStyle w:val="38"/>
              <w:rPr>
                <w:rFonts w:hint="default" w:cs="Times New Roman"/>
                <w:sz w:val="16"/>
                <w:szCs w:val="16"/>
                <w:lang w:val="en-US" w:eastAsia="en-US" w:bidi="ar-SA"/>
              </w:rPr>
            </w:pPr>
          </w:p>
        </w:tc>
        <w:tc>
          <w:tcPr>
            <w:tcW w:w="425" w:type="dxa"/>
            <w:shd w:val="solid" w:color="FFFFFF" w:fill="auto"/>
            <w:vAlign w:val="top"/>
          </w:tcPr>
          <w:p>
            <w:pPr>
              <w:pStyle w:val="37"/>
              <w:rPr>
                <w:rFonts w:hint="default" w:cs="Times New Roman"/>
                <w:sz w:val="16"/>
                <w:szCs w:val="16"/>
                <w:lang w:val="en-US" w:eastAsia="en-US" w:bidi="ar-SA"/>
              </w:rPr>
            </w:pPr>
          </w:p>
        </w:tc>
        <w:tc>
          <w:tcPr>
            <w:tcW w:w="425" w:type="dxa"/>
            <w:shd w:val="solid" w:color="FFFFFF" w:fill="auto"/>
            <w:vAlign w:val="top"/>
          </w:tcPr>
          <w:p>
            <w:pPr>
              <w:pStyle w:val="40"/>
              <w:rPr>
                <w:rFonts w:hint="default" w:cs="Times New Roman"/>
                <w:sz w:val="16"/>
                <w:szCs w:val="16"/>
                <w:lang w:val="en-US" w:eastAsia="en-US" w:bidi="ar-SA"/>
              </w:rPr>
            </w:pPr>
          </w:p>
        </w:tc>
        <w:tc>
          <w:tcPr>
            <w:tcW w:w="4962" w:type="dxa"/>
            <w:shd w:val="solid" w:color="FFFFFF" w:fill="auto"/>
            <w:vAlign w:val="top"/>
          </w:tcPr>
          <w:p>
            <w:pPr>
              <w:pStyle w:val="38"/>
              <w:numPr>
                <w:ilvl w:val="-1"/>
                <w:numId w:val="0"/>
              </w:numPr>
              <w:ind w:lef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Configuration of the cloud-native VNF using generic OAM functions</w:t>
            </w:r>
          </w:p>
        </w:tc>
        <w:tc>
          <w:tcPr>
            <w:tcW w:w="708" w:type="dxa"/>
            <w:vMerge w:val="continue"/>
            <w:shd w:val="solid" w:color="FFFFFF" w:fill="auto"/>
            <w:vAlign w:val="top"/>
          </w:tcPr>
          <w:p>
            <w:pPr>
              <w:pStyle w:val="4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rPr>
                <w:rFonts w:hint="default"/>
                <w:sz w:val="16"/>
                <w:szCs w:val="16"/>
                <w:lang w:val="en-US" w:eastAsia="zh-CN"/>
              </w:rPr>
            </w:pPr>
          </w:p>
        </w:tc>
        <w:tc>
          <w:tcPr>
            <w:tcW w:w="891" w:type="dxa"/>
            <w:vMerge w:val="continue"/>
            <w:shd w:val="solid" w:color="FFFFFF" w:fill="auto"/>
            <w:vAlign w:val="top"/>
          </w:tcPr>
          <w:p>
            <w:pPr>
              <w:pStyle w:val="40"/>
              <w:rPr>
                <w:rFonts w:hint="eastAsia"/>
                <w:sz w:val="16"/>
                <w:szCs w:val="16"/>
                <w:lang w:eastAsia="zh-CN"/>
              </w:rPr>
            </w:pPr>
          </w:p>
        </w:tc>
        <w:tc>
          <w:tcPr>
            <w:tcW w:w="1003" w:type="dxa"/>
            <w:shd w:val="solid" w:color="FFFFFF" w:fill="auto"/>
            <w:vAlign w:val="top"/>
          </w:tcPr>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tc>
        <w:tc>
          <w:tcPr>
            <w:tcW w:w="425" w:type="dxa"/>
            <w:shd w:val="solid" w:color="FFFFFF" w:fill="auto"/>
            <w:vAlign w:val="top"/>
          </w:tcPr>
          <w:p>
            <w:pPr>
              <w:pStyle w:val="38"/>
              <w:rPr>
                <w:rFonts w:hint="default" w:cs="Times New Roman"/>
                <w:sz w:val="16"/>
                <w:szCs w:val="16"/>
                <w:lang w:val="en-US" w:eastAsia="en-US" w:bidi="ar-SA"/>
              </w:rPr>
            </w:pPr>
          </w:p>
        </w:tc>
        <w:tc>
          <w:tcPr>
            <w:tcW w:w="425" w:type="dxa"/>
            <w:shd w:val="solid" w:color="FFFFFF" w:fill="auto"/>
            <w:vAlign w:val="top"/>
          </w:tcPr>
          <w:p>
            <w:pPr>
              <w:pStyle w:val="37"/>
              <w:rPr>
                <w:rFonts w:hint="default" w:cs="Times New Roman"/>
                <w:sz w:val="16"/>
                <w:szCs w:val="16"/>
                <w:lang w:val="en-US" w:eastAsia="en-US" w:bidi="ar-SA"/>
              </w:rPr>
            </w:pPr>
          </w:p>
        </w:tc>
        <w:tc>
          <w:tcPr>
            <w:tcW w:w="425" w:type="dxa"/>
            <w:shd w:val="solid" w:color="FFFFFF" w:fill="auto"/>
            <w:vAlign w:val="top"/>
          </w:tcPr>
          <w:p>
            <w:pPr>
              <w:pStyle w:val="40"/>
              <w:rPr>
                <w:rFonts w:hint="default" w:cs="Times New Roman"/>
                <w:sz w:val="16"/>
                <w:szCs w:val="16"/>
                <w:lang w:val="en-US" w:eastAsia="en-US" w:bidi="ar-SA"/>
              </w:rPr>
            </w:pPr>
          </w:p>
        </w:tc>
        <w:tc>
          <w:tcPr>
            <w:tcW w:w="4962" w:type="dxa"/>
            <w:shd w:val="solid" w:color="FFFFFF" w:fill="auto"/>
            <w:vAlign w:val="top"/>
          </w:tcPr>
          <w:p>
            <w:pPr>
              <w:pStyle w:val="38"/>
              <w:numPr>
                <w:ilvl w:val="-1"/>
                <w:numId w:val="0"/>
              </w:numPr>
              <w:ind w:lef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pCR 28.834 Add use case for VNF scaling </w:t>
            </w:r>
          </w:p>
        </w:tc>
        <w:tc>
          <w:tcPr>
            <w:tcW w:w="708" w:type="dxa"/>
            <w:vMerge w:val="continue"/>
            <w:shd w:val="solid" w:color="FFFFFF" w:fill="auto"/>
            <w:vAlign w:val="top"/>
          </w:tcPr>
          <w:p>
            <w:pPr>
              <w:pStyle w:val="40"/>
              <w:rPr>
                <w:rFonts w:hint="default"/>
                <w:sz w:val="16"/>
                <w:szCs w:val="16"/>
                <w:lang w:val="en-US" w:eastAsia="zh-CN"/>
              </w:rPr>
            </w:pP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V0.2.0 (2022-07)</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4E7210"/>
    <w:multiLevelType w:val="singleLevel"/>
    <w:tmpl w:val="DD4E7210"/>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5B81621"/>
    <w:rsid w:val="078F20A6"/>
    <w:rsid w:val="078F73F8"/>
    <w:rsid w:val="08333588"/>
    <w:rsid w:val="094533F2"/>
    <w:rsid w:val="09A20828"/>
    <w:rsid w:val="0B603F69"/>
    <w:rsid w:val="0BF925DE"/>
    <w:rsid w:val="0D276626"/>
    <w:rsid w:val="0D2C6333"/>
    <w:rsid w:val="0F2D319E"/>
    <w:rsid w:val="118C7494"/>
    <w:rsid w:val="127B5E2E"/>
    <w:rsid w:val="12F35DE0"/>
    <w:rsid w:val="13274B9E"/>
    <w:rsid w:val="144F1D0A"/>
    <w:rsid w:val="171A1639"/>
    <w:rsid w:val="1A047A86"/>
    <w:rsid w:val="1B2251C0"/>
    <w:rsid w:val="1BAD6EB6"/>
    <w:rsid w:val="1C327BB6"/>
    <w:rsid w:val="1D51677B"/>
    <w:rsid w:val="1E522A0C"/>
    <w:rsid w:val="1E6224CC"/>
    <w:rsid w:val="1E7D28F2"/>
    <w:rsid w:val="1F8C1385"/>
    <w:rsid w:val="1FF26785"/>
    <w:rsid w:val="200F33F2"/>
    <w:rsid w:val="21DC5839"/>
    <w:rsid w:val="26760862"/>
    <w:rsid w:val="267E3CDC"/>
    <w:rsid w:val="27371A7B"/>
    <w:rsid w:val="2939092D"/>
    <w:rsid w:val="2C060AD0"/>
    <w:rsid w:val="2E0B2477"/>
    <w:rsid w:val="2FF80767"/>
    <w:rsid w:val="3148522D"/>
    <w:rsid w:val="31C501F4"/>
    <w:rsid w:val="32AA1415"/>
    <w:rsid w:val="34C706E4"/>
    <w:rsid w:val="35925426"/>
    <w:rsid w:val="365A2C21"/>
    <w:rsid w:val="37574BDE"/>
    <w:rsid w:val="39615870"/>
    <w:rsid w:val="3C1659A6"/>
    <w:rsid w:val="3CCD54D5"/>
    <w:rsid w:val="41DB1B34"/>
    <w:rsid w:val="448616EA"/>
    <w:rsid w:val="490408F2"/>
    <w:rsid w:val="49727ED0"/>
    <w:rsid w:val="49BF0076"/>
    <w:rsid w:val="4A823623"/>
    <w:rsid w:val="4C15787D"/>
    <w:rsid w:val="51B14123"/>
    <w:rsid w:val="53A778AB"/>
    <w:rsid w:val="53AB2AE8"/>
    <w:rsid w:val="545B3CAB"/>
    <w:rsid w:val="558E58F6"/>
    <w:rsid w:val="57620BCB"/>
    <w:rsid w:val="5778376A"/>
    <w:rsid w:val="582E7C7C"/>
    <w:rsid w:val="587E48EE"/>
    <w:rsid w:val="5E307137"/>
    <w:rsid w:val="5EC56E1F"/>
    <w:rsid w:val="5F860998"/>
    <w:rsid w:val="5FE6116B"/>
    <w:rsid w:val="62F82CD5"/>
    <w:rsid w:val="64177320"/>
    <w:rsid w:val="65703E80"/>
    <w:rsid w:val="65B43EC7"/>
    <w:rsid w:val="695B08C7"/>
    <w:rsid w:val="69747CD3"/>
    <w:rsid w:val="6C743377"/>
    <w:rsid w:val="6D4B6F10"/>
    <w:rsid w:val="6D955CB9"/>
    <w:rsid w:val="6F844B1A"/>
    <w:rsid w:val="6FC47914"/>
    <w:rsid w:val="702355BE"/>
    <w:rsid w:val="735A3F2B"/>
    <w:rsid w:val="755C4479"/>
    <w:rsid w:val="76C5710F"/>
    <w:rsid w:val="76FE2EA2"/>
    <w:rsid w:val="78D0114A"/>
    <w:rsid w:val="7A6A1B59"/>
    <w:rsid w:val="7AF51293"/>
    <w:rsid w:val="7D8B1990"/>
    <w:rsid w:val="7EB86C98"/>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2</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2022-07-07T08:19:04Z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