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pPr>
            <w:bookmarkStart w:id="128" w:name="_GoBack"/>
            <w:bookmarkEnd w:id="128"/>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777</w:t>
            </w:r>
            <w:r>
              <w:rPr>
                <w:sz w:val="64"/>
              </w:rPr>
              <w:t xml:space="preserve"> </w:t>
            </w:r>
            <w:r>
              <w:t>V</w:t>
            </w:r>
            <w:bookmarkStart w:id="3" w:name="specVersion"/>
            <w:r>
              <w:t>0.</w:t>
            </w:r>
            <w:r>
              <w:rPr>
                <w:rFonts w:hint="eastAsia"/>
                <w:lang w:val="en-US" w:eastAsia="zh-CN"/>
              </w:rPr>
              <w:t>2</w:t>
            </w:r>
            <w:r>
              <w:t>.</w:t>
            </w:r>
            <w:bookmarkEnd w:id="3"/>
            <w:r>
              <w:t xml:space="preserve">0 </w:t>
            </w:r>
            <w:r>
              <w:rPr>
                <w:sz w:val="32"/>
              </w:rPr>
              <w:t>(2025-</w:t>
            </w:r>
            <w:r>
              <w:rPr>
                <w:rFonts w:hint="eastAsia"/>
                <w:sz w:val="32"/>
                <w:lang w:val="en-US" w:eastAsia="zh-CN"/>
              </w:rPr>
              <w:t>10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pPr>
            <w:r>
              <w:t xml:space="preserve">Technical </w:t>
            </w:r>
            <w:bookmarkStart w:id="4" w:name="spectype2"/>
            <w:r>
              <w:t>Report</w:t>
            </w:r>
            <w:bookmarkEnd w:id="4"/>
          </w:p>
          <w:p>
            <w:pPr>
              <w:pStyle w:val="67"/>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pPr>
            <w:r>
              <w:t>3rd Generation Partnership Project;</w:t>
            </w:r>
          </w:p>
          <w:p>
            <w:pPr>
              <w:pStyle w:val="54"/>
              <w:framePr w:wrap="auto" w:vAnchor="margin" w:hAnchor="text" w:yAlign="inline"/>
            </w:pPr>
            <w:r>
              <w:t xml:space="preserve">Technical Specification Group </w:t>
            </w:r>
            <w:bookmarkStart w:id="5" w:name="specTitle"/>
            <w:r>
              <w:t>Services and System Aspects;</w:t>
            </w:r>
          </w:p>
          <w:bookmarkEnd w:id="5"/>
          <w:p>
            <w:pPr>
              <w:pStyle w:val="54"/>
              <w:framePr w:wrap="auto" w:vAnchor="margin" w:hAnchor="text" w:yAlign="inline"/>
            </w:pPr>
            <w:r>
              <w:t>Study on Security and Privacy Aspects of Integrated Sensing and Communication</w:t>
            </w:r>
          </w:p>
          <w:p>
            <w:pPr>
              <w:pStyle w:val="54"/>
              <w:framePr w:wrap="auto" w:vAnchor="margin" w:hAnchor="text" w:yAlign="inline"/>
              <w:rPr>
                <w:i/>
                <w:sz w:val="28"/>
              </w:rPr>
            </w:pPr>
            <w:r>
              <w:t>(</w:t>
            </w:r>
            <w:r>
              <w:rPr>
                <w:rStyle w:val="34"/>
              </w:rPr>
              <w:t>Release 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5875" cy="794385"/>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5059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7"/>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5"/>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6"/>
              <w:spacing w:after="240"/>
              <w:ind w:left="2835" w:right="2835"/>
              <w:jc w:val="center"/>
              <w:rPr>
                <w:rFonts w:ascii="Arial" w:hAnsi="Arial"/>
                <w:b/>
                <w:i/>
              </w:rPr>
            </w:pPr>
            <w:bookmarkStart w:id="8" w:name="coords3gpp"/>
            <w:r>
              <w:rPr>
                <w:rFonts w:ascii="Arial" w:hAnsi="Arial"/>
                <w:b/>
                <w:i/>
              </w:rPr>
              <w:t>3GPP</w:t>
            </w:r>
          </w:p>
          <w:p>
            <w:pPr>
              <w:pStyle w:val="46"/>
              <w:pBdr>
                <w:bottom w:val="single" w:color="auto" w:sz="6" w:space="1"/>
              </w:pBdr>
              <w:ind w:left="2835" w:right="2835"/>
              <w:jc w:val="center"/>
            </w:pPr>
            <w:r>
              <w:t>Postal address</w:t>
            </w:r>
          </w:p>
          <w:p>
            <w:pPr>
              <w:pStyle w:val="46"/>
              <w:ind w:left="2835" w:right="2835"/>
              <w:jc w:val="center"/>
              <w:rPr>
                <w:rFonts w:ascii="Arial" w:hAnsi="Arial"/>
                <w:sz w:val="18"/>
              </w:rPr>
            </w:pPr>
          </w:p>
          <w:p>
            <w:pPr>
              <w:pStyle w:val="46"/>
              <w:pBdr>
                <w:bottom w:val="single" w:color="auto" w:sz="6" w:space="1"/>
              </w:pBdr>
              <w:spacing w:before="240"/>
              <w:ind w:left="2835" w:right="2835"/>
              <w:jc w:val="center"/>
            </w:pPr>
            <w:r>
              <w:t>3GPP support office address</w:t>
            </w:r>
          </w:p>
          <w:p>
            <w:pPr>
              <w:pStyle w:val="46"/>
              <w:ind w:left="2835" w:right="2835"/>
              <w:jc w:val="center"/>
              <w:rPr>
                <w:rFonts w:ascii="Arial" w:hAnsi="Arial"/>
                <w:sz w:val="18"/>
                <w:lang w:val="fr-FR"/>
              </w:rPr>
            </w:pPr>
            <w:r>
              <w:rPr>
                <w:rFonts w:ascii="Arial" w:hAnsi="Arial"/>
                <w:sz w:val="18"/>
                <w:lang w:val="fr-FR"/>
              </w:rPr>
              <w:t>650 Route des Lucioles - Sophia Antipolis</w:t>
            </w:r>
          </w:p>
          <w:p>
            <w:pPr>
              <w:pStyle w:val="46"/>
              <w:ind w:left="2835" w:right="2835"/>
              <w:jc w:val="center"/>
              <w:rPr>
                <w:rFonts w:ascii="Arial" w:hAnsi="Arial"/>
                <w:sz w:val="18"/>
                <w:lang w:val="fr-FR"/>
              </w:rPr>
            </w:pPr>
            <w:r>
              <w:rPr>
                <w:rFonts w:ascii="Arial" w:hAnsi="Arial"/>
                <w:sz w:val="18"/>
                <w:lang w:val="fr-FR"/>
              </w:rPr>
              <w:t>Valbonne - FRANCE</w:t>
            </w:r>
          </w:p>
          <w:p>
            <w:pPr>
              <w:pStyle w:val="46"/>
              <w:spacing w:after="20"/>
              <w:ind w:left="2835" w:right="2835"/>
              <w:jc w:val="center"/>
              <w:rPr>
                <w:rFonts w:ascii="Arial" w:hAnsi="Arial"/>
                <w:sz w:val="18"/>
              </w:rPr>
            </w:pPr>
            <w:r>
              <w:rPr>
                <w:rFonts w:ascii="Arial" w:hAnsi="Arial"/>
                <w:sz w:val="18"/>
              </w:rPr>
              <w:t>Tel.: +33 4 92 94 42 00 Fax: +33 4 93 65 47 16</w:t>
            </w:r>
          </w:p>
          <w:p>
            <w:pPr>
              <w:pStyle w:val="46"/>
              <w:pBdr>
                <w:bottom w:val="single" w:color="auto" w:sz="6" w:space="1"/>
              </w:pBdr>
              <w:spacing w:before="240"/>
              <w:ind w:left="2835" w:right="2835"/>
              <w:jc w:val="center"/>
            </w:pPr>
            <w:r>
              <w:t>Internet</w:t>
            </w:r>
          </w:p>
          <w:p>
            <w:pPr>
              <w:pStyle w:val="46"/>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6"/>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46"/>
              <w:jc w:val="center"/>
            </w:pPr>
            <w:r>
              <w:t>No part may be reproduced except as authorized by written permission.</w:t>
            </w:r>
            <w:r>
              <w:br w:type="textWrapping"/>
            </w:r>
            <w:r>
              <w:t>The copyright and the foregoing restriction extend to reproduction in all media.</w:t>
            </w:r>
          </w:p>
          <w:p>
            <w:pPr>
              <w:pStyle w:val="46"/>
              <w:jc w:val="center"/>
            </w:pPr>
          </w:p>
          <w:p>
            <w:pPr>
              <w:pStyle w:val="46"/>
              <w:jc w:val="center"/>
              <w:rPr>
                <w:sz w:val="18"/>
              </w:rPr>
            </w:pPr>
            <w:r>
              <w:rPr>
                <w:sz w:val="18"/>
              </w:rPr>
              <w:t xml:space="preserve">© </w:t>
            </w:r>
            <w:bookmarkStart w:id="10" w:name="copyrightDate"/>
            <w:r>
              <w:rPr>
                <w:sz w:val="18"/>
              </w:rPr>
              <w:t>202</w:t>
            </w:r>
            <w:bookmarkEnd w:id="10"/>
            <w:r>
              <w:rPr>
                <w:sz w:val="18"/>
              </w:rPr>
              <w:t>5, 3GPP Organizational Partners (ARIB, ATIS, CCSA, ETSI, TSDSI, TTA, TTC).</w:t>
            </w:r>
            <w:bookmarkStart w:id="11" w:name="copyrightaddon"/>
            <w:bookmarkEnd w:id="11"/>
          </w:p>
          <w:p>
            <w:pPr>
              <w:pStyle w:val="46"/>
              <w:jc w:val="center"/>
              <w:rPr>
                <w:sz w:val="18"/>
              </w:rPr>
            </w:pPr>
            <w:r>
              <w:rPr>
                <w:sz w:val="18"/>
              </w:rPr>
              <w:t>All rights reserved.</w:t>
            </w:r>
          </w:p>
          <w:p>
            <w:pPr>
              <w:pStyle w:val="46"/>
              <w:rPr>
                <w:sz w:val="18"/>
              </w:rPr>
            </w:pPr>
          </w:p>
          <w:p>
            <w:pPr>
              <w:pStyle w:val="46"/>
              <w:rPr>
                <w:sz w:val="18"/>
              </w:rPr>
            </w:pPr>
            <w:r>
              <w:rPr>
                <w:sz w:val="18"/>
              </w:rPr>
              <w:t>UMTS™ is a Trade Mark of ETSI registered for the benefit of its members</w:t>
            </w:r>
          </w:p>
          <w:p>
            <w:pPr>
              <w:pStyle w:val="46"/>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6"/>
              <w:rPr>
                <w:sz w:val="18"/>
              </w:rPr>
            </w:pPr>
            <w:r>
              <w:rPr>
                <w:sz w:val="18"/>
              </w:rPr>
              <w:t>GSM® and the GSM logo are registered and owned by the GSM Association</w:t>
            </w:r>
            <w:bookmarkEnd w:id="9"/>
          </w:p>
          <w:p/>
        </w:tc>
      </w:tr>
      <w:bookmarkEnd w:id="7"/>
    </w:tbl>
    <w:p>
      <w:pPr>
        <w:pStyle w:val="36"/>
      </w:pPr>
      <w:r>
        <w:br w:type="page"/>
      </w:r>
      <w:bookmarkStart w:id="12" w:name="tableOfContents"/>
      <w:bookmarkEnd w:id="12"/>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_Toc211859866 \h </w:instrText>
      </w:r>
      <w:r>
        <w:fldChar w:fldCharType="separate"/>
      </w:r>
      <w:r>
        <w:t>5</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_Toc211859867 \h </w:instrText>
      </w:r>
      <w:r>
        <w:fldChar w:fldCharType="separate"/>
      </w:r>
      <w:r>
        <w:t>7</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_Toc211859868 \h </w:instrText>
      </w:r>
      <w:r>
        <w:fldChar w:fldCharType="separate"/>
      </w:r>
      <w:r>
        <w:t>7</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_Toc211859869 \h </w:instrText>
      </w:r>
      <w:r>
        <w:fldChar w:fldCharType="separate"/>
      </w:r>
      <w:r>
        <w:t>7</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_Toc211859870 \h </w:instrText>
      </w:r>
      <w:r>
        <w:fldChar w:fldCharType="separate"/>
      </w:r>
      <w:r>
        <w:t>7</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_Toc211859871 \h </w:instrText>
      </w:r>
      <w:r>
        <w:fldChar w:fldCharType="separate"/>
      </w:r>
      <w:r>
        <w:t>8</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_Toc211859872 \h </w:instrText>
      </w:r>
      <w:r>
        <w:fldChar w:fldCharType="separate"/>
      </w:r>
      <w:r>
        <w:t>8</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w:t>
      </w:r>
      <w:r>
        <w:rPr>
          <w:lang w:val="en-US" w:eastAsia="zh-CN"/>
        </w:rPr>
        <w:t xml:space="preserve"> and security</w:t>
      </w:r>
      <w:r>
        <w:t xml:space="preserve"> assumptions</w:t>
      </w:r>
      <w:r>
        <w:tab/>
      </w:r>
      <w:r>
        <w:fldChar w:fldCharType="begin"/>
      </w:r>
      <w:r>
        <w:instrText xml:space="preserve"> PAGEREF _Toc211859873 \h </w:instrText>
      </w:r>
      <w:r>
        <w:fldChar w:fldCharType="separate"/>
      </w:r>
      <w:r>
        <w:t>8</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_Toc211859874 \h </w:instrText>
      </w:r>
      <w:r>
        <w:fldChar w:fldCharType="separate"/>
      </w:r>
      <w:r>
        <w:t>8</w:t>
      </w:r>
      <w:r>
        <w:fldChar w:fldCharType="end"/>
      </w:r>
    </w:p>
    <w:p>
      <w:pPr>
        <w:pStyle w:val="1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Security of sensing service authorization</w:t>
      </w:r>
      <w:r>
        <w:rPr>
          <w:lang w:val="en-US" w:eastAsia="zh-CN"/>
        </w:rPr>
        <w:t xml:space="preserve"> and sensing result exposure</w:t>
      </w:r>
      <w:r>
        <w:tab/>
      </w:r>
      <w:r>
        <w:fldChar w:fldCharType="begin"/>
      </w:r>
      <w:r>
        <w:instrText xml:space="preserve"> PAGEREF _Toc211859875 \h </w:instrText>
      </w:r>
      <w:r>
        <w:fldChar w:fldCharType="separate"/>
      </w:r>
      <w:r>
        <w:t>8</w:t>
      </w:r>
      <w:r>
        <w:fldChar w:fldCharType="end"/>
      </w:r>
    </w:p>
    <w:p>
      <w:pPr>
        <w:pStyle w:val="16"/>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_Toc211859876 \h </w:instrText>
      </w:r>
      <w:r>
        <w:fldChar w:fldCharType="separate"/>
      </w:r>
      <w:r>
        <w:t>8</w:t>
      </w:r>
      <w:r>
        <w:fldChar w:fldCharType="end"/>
      </w:r>
    </w:p>
    <w:p>
      <w:pPr>
        <w:pStyle w:val="16"/>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_Toc211859877 \h </w:instrText>
      </w:r>
      <w:r>
        <w:fldChar w:fldCharType="separate"/>
      </w:r>
      <w:r>
        <w:t>8</w:t>
      </w:r>
      <w:r>
        <w:fldChar w:fldCharType="end"/>
      </w:r>
    </w:p>
    <w:p>
      <w:pPr>
        <w:pStyle w:val="16"/>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_Toc211859878 \h </w:instrText>
      </w:r>
      <w:r>
        <w:fldChar w:fldCharType="separate"/>
      </w:r>
      <w:r>
        <w:t>9</w:t>
      </w:r>
      <w:r>
        <w:fldChar w:fldCharType="end"/>
      </w:r>
    </w:p>
    <w:p>
      <w:pPr>
        <w:pStyle w:val="1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Security protection for sensing service operations</w:t>
      </w:r>
      <w:r>
        <w:tab/>
      </w:r>
      <w:r>
        <w:fldChar w:fldCharType="begin"/>
      </w:r>
      <w:r>
        <w:instrText xml:space="preserve"> PAGEREF _Toc211859879 \h </w:instrText>
      </w:r>
      <w:r>
        <w:fldChar w:fldCharType="separate"/>
      </w:r>
      <w:r>
        <w:t>9</w:t>
      </w:r>
      <w:r>
        <w:fldChar w:fldCharType="end"/>
      </w:r>
    </w:p>
    <w:p>
      <w:pPr>
        <w:pStyle w:val="16"/>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_Toc211859880 \h </w:instrText>
      </w:r>
      <w:r>
        <w:fldChar w:fldCharType="separate"/>
      </w:r>
      <w:r>
        <w:t>9</w:t>
      </w:r>
      <w:r>
        <w:fldChar w:fldCharType="end"/>
      </w:r>
    </w:p>
    <w:p>
      <w:pPr>
        <w:pStyle w:val="16"/>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_Toc211859881 \h </w:instrText>
      </w:r>
      <w:r>
        <w:fldChar w:fldCharType="separate"/>
      </w:r>
      <w:r>
        <w:t>9</w:t>
      </w:r>
      <w:r>
        <w:fldChar w:fldCharType="end"/>
      </w:r>
    </w:p>
    <w:p>
      <w:pPr>
        <w:pStyle w:val="16"/>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_Toc211859882 \h </w:instrText>
      </w:r>
      <w:r>
        <w:fldChar w:fldCharType="separate"/>
      </w:r>
      <w:r>
        <w:t>9</w:t>
      </w:r>
      <w:r>
        <w:fldChar w:fldCharType="end"/>
      </w:r>
    </w:p>
    <w:p>
      <w:pPr>
        <w:pStyle w:val="18"/>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_Toc211859883 \h </w:instrText>
      </w:r>
      <w:r>
        <w:fldChar w:fldCharType="separate"/>
      </w:r>
      <w:r>
        <w:t>9</w:t>
      </w:r>
      <w:r>
        <w:fldChar w:fldCharType="end"/>
      </w:r>
    </w:p>
    <w:p>
      <w:pPr>
        <w:pStyle w:val="17"/>
        <w:rPr>
          <w:rFonts w:asciiTheme="minorHAnsi" w:hAnsiTheme="minorHAnsi" w:cstheme="minorBidi"/>
          <w:kern w:val="2"/>
          <w:sz w:val="21"/>
          <w:szCs w:val="22"/>
          <w:lang w:val="en-US" w:eastAsia="zh-CN"/>
        </w:rPr>
      </w:pPr>
      <w:r>
        <w:rPr>
          <w:rFonts w:eastAsia="宋体"/>
        </w:rPr>
        <w:t>6.0</w:t>
      </w:r>
      <w:r>
        <w:rPr>
          <w:rFonts w:asciiTheme="minorHAnsi" w:hAnsiTheme="minorHAnsi" w:cstheme="minorBidi"/>
          <w:kern w:val="2"/>
          <w:sz w:val="21"/>
          <w:szCs w:val="22"/>
          <w:lang w:val="en-US" w:eastAsia="zh-CN"/>
        </w:rPr>
        <w:tab/>
      </w:r>
      <w:r>
        <w:rPr>
          <w:rFonts w:eastAsia="宋体"/>
        </w:rPr>
        <w:t>Mapping of solutions to key issues</w:t>
      </w:r>
      <w:r>
        <w:tab/>
      </w:r>
      <w:r>
        <w:fldChar w:fldCharType="begin"/>
      </w:r>
      <w:r>
        <w:instrText xml:space="preserve"> PAGEREF _Toc211859884 \h </w:instrText>
      </w:r>
      <w:r>
        <w:fldChar w:fldCharType="separate"/>
      </w:r>
      <w:r>
        <w:t>10</w:t>
      </w:r>
      <w:r>
        <w:fldChar w:fldCharType="end"/>
      </w:r>
    </w:p>
    <w:p>
      <w:pPr>
        <w:pStyle w:val="17"/>
        <w:rPr>
          <w:rFonts w:asciiTheme="minorHAnsi" w:hAnsiTheme="minorHAnsi" w:cstheme="minorBidi"/>
          <w:kern w:val="2"/>
          <w:sz w:val="21"/>
          <w:szCs w:val="22"/>
          <w:lang w:val="en-US" w:eastAsia="zh-CN"/>
        </w:rPr>
      </w:pPr>
      <w:r>
        <w:t>6.</w:t>
      </w:r>
      <w:r>
        <w:rPr>
          <w:lang w:val="en-US" w:eastAsia="zh-CN"/>
        </w:rPr>
        <w:t>1</w:t>
      </w:r>
      <w:r>
        <w:rPr>
          <w:rFonts w:asciiTheme="minorHAnsi" w:hAnsiTheme="minorHAnsi" w:cstheme="minorBidi"/>
          <w:kern w:val="2"/>
          <w:sz w:val="21"/>
          <w:szCs w:val="22"/>
          <w:lang w:val="en-US" w:eastAsia="zh-CN"/>
        </w:rPr>
        <w:tab/>
      </w:r>
      <w:r>
        <w:t>Solutions to KI#</w:t>
      </w:r>
      <w:r>
        <w:rPr>
          <w:lang w:val="en-US" w:eastAsia="zh-CN"/>
        </w:rPr>
        <w:t>1</w:t>
      </w:r>
      <w:r>
        <w:tab/>
      </w:r>
      <w:r>
        <w:fldChar w:fldCharType="begin"/>
      </w:r>
      <w:r>
        <w:instrText xml:space="preserve"> PAGEREF _Toc211859885 \h </w:instrText>
      </w:r>
      <w:r>
        <w:fldChar w:fldCharType="separate"/>
      </w:r>
      <w:r>
        <w:t>10</w:t>
      </w:r>
      <w:r>
        <w:fldChar w:fldCharType="end"/>
      </w:r>
    </w:p>
    <w:p>
      <w:pPr>
        <w:pStyle w:val="16"/>
        <w:rPr>
          <w:rFonts w:asciiTheme="minorHAnsi" w:hAnsiTheme="minorHAnsi" w:cstheme="minorBidi"/>
          <w:kern w:val="2"/>
          <w:sz w:val="21"/>
          <w:szCs w:val="22"/>
          <w:lang w:val="en-US" w:eastAsia="zh-CN"/>
        </w:rPr>
      </w:pPr>
      <w:r>
        <w:t>6.</w:t>
      </w:r>
      <w:r>
        <w:rPr>
          <w:lang w:val="en-US" w:eastAsia="zh-CN"/>
        </w:rPr>
        <w:t>1.1</w:t>
      </w:r>
      <w:r>
        <w:rPr>
          <w:rFonts w:asciiTheme="minorHAnsi" w:hAnsiTheme="minorHAnsi" w:cstheme="minorBidi"/>
          <w:kern w:val="2"/>
          <w:sz w:val="21"/>
          <w:szCs w:val="22"/>
          <w:lang w:val="en-US" w:eastAsia="zh-CN"/>
        </w:rPr>
        <w:tab/>
      </w:r>
      <w:r>
        <w:t>Solution #</w:t>
      </w:r>
      <w:r>
        <w:rPr>
          <w:lang w:val="en-US" w:eastAsia="zh-CN"/>
        </w:rPr>
        <w:t>1.1</w:t>
      </w:r>
      <w:r>
        <w:t xml:space="preserve">: </w:t>
      </w:r>
      <w:r>
        <w:rPr>
          <w:lang w:val="en-US" w:eastAsia="zh-CN"/>
        </w:rPr>
        <w:t>Authorization for sensing service request from AF</w:t>
      </w:r>
      <w:r>
        <w:tab/>
      </w:r>
      <w:r>
        <w:fldChar w:fldCharType="begin"/>
      </w:r>
      <w:r>
        <w:instrText xml:space="preserve"> PAGEREF _Toc211859886 \h </w:instrText>
      </w:r>
      <w:r>
        <w:fldChar w:fldCharType="separate"/>
      </w:r>
      <w:r>
        <w:t>10</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_Toc211859887 \h </w:instrText>
      </w:r>
      <w:r>
        <w:fldChar w:fldCharType="separate"/>
      </w:r>
      <w:r>
        <w:t>10</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_Toc211859888 \h </w:instrText>
      </w:r>
      <w:r>
        <w:fldChar w:fldCharType="separate"/>
      </w:r>
      <w:r>
        <w:t>10</w:t>
      </w:r>
      <w:r>
        <w:fldChar w:fldCharType="end"/>
      </w:r>
    </w:p>
    <w:p>
      <w:pPr>
        <w:pStyle w:val="15"/>
        <w:rPr>
          <w:rFonts w:asciiTheme="minorHAnsi" w:hAnsiTheme="minorHAnsi" w:cstheme="minorBidi"/>
          <w:kern w:val="2"/>
          <w:sz w:val="21"/>
          <w:szCs w:val="22"/>
          <w:lang w:val="en-US" w:eastAsia="zh-CN"/>
        </w:rPr>
      </w:pPr>
      <w:r>
        <w:t>6.</w:t>
      </w:r>
      <w:r>
        <w:rPr>
          <w:lang w:val="en-US" w:eastAsia="zh-CN"/>
        </w:rPr>
        <w:t>1.1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_Toc211859889 \h </w:instrText>
      </w:r>
      <w:r>
        <w:fldChar w:fldCharType="separate"/>
      </w:r>
      <w:r>
        <w:t>11</w:t>
      </w:r>
      <w:r>
        <w:fldChar w:fldCharType="end"/>
      </w:r>
    </w:p>
    <w:p>
      <w:pPr>
        <w:pStyle w:val="16"/>
        <w:rPr>
          <w:rFonts w:asciiTheme="minorHAnsi" w:hAnsiTheme="minorHAnsi" w:cstheme="minorBidi"/>
          <w:kern w:val="2"/>
          <w:sz w:val="21"/>
          <w:szCs w:val="22"/>
          <w:lang w:val="en-US" w:eastAsia="zh-CN"/>
        </w:rPr>
      </w:pPr>
      <w:r>
        <w:t>6.</w:t>
      </w:r>
      <w:r>
        <w:rPr>
          <w:lang w:val="en-US" w:eastAsia="zh-CN"/>
        </w:rPr>
        <w:t>1.2</w:t>
      </w:r>
      <w:r>
        <w:rPr>
          <w:rFonts w:asciiTheme="minorHAnsi" w:hAnsiTheme="minorHAnsi" w:cstheme="minorBidi"/>
          <w:kern w:val="2"/>
          <w:sz w:val="21"/>
          <w:szCs w:val="22"/>
          <w:lang w:val="en-US" w:eastAsia="zh-CN"/>
        </w:rPr>
        <w:tab/>
      </w:r>
      <w:r>
        <w:t>Solution #</w:t>
      </w:r>
      <w:r>
        <w:rPr>
          <w:lang w:val="en-US" w:eastAsia="zh-CN"/>
        </w:rPr>
        <w:t>1.2</w:t>
      </w:r>
      <w:r>
        <w:t>: Authorization for Sensing Service</w:t>
      </w:r>
      <w:r>
        <w:tab/>
      </w:r>
      <w:r>
        <w:fldChar w:fldCharType="begin"/>
      </w:r>
      <w:r>
        <w:instrText xml:space="preserve"> PAGEREF _Toc211859890 \h </w:instrText>
      </w:r>
      <w:r>
        <w:fldChar w:fldCharType="separate"/>
      </w:r>
      <w:r>
        <w:t>12</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_Toc211859891 \h </w:instrText>
      </w:r>
      <w:r>
        <w:fldChar w:fldCharType="separate"/>
      </w:r>
      <w:r>
        <w:t>12</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_Toc211859892 \h </w:instrText>
      </w:r>
      <w:r>
        <w:fldChar w:fldCharType="separate"/>
      </w:r>
      <w:r>
        <w:t>12</w:t>
      </w:r>
      <w:r>
        <w:fldChar w:fldCharType="end"/>
      </w:r>
    </w:p>
    <w:p>
      <w:pPr>
        <w:pStyle w:val="15"/>
        <w:rPr>
          <w:rFonts w:asciiTheme="minorHAnsi" w:hAnsiTheme="minorHAnsi" w:cstheme="minorBidi"/>
          <w:kern w:val="2"/>
          <w:sz w:val="21"/>
          <w:szCs w:val="22"/>
          <w:lang w:val="en-US" w:eastAsia="zh-CN"/>
        </w:rPr>
      </w:pPr>
      <w:r>
        <w:t>6.</w:t>
      </w:r>
      <w:r>
        <w:rPr>
          <w:lang w:val="en-US" w:eastAsia="zh-CN"/>
        </w:rPr>
        <w:t>1.2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_Toc211859893 \h </w:instrText>
      </w:r>
      <w:r>
        <w:fldChar w:fldCharType="separate"/>
      </w:r>
      <w:r>
        <w:t>12</w:t>
      </w:r>
      <w:r>
        <w:fldChar w:fldCharType="end"/>
      </w:r>
    </w:p>
    <w:p>
      <w:pPr>
        <w:pStyle w:val="16"/>
        <w:rPr>
          <w:rFonts w:asciiTheme="minorHAnsi" w:hAnsiTheme="minorHAnsi" w:cstheme="minorBidi"/>
          <w:kern w:val="2"/>
          <w:sz w:val="21"/>
          <w:szCs w:val="22"/>
          <w:lang w:val="en-US" w:eastAsia="zh-CN"/>
        </w:rPr>
      </w:pPr>
      <w:r>
        <w:t>6</w:t>
      </w:r>
      <w:r>
        <w:rPr>
          <w:lang w:eastAsia="zh-CN"/>
        </w:rPr>
        <w:t>.</w:t>
      </w:r>
      <w:r>
        <w:rPr>
          <w:lang w:val="en-US" w:eastAsia="zh-CN"/>
        </w:rPr>
        <w:t>1.3</w:t>
      </w:r>
      <w:r>
        <w:rPr>
          <w:rFonts w:asciiTheme="minorHAnsi" w:hAnsiTheme="minorHAnsi" w:cstheme="minorBidi"/>
          <w:kern w:val="2"/>
          <w:sz w:val="21"/>
          <w:szCs w:val="22"/>
          <w:lang w:val="en-US" w:eastAsia="zh-CN"/>
        </w:rPr>
        <w:tab/>
      </w:r>
      <w:r>
        <w:rPr>
          <w:lang w:eastAsia="zh-CN"/>
        </w:rPr>
        <w:t>Solution #</w:t>
      </w:r>
      <w:r>
        <w:rPr>
          <w:lang w:val="en-US" w:eastAsia="zh-CN"/>
        </w:rPr>
        <w:t>1.3</w:t>
      </w:r>
      <w:r>
        <w:rPr>
          <w:lang w:eastAsia="zh-CN"/>
        </w:rPr>
        <w:t>: Solution on authorization for sensing service request</w:t>
      </w:r>
      <w:r>
        <w:tab/>
      </w:r>
      <w:r>
        <w:fldChar w:fldCharType="begin"/>
      </w:r>
      <w:r>
        <w:instrText xml:space="preserve"> PAGEREF _Toc211859894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.1</w:t>
      </w:r>
      <w:r>
        <w:rPr>
          <w:rFonts w:asciiTheme="minorHAnsi" w:hAnsiTheme="minorHAnsi" w:cstheme="minorBidi"/>
          <w:kern w:val="2"/>
          <w:sz w:val="21"/>
          <w:szCs w:val="22"/>
          <w:lang w:val="en-US" w:eastAsia="zh-CN"/>
        </w:rPr>
        <w:tab/>
      </w:r>
      <w:r>
        <w:t xml:space="preserve"> Introduction</w:t>
      </w:r>
      <w:r>
        <w:tab/>
      </w:r>
      <w:r>
        <w:fldChar w:fldCharType="begin"/>
      </w:r>
      <w:r>
        <w:instrText xml:space="preserve"> PAGEREF _Toc211859895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.2</w:t>
      </w:r>
      <w:r>
        <w:rPr>
          <w:rFonts w:asciiTheme="minorHAnsi" w:hAnsiTheme="minorHAnsi" w:cstheme="minorBidi"/>
          <w:kern w:val="2"/>
          <w:sz w:val="21"/>
          <w:szCs w:val="22"/>
          <w:lang w:val="en-US" w:eastAsia="zh-CN"/>
        </w:rPr>
        <w:tab/>
      </w:r>
      <w:r>
        <w:t xml:space="preserve"> Solution details</w:t>
      </w:r>
      <w:r>
        <w:tab/>
      </w:r>
      <w:r>
        <w:fldChar w:fldCharType="begin"/>
      </w:r>
      <w:r>
        <w:instrText xml:space="preserve"> PAGEREF _Toc211859896 \h </w:instrText>
      </w:r>
      <w:r>
        <w:fldChar w:fldCharType="separate"/>
      </w:r>
      <w:r>
        <w:t>13</w:t>
      </w:r>
      <w:r>
        <w:fldChar w:fldCharType="end"/>
      </w:r>
    </w:p>
    <w:p>
      <w:pPr>
        <w:pStyle w:val="15"/>
        <w:rPr>
          <w:rFonts w:asciiTheme="minorHAnsi" w:hAnsiTheme="minorHAnsi" w:cstheme="minorBidi"/>
          <w:kern w:val="2"/>
          <w:sz w:val="21"/>
          <w:szCs w:val="22"/>
          <w:lang w:val="en-US" w:eastAsia="zh-CN"/>
        </w:rPr>
      </w:pPr>
      <w:r>
        <w:t>6.</w:t>
      </w:r>
      <w:r>
        <w:rPr>
          <w:lang w:val="en-US" w:eastAsia="zh-CN"/>
        </w:rPr>
        <w:t>1.3</w:t>
      </w:r>
      <w:r>
        <w:t>.3</w:t>
      </w:r>
      <w:r>
        <w:rPr>
          <w:rFonts w:asciiTheme="minorHAnsi" w:hAnsiTheme="minorHAnsi" w:cstheme="minorBidi"/>
          <w:kern w:val="2"/>
          <w:sz w:val="21"/>
          <w:szCs w:val="22"/>
          <w:lang w:val="en-US" w:eastAsia="zh-CN"/>
        </w:rPr>
        <w:tab/>
      </w:r>
      <w:r>
        <w:t xml:space="preserve"> Evaluation</w:t>
      </w:r>
      <w:r>
        <w:tab/>
      </w:r>
      <w:r>
        <w:fldChar w:fldCharType="begin"/>
      </w:r>
      <w:r>
        <w:instrText xml:space="preserve"> PAGEREF _Toc211859897 \h </w:instrText>
      </w:r>
      <w:r>
        <w:fldChar w:fldCharType="separate"/>
      </w:r>
      <w:r>
        <w:t>14</w:t>
      </w:r>
      <w:r>
        <w:fldChar w:fldCharType="end"/>
      </w:r>
    </w:p>
    <w:p>
      <w:pPr>
        <w:pStyle w:val="16"/>
        <w:rPr>
          <w:rFonts w:asciiTheme="minorHAnsi" w:hAnsiTheme="minorHAnsi" w:cstheme="minorBidi"/>
          <w:kern w:val="2"/>
          <w:sz w:val="21"/>
          <w:szCs w:val="22"/>
          <w:lang w:val="en-US" w:eastAsia="zh-CN"/>
        </w:rPr>
      </w:pPr>
      <w:r>
        <w:t>6.1.</w:t>
      </w:r>
      <w:r>
        <w:rPr>
          <w:lang w:val="en-US" w:eastAsia="zh-CN"/>
        </w:rPr>
        <w:t>4</w:t>
      </w:r>
      <w:r>
        <w:t xml:space="preserve"> </w:t>
      </w:r>
      <w:r>
        <w:rPr>
          <w:rFonts w:asciiTheme="minorHAnsi" w:hAnsiTheme="minorHAnsi" w:cstheme="minorBidi"/>
          <w:kern w:val="2"/>
          <w:sz w:val="21"/>
          <w:szCs w:val="22"/>
          <w:lang w:val="en-US" w:eastAsia="zh-CN"/>
        </w:rPr>
        <w:tab/>
      </w:r>
      <w:r>
        <w:t>Solution #1.</w:t>
      </w:r>
      <w:r>
        <w:rPr>
          <w:lang w:val="en-US" w:eastAsia="zh-CN"/>
        </w:rPr>
        <w:t>4</w:t>
      </w:r>
      <w:r>
        <w:t>: Security of the connection to the Sensing service consumer</w:t>
      </w:r>
      <w:r>
        <w:tab/>
      </w:r>
      <w:r>
        <w:fldChar w:fldCharType="begin"/>
      </w:r>
      <w:r>
        <w:instrText xml:space="preserve"> PAGEREF _Toc211859898 \h </w:instrText>
      </w:r>
      <w:r>
        <w:fldChar w:fldCharType="separate"/>
      </w:r>
      <w:r>
        <w:t>14</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_Toc211859899 \h </w:instrText>
      </w:r>
      <w:r>
        <w:fldChar w:fldCharType="separate"/>
      </w:r>
      <w:r>
        <w:t>14</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_Toc211859900 \h </w:instrText>
      </w:r>
      <w:r>
        <w:fldChar w:fldCharType="separate"/>
      </w:r>
      <w:r>
        <w:t>14</w:t>
      </w:r>
      <w:r>
        <w:fldChar w:fldCharType="end"/>
      </w:r>
    </w:p>
    <w:p>
      <w:pPr>
        <w:pStyle w:val="15"/>
        <w:rPr>
          <w:rFonts w:asciiTheme="minorHAnsi" w:hAnsiTheme="minorHAnsi" w:cstheme="minorBidi"/>
          <w:kern w:val="2"/>
          <w:sz w:val="21"/>
          <w:szCs w:val="22"/>
          <w:lang w:val="en-US" w:eastAsia="zh-CN"/>
        </w:rPr>
      </w:pPr>
      <w:r>
        <w:t>6.1.</w:t>
      </w:r>
      <w:r>
        <w:rPr>
          <w:lang w:val="en-US" w:eastAsia="zh-CN"/>
        </w:rPr>
        <w:t>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_Toc211859901 \h </w:instrText>
      </w:r>
      <w:r>
        <w:fldChar w:fldCharType="separate"/>
      </w:r>
      <w:r>
        <w:t>14</w:t>
      </w:r>
      <w:r>
        <w:fldChar w:fldCharType="end"/>
      </w:r>
    </w:p>
    <w:p>
      <w:pPr>
        <w:pStyle w:val="16"/>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 xml:space="preserve"> </w:t>
      </w:r>
      <w:r>
        <w:rPr>
          <w:rFonts w:asciiTheme="minorHAnsi" w:hAnsiTheme="minorHAnsi" w:cstheme="minorBidi"/>
          <w:kern w:val="2"/>
          <w:sz w:val="21"/>
          <w:szCs w:val="22"/>
          <w:lang w:val="en-US" w:eastAsia="zh-CN"/>
        </w:rPr>
        <w:tab/>
      </w:r>
      <w:r>
        <w:t>Solution #</w:t>
      </w:r>
      <w:r>
        <w:rPr>
          <w:lang w:val="en-US" w:eastAsia="zh-CN"/>
        </w:rPr>
        <w:t>1</w:t>
      </w:r>
      <w:r>
        <w:t>.</w:t>
      </w:r>
      <w:r>
        <w:rPr>
          <w:lang w:val="en-US" w:eastAsia="zh-CN"/>
        </w:rPr>
        <w:t>5</w:t>
      </w:r>
      <w:r>
        <w:t>: authorize sensing service request using OAuth-based authorization mechanism</w:t>
      </w:r>
      <w:r>
        <w:tab/>
      </w:r>
      <w:r>
        <w:fldChar w:fldCharType="begin"/>
      </w:r>
      <w:r>
        <w:instrText xml:space="preserve"> PAGEREF _Toc211859902 \h </w:instrText>
      </w:r>
      <w:r>
        <w:fldChar w:fldCharType="separate"/>
      </w:r>
      <w:r>
        <w:t>14</w:t>
      </w:r>
      <w:r>
        <w:fldChar w:fldCharType="end"/>
      </w:r>
    </w:p>
    <w:p>
      <w:pPr>
        <w:pStyle w:val="15"/>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_Toc211859903 \h </w:instrText>
      </w:r>
      <w:r>
        <w:fldChar w:fldCharType="separate"/>
      </w:r>
      <w:r>
        <w:t>14</w:t>
      </w:r>
      <w:r>
        <w:fldChar w:fldCharType="end"/>
      </w:r>
    </w:p>
    <w:p>
      <w:pPr>
        <w:pStyle w:val="15"/>
        <w:rPr>
          <w:rFonts w:asciiTheme="minorHAnsi" w:hAnsiTheme="minorHAnsi" w:cstheme="minorBidi"/>
          <w:kern w:val="2"/>
          <w:sz w:val="21"/>
          <w:szCs w:val="22"/>
          <w:lang w:val="en-US" w:eastAsia="zh-CN"/>
        </w:rPr>
      </w:pPr>
      <w:r>
        <w:t>6.</w:t>
      </w:r>
      <w:r>
        <w:rPr>
          <w:lang w:val="en-US" w:eastAsia="zh-CN"/>
        </w:rPr>
        <w:t>1</w:t>
      </w:r>
      <w:r>
        <w:t>.</w:t>
      </w:r>
      <w:r>
        <w:rPr>
          <w:lang w:val="en-US" w:eastAsia="zh-CN"/>
        </w:rPr>
        <w:t>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_Toc211859904 \h </w:instrText>
      </w:r>
      <w:r>
        <w:fldChar w:fldCharType="separate"/>
      </w:r>
      <w:r>
        <w:t>15</w:t>
      </w:r>
      <w:r>
        <w:fldChar w:fldCharType="end"/>
      </w:r>
    </w:p>
    <w:p>
      <w:pPr>
        <w:pStyle w:val="16"/>
        <w:rPr>
          <w:rFonts w:asciiTheme="minorHAnsi" w:hAnsiTheme="minorHAnsi" w:cstheme="minorBidi"/>
          <w:kern w:val="2"/>
          <w:sz w:val="21"/>
          <w:szCs w:val="22"/>
          <w:lang w:val="en-US" w:eastAsia="zh-CN"/>
        </w:rPr>
      </w:pPr>
      <w:r>
        <w:t>6.</w:t>
      </w:r>
      <w:r>
        <w:rPr>
          <w:lang w:val="en-US" w:eastAsia="zh-CN"/>
        </w:rPr>
        <w:t>1</w:t>
      </w:r>
      <w:r>
        <w:t>.</w:t>
      </w:r>
      <w:r>
        <w:rPr>
          <w:lang w:val="en-US" w:eastAsia="zh-CN"/>
        </w:rPr>
        <w:t>6</w:t>
      </w:r>
      <w:r>
        <w:t xml:space="preserve"> </w:t>
      </w:r>
      <w:r>
        <w:rPr>
          <w:rFonts w:asciiTheme="minorHAnsi" w:hAnsiTheme="minorHAnsi" w:cstheme="minorBidi"/>
          <w:kern w:val="2"/>
          <w:sz w:val="21"/>
          <w:szCs w:val="22"/>
          <w:lang w:val="en-US" w:eastAsia="zh-CN"/>
        </w:rPr>
        <w:tab/>
      </w:r>
      <w:r>
        <w:t>Solution #</w:t>
      </w:r>
      <w:r>
        <w:rPr>
          <w:lang w:val="en-US" w:eastAsia="zh-CN"/>
        </w:rPr>
        <w:t>1.6</w:t>
      </w:r>
      <w:r>
        <w:t>: Sensing Service Authorization at the Sensing Function</w:t>
      </w:r>
      <w:r>
        <w:tab/>
      </w:r>
      <w:r>
        <w:fldChar w:fldCharType="begin"/>
      </w:r>
      <w:r>
        <w:instrText xml:space="preserve"> PAGEREF _Toc211859905 \h </w:instrText>
      </w:r>
      <w:r>
        <w:fldChar w:fldCharType="separate"/>
      </w:r>
      <w:r>
        <w:t>15</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_Toc211859906 \h </w:instrText>
      </w:r>
      <w:r>
        <w:fldChar w:fldCharType="separate"/>
      </w:r>
      <w:r>
        <w:t>15</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_Toc211859907 \h </w:instrText>
      </w:r>
      <w:r>
        <w:fldChar w:fldCharType="separate"/>
      </w:r>
      <w:r>
        <w:t>15</w:t>
      </w:r>
      <w:r>
        <w:fldChar w:fldCharType="end"/>
      </w:r>
    </w:p>
    <w:p>
      <w:pPr>
        <w:pStyle w:val="15"/>
        <w:rPr>
          <w:rFonts w:asciiTheme="minorHAnsi" w:hAnsiTheme="minorHAnsi" w:cstheme="minorBidi"/>
          <w:kern w:val="2"/>
          <w:sz w:val="21"/>
          <w:szCs w:val="22"/>
          <w:lang w:val="en-US" w:eastAsia="zh-CN"/>
        </w:rPr>
      </w:pPr>
      <w:r>
        <w:t>6.</w:t>
      </w:r>
      <w:r>
        <w:rPr>
          <w:lang w:val="en-US" w:eastAsia="zh-CN"/>
        </w:rPr>
        <w:t>1.6</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_Toc211859908 \h </w:instrText>
      </w:r>
      <w:r>
        <w:fldChar w:fldCharType="separate"/>
      </w:r>
      <w:r>
        <w:t>16</w:t>
      </w:r>
      <w:r>
        <w:fldChar w:fldCharType="end"/>
      </w:r>
    </w:p>
    <w:p>
      <w:pPr>
        <w:pStyle w:val="16"/>
        <w:rPr>
          <w:rFonts w:asciiTheme="minorHAnsi" w:hAnsiTheme="minorHAnsi" w:cstheme="minorBidi"/>
          <w:kern w:val="2"/>
          <w:sz w:val="21"/>
          <w:szCs w:val="22"/>
          <w:lang w:val="en-US" w:eastAsia="zh-CN"/>
        </w:rPr>
      </w:pPr>
      <w:r>
        <w:rPr>
          <w:rFonts w:eastAsia="Arial" w:cs="Arial"/>
        </w:rPr>
        <w:t>6.</w:t>
      </w:r>
      <w:r>
        <w:rPr>
          <w:rFonts w:eastAsia="宋体" w:cs="Arial"/>
          <w:lang w:val="en-US" w:eastAsia="zh-CN"/>
        </w:rPr>
        <w:t>1.7</w:t>
      </w:r>
      <w:r>
        <w:rPr>
          <w:rFonts w:eastAsia="Arial" w:cs="Arial"/>
        </w:rPr>
        <w:t xml:space="preserve"> </w:t>
      </w:r>
      <w:r>
        <w:rPr>
          <w:rFonts w:asciiTheme="minorHAnsi" w:hAnsiTheme="minorHAnsi" w:cstheme="minorBidi"/>
          <w:kern w:val="2"/>
          <w:sz w:val="21"/>
          <w:szCs w:val="22"/>
          <w:lang w:val="en-US" w:eastAsia="zh-CN"/>
        </w:rPr>
        <w:tab/>
      </w:r>
      <w:r>
        <w:rPr>
          <w:rFonts w:eastAsia="Arial" w:cs="Arial"/>
        </w:rPr>
        <w:t>Solution #</w:t>
      </w:r>
      <w:r>
        <w:rPr>
          <w:rFonts w:eastAsia="宋体" w:cs="Arial"/>
          <w:lang w:val="en-US" w:eastAsia="zh-CN"/>
        </w:rPr>
        <w:t>1.7</w:t>
      </w:r>
      <w:r>
        <w:rPr>
          <w:rFonts w:eastAsia="Arial" w:cs="Arial"/>
        </w:rPr>
        <w:t xml:space="preserve">: </w:t>
      </w:r>
      <w:r>
        <w:t>Reusing existing mechanism for security of authorization of sensing service</w:t>
      </w:r>
      <w:r>
        <w:tab/>
      </w:r>
      <w:r>
        <w:fldChar w:fldCharType="begin"/>
      </w:r>
      <w:r>
        <w:instrText xml:space="preserve"> PAGEREF _Toc211859909 \h </w:instrText>
      </w:r>
      <w:r>
        <w:fldChar w:fldCharType="separate"/>
      </w:r>
      <w:r>
        <w:t>16</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宋体" w:cs="Arial"/>
          <w:lang w:val="en-US" w:eastAsia="zh-CN"/>
        </w:rPr>
        <w:t>1.7</w:t>
      </w:r>
      <w:r>
        <w:rPr>
          <w:rFonts w:eastAsia="Arial" w:cs="Arial"/>
        </w:rPr>
        <w:t>.1</w:t>
      </w:r>
      <w:r>
        <w:rPr>
          <w:rFonts w:asciiTheme="minorHAnsi" w:hAnsiTheme="minorHAnsi" w:cstheme="minorBidi"/>
          <w:kern w:val="2"/>
          <w:sz w:val="21"/>
          <w:szCs w:val="22"/>
          <w:lang w:val="en-US" w:eastAsia="zh-CN"/>
        </w:rPr>
        <w:tab/>
      </w:r>
      <w:r>
        <w:rPr>
          <w:rFonts w:eastAsia="Arial" w:cs="Arial"/>
        </w:rPr>
        <w:t>Introduction</w:t>
      </w:r>
      <w:r>
        <w:tab/>
      </w:r>
      <w:r>
        <w:fldChar w:fldCharType="begin"/>
      </w:r>
      <w:r>
        <w:instrText xml:space="preserve"> PAGEREF _Toc211859910 \h </w:instrText>
      </w:r>
      <w:r>
        <w:fldChar w:fldCharType="separate"/>
      </w:r>
      <w:r>
        <w:t>16</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宋体" w:cs="Arial"/>
          <w:lang w:val="en-US" w:eastAsia="zh-CN"/>
        </w:rPr>
        <w:t>1.7</w:t>
      </w:r>
      <w:r>
        <w:rPr>
          <w:rFonts w:eastAsia="Arial" w:cs="Arial"/>
        </w:rPr>
        <w:t>.2</w:t>
      </w:r>
      <w:r>
        <w:rPr>
          <w:rFonts w:asciiTheme="minorHAnsi" w:hAnsiTheme="minorHAnsi" w:cstheme="minorBidi"/>
          <w:kern w:val="2"/>
          <w:sz w:val="21"/>
          <w:szCs w:val="22"/>
          <w:lang w:val="en-US" w:eastAsia="zh-CN"/>
        </w:rPr>
        <w:tab/>
      </w:r>
      <w:r>
        <w:rPr>
          <w:rFonts w:eastAsia="Arial" w:cs="Arial"/>
        </w:rPr>
        <w:t>Solution details</w:t>
      </w:r>
      <w:r>
        <w:tab/>
      </w:r>
      <w:r>
        <w:fldChar w:fldCharType="begin"/>
      </w:r>
      <w:r>
        <w:instrText xml:space="preserve"> PAGEREF _Toc211859911 \h </w:instrText>
      </w:r>
      <w:r>
        <w:fldChar w:fldCharType="separate"/>
      </w:r>
      <w:r>
        <w:t>16</w:t>
      </w:r>
      <w:r>
        <w:fldChar w:fldCharType="end"/>
      </w:r>
    </w:p>
    <w:p>
      <w:pPr>
        <w:pStyle w:val="15"/>
        <w:rPr>
          <w:rFonts w:asciiTheme="minorHAnsi" w:hAnsiTheme="minorHAnsi" w:cstheme="minorBidi"/>
          <w:kern w:val="2"/>
          <w:sz w:val="21"/>
          <w:szCs w:val="22"/>
          <w:lang w:val="en-US" w:eastAsia="zh-CN"/>
        </w:rPr>
      </w:pPr>
      <w:r>
        <w:rPr>
          <w:rFonts w:eastAsia="Arial" w:cs="Arial"/>
        </w:rPr>
        <w:t>6.</w:t>
      </w:r>
      <w:r>
        <w:rPr>
          <w:rFonts w:eastAsia="宋体" w:cs="Arial"/>
          <w:lang w:val="en-US" w:eastAsia="zh-CN"/>
        </w:rPr>
        <w:t>1.7</w:t>
      </w:r>
      <w:r>
        <w:rPr>
          <w:rFonts w:eastAsia="Arial" w:cs="Arial"/>
        </w:rPr>
        <w:t>.3</w:t>
      </w:r>
      <w:r>
        <w:rPr>
          <w:rFonts w:asciiTheme="minorHAnsi" w:hAnsiTheme="minorHAnsi" w:cstheme="minorBidi"/>
          <w:kern w:val="2"/>
          <w:sz w:val="21"/>
          <w:szCs w:val="22"/>
          <w:lang w:val="en-US" w:eastAsia="zh-CN"/>
        </w:rPr>
        <w:tab/>
      </w:r>
      <w:r>
        <w:rPr>
          <w:rFonts w:eastAsia="Arial" w:cs="Arial"/>
        </w:rPr>
        <w:t>Evaluation</w:t>
      </w:r>
      <w:r>
        <w:tab/>
      </w:r>
      <w:r>
        <w:fldChar w:fldCharType="begin"/>
      </w:r>
      <w:r>
        <w:instrText xml:space="preserve"> PAGEREF _Toc211859912 \h </w:instrText>
      </w:r>
      <w:r>
        <w:fldChar w:fldCharType="separate"/>
      </w:r>
      <w:r>
        <w:t>16</w:t>
      </w:r>
      <w:r>
        <w:fldChar w:fldCharType="end"/>
      </w:r>
    </w:p>
    <w:p>
      <w:pPr>
        <w:pStyle w:val="17"/>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Solutions to KI#2</w:t>
      </w:r>
      <w:r>
        <w:tab/>
      </w:r>
      <w:r>
        <w:fldChar w:fldCharType="begin"/>
      </w:r>
      <w:r>
        <w:instrText xml:space="preserve"> PAGEREF _Toc211859913 \h </w:instrText>
      </w:r>
      <w:r>
        <w:fldChar w:fldCharType="separate"/>
      </w:r>
      <w:r>
        <w:t>17</w:t>
      </w:r>
      <w:r>
        <w:fldChar w:fldCharType="end"/>
      </w:r>
    </w:p>
    <w:p>
      <w:pPr>
        <w:pStyle w:val="16"/>
        <w:rPr>
          <w:rFonts w:asciiTheme="minorHAnsi" w:hAnsiTheme="minorHAnsi" w:cstheme="minorBidi"/>
          <w:kern w:val="2"/>
          <w:sz w:val="21"/>
          <w:szCs w:val="22"/>
          <w:lang w:val="en-US" w:eastAsia="zh-CN"/>
        </w:rPr>
      </w:pPr>
      <w:r>
        <w:t>6.</w:t>
      </w:r>
      <w:r>
        <w:rPr>
          <w:lang w:val="en-US" w:eastAsia="zh-CN"/>
        </w:rPr>
        <w:t>2.1</w:t>
      </w:r>
      <w:r>
        <w:rPr>
          <w:rFonts w:asciiTheme="minorHAnsi" w:hAnsiTheme="minorHAnsi" w:cstheme="minorBidi"/>
          <w:kern w:val="2"/>
          <w:sz w:val="21"/>
          <w:szCs w:val="22"/>
          <w:lang w:val="en-US" w:eastAsia="zh-CN"/>
        </w:rPr>
        <w:tab/>
      </w:r>
      <w:r>
        <w:t>Solution #</w:t>
      </w:r>
      <w:r>
        <w:rPr>
          <w:lang w:val="en-US" w:eastAsia="zh-CN"/>
        </w:rPr>
        <w:t>2.1</w:t>
      </w:r>
      <w:r>
        <w:t xml:space="preserve">: </w:t>
      </w:r>
      <w:r>
        <w:rPr>
          <w:lang w:val="en-US" w:eastAsia="zh-CN"/>
        </w:rPr>
        <w:t>Security for sensing service operation</w:t>
      </w:r>
      <w:r>
        <w:tab/>
      </w:r>
      <w:r>
        <w:fldChar w:fldCharType="begin"/>
      </w:r>
      <w:r>
        <w:instrText xml:space="preserve"> PAGEREF _Toc211859914 \h </w:instrText>
      </w:r>
      <w:r>
        <w:fldChar w:fldCharType="separate"/>
      </w:r>
      <w:r>
        <w:t>17</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_Toc211859915 \h </w:instrText>
      </w:r>
      <w:r>
        <w:fldChar w:fldCharType="separate"/>
      </w:r>
      <w:r>
        <w:t>17</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_Toc211859916 \h </w:instrText>
      </w:r>
      <w:r>
        <w:fldChar w:fldCharType="separate"/>
      </w:r>
      <w:r>
        <w:t>17</w:t>
      </w:r>
      <w:r>
        <w:fldChar w:fldCharType="end"/>
      </w:r>
    </w:p>
    <w:p>
      <w:pPr>
        <w:pStyle w:val="15"/>
        <w:rPr>
          <w:rFonts w:asciiTheme="minorHAnsi" w:hAnsiTheme="minorHAnsi" w:cstheme="minorBidi"/>
          <w:kern w:val="2"/>
          <w:sz w:val="21"/>
          <w:szCs w:val="22"/>
          <w:lang w:val="en-US" w:eastAsia="zh-CN"/>
        </w:rPr>
      </w:pPr>
      <w:r>
        <w:t>6.</w:t>
      </w:r>
      <w:r>
        <w:rPr>
          <w:lang w:val="en-US" w:eastAsia="zh-CN"/>
        </w:rPr>
        <w:t>2.1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_Toc211859917 \h </w:instrText>
      </w:r>
      <w:r>
        <w:fldChar w:fldCharType="separate"/>
      </w:r>
      <w:r>
        <w:t>17</w:t>
      </w:r>
      <w:r>
        <w:fldChar w:fldCharType="end"/>
      </w:r>
    </w:p>
    <w:p>
      <w:pPr>
        <w:pStyle w:val="16"/>
        <w:rPr>
          <w:rFonts w:asciiTheme="minorHAnsi" w:hAnsiTheme="minorHAnsi" w:cstheme="minorBidi"/>
          <w:kern w:val="2"/>
          <w:sz w:val="21"/>
          <w:szCs w:val="22"/>
          <w:lang w:val="en-US" w:eastAsia="zh-CN"/>
        </w:rPr>
      </w:pPr>
      <w:r>
        <w:t>6.2.</w:t>
      </w:r>
      <w:r>
        <w:rPr>
          <w:lang w:val="en-US" w:eastAsia="zh-CN"/>
        </w:rPr>
        <w:t>2</w:t>
      </w:r>
      <w:r>
        <w:t xml:space="preserve"> </w:t>
      </w:r>
      <w:r>
        <w:rPr>
          <w:rFonts w:asciiTheme="minorHAnsi" w:hAnsiTheme="minorHAnsi" w:cstheme="minorBidi"/>
          <w:kern w:val="2"/>
          <w:sz w:val="21"/>
          <w:szCs w:val="22"/>
          <w:lang w:val="en-US" w:eastAsia="zh-CN"/>
        </w:rPr>
        <w:tab/>
      </w:r>
      <w:r>
        <w:t>Solution #2.</w:t>
      </w:r>
      <w:r>
        <w:rPr>
          <w:lang w:val="en-US" w:eastAsia="zh-CN"/>
        </w:rPr>
        <w:t>2</w:t>
      </w:r>
      <w:r>
        <w:t>: Security of the connection between Sensing Entity and SF</w:t>
      </w:r>
      <w:r>
        <w:tab/>
      </w:r>
      <w:r>
        <w:fldChar w:fldCharType="begin"/>
      </w:r>
      <w:r>
        <w:instrText xml:space="preserve"> PAGEREF _Toc211859918 \h </w:instrText>
      </w:r>
      <w:r>
        <w:fldChar w:fldCharType="separate"/>
      </w:r>
      <w:r>
        <w:t>17</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_Toc211859919 \h </w:instrText>
      </w:r>
      <w:r>
        <w:fldChar w:fldCharType="separate"/>
      </w:r>
      <w:r>
        <w:t>17</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_Toc211859920 \h </w:instrText>
      </w:r>
      <w:r>
        <w:fldChar w:fldCharType="separate"/>
      </w:r>
      <w:r>
        <w:t>17</w:t>
      </w:r>
      <w:r>
        <w:fldChar w:fldCharType="end"/>
      </w:r>
    </w:p>
    <w:p>
      <w:pPr>
        <w:pStyle w:val="15"/>
        <w:rPr>
          <w:rFonts w:asciiTheme="minorHAnsi" w:hAnsiTheme="minorHAnsi" w:cstheme="minorBidi"/>
          <w:kern w:val="2"/>
          <w:sz w:val="21"/>
          <w:szCs w:val="22"/>
          <w:lang w:val="en-US" w:eastAsia="zh-CN"/>
        </w:rPr>
      </w:pPr>
      <w:r>
        <w:t>6.2.</w:t>
      </w:r>
      <w:r>
        <w:rPr>
          <w:lang w:val="en-US" w:eastAsia="zh-CN"/>
        </w:rPr>
        <w:t>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_Toc211859921 \h </w:instrText>
      </w:r>
      <w:r>
        <w:fldChar w:fldCharType="separate"/>
      </w:r>
      <w:r>
        <w:t>17</w:t>
      </w:r>
      <w:r>
        <w:fldChar w:fldCharType="end"/>
      </w:r>
    </w:p>
    <w:p>
      <w:pPr>
        <w:pStyle w:val="16"/>
        <w:rPr>
          <w:rFonts w:asciiTheme="minorHAnsi" w:hAnsiTheme="minorHAnsi" w:cstheme="minorBidi"/>
          <w:kern w:val="2"/>
          <w:sz w:val="21"/>
          <w:szCs w:val="22"/>
          <w:lang w:val="en-US" w:eastAsia="zh-CN"/>
        </w:rPr>
      </w:pPr>
      <w:r>
        <w:t>6.</w:t>
      </w:r>
      <w:r>
        <w:rPr>
          <w:lang w:val="en-US" w:eastAsia="zh-CN"/>
        </w:rPr>
        <w:t>2.3</w:t>
      </w:r>
      <w:r>
        <w:t xml:space="preserve"> </w:t>
      </w:r>
      <w:r>
        <w:rPr>
          <w:rFonts w:asciiTheme="minorHAnsi" w:hAnsiTheme="minorHAnsi" w:cstheme="minorBidi"/>
          <w:kern w:val="2"/>
          <w:sz w:val="21"/>
          <w:szCs w:val="22"/>
          <w:lang w:val="en-US" w:eastAsia="zh-CN"/>
        </w:rPr>
        <w:tab/>
      </w:r>
      <w:r>
        <w:t>Solution #2.</w:t>
      </w:r>
      <w:r>
        <w:rPr>
          <w:lang w:val="en-US" w:eastAsia="zh-CN"/>
        </w:rPr>
        <w:t>3</w:t>
      </w:r>
      <w:r>
        <w:t xml:space="preserve">: </w:t>
      </w:r>
      <w:r>
        <w:rPr>
          <w:rFonts w:cs="Arial"/>
        </w:rPr>
        <w:t>S</w:t>
      </w:r>
      <w:r>
        <w:rPr>
          <w:rFonts w:cs="Arial"/>
          <w:lang w:val="en-US"/>
        </w:rPr>
        <w:t>ecurity protection for sensing service operations between sensing entity and SF</w:t>
      </w:r>
      <w:r>
        <w:tab/>
      </w:r>
      <w:r>
        <w:fldChar w:fldCharType="begin"/>
      </w:r>
      <w:r>
        <w:instrText xml:space="preserve"> PAGEREF _Toc211859922 \h </w:instrText>
      </w:r>
      <w:r>
        <w:fldChar w:fldCharType="separate"/>
      </w:r>
      <w:r>
        <w:t>18</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_Toc211859923 \h </w:instrText>
      </w:r>
      <w:r>
        <w:fldChar w:fldCharType="separate"/>
      </w:r>
      <w:r>
        <w:t>18</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_Toc211859924 \h </w:instrText>
      </w:r>
      <w:r>
        <w:fldChar w:fldCharType="separate"/>
      </w:r>
      <w:r>
        <w:t>18</w:t>
      </w:r>
      <w:r>
        <w:fldChar w:fldCharType="end"/>
      </w:r>
    </w:p>
    <w:p>
      <w:pPr>
        <w:pStyle w:val="15"/>
        <w:rPr>
          <w:rFonts w:asciiTheme="minorHAnsi" w:hAnsiTheme="minorHAnsi" w:cstheme="minorBidi"/>
          <w:kern w:val="2"/>
          <w:sz w:val="21"/>
          <w:szCs w:val="22"/>
          <w:lang w:val="en-US" w:eastAsia="zh-CN"/>
        </w:rPr>
      </w:pPr>
      <w:r>
        <w:t>6.</w:t>
      </w:r>
      <w:r>
        <w:rPr>
          <w:lang w:val="en-US" w:eastAsia="zh-CN"/>
        </w:rPr>
        <w:t>2.3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_Toc211859925 \h </w:instrText>
      </w:r>
      <w:r>
        <w:fldChar w:fldCharType="separate"/>
      </w:r>
      <w:r>
        <w:t>18</w:t>
      </w:r>
      <w:r>
        <w:fldChar w:fldCharType="end"/>
      </w:r>
    </w:p>
    <w:p>
      <w:pPr>
        <w:pStyle w:val="17"/>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Solutions to KI#X</w:t>
      </w:r>
      <w:r>
        <w:tab/>
      </w:r>
      <w:r>
        <w:fldChar w:fldCharType="begin"/>
      </w:r>
      <w:r>
        <w:instrText xml:space="preserve"> PAGEREF _Toc211859926 \h </w:instrText>
      </w:r>
      <w:r>
        <w:fldChar w:fldCharType="separate"/>
      </w:r>
      <w:r>
        <w:t>18</w:t>
      </w:r>
      <w:r>
        <w:fldChar w:fldCharType="end"/>
      </w:r>
    </w:p>
    <w:p>
      <w:pPr>
        <w:pStyle w:val="16"/>
        <w:rPr>
          <w:rFonts w:asciiTheme="minorHAnsi" w:hAnsiTheme="minorHAnsi" w:cstheme="minorBidi"/>
          <w:kern w:val="2"/>
          <w:sz w:val="21"/>
          <w:szCs w:val="22"/>
          <w:lang w:val="en-US" w:eastAsia="zh-CN"/>
        </w:rPr>
      </w:pPr>
      <w:r>
        <w:t xml:space="preserve">6.X.Y </w:t>
      </w:r>
      <w:r>
        <w:rPr>
          <w:rFonts w:asciiTheme="minorHAnsi" w:hAnsiTheme="minorHAnsi" w:cstheme="minorBidi"/>
          <w:kern w:val="2"/>
          <w:sz w:val="21"/>
          <w:szCs w:val="22"/>
          <w:lang w:val="en-US" w:eastAsia="zh-CN"/>
        </w:rPr>
        <w:tab/>
      </w:r>
      <w:r>
        <w:t>Solution #X.Y: &lt;Solution Title&gt;</w:t>
      </w:r>
      <w:r>
        <w:tab/>
      </w:r>
      <w:r>
        <w:fldChar w:fldCharType="begin"/>
      </w:r>
      <w:r>
        <w:instrText xml:space="preserve"> PAGEREF _Toc211859927 \h </w:instrText>
      </w:r>
      <w:r>
        <w:fldChar w:fldCharType="separate"/>
      </w:r>
      <w:r>
        <w:t>18</w:t>
      </w:r>
      <w:r>
        <w:fldChar w:fldCharType="end"/>
      </w:r>
    </w:p>
    <w:p>
      <w:pPr>
        <w:pStyle w:val="15"/>
        <w:rPr>
          <w:rFonts w:asciiTheme="minorHAnsi" w:hAnsiTheme="minorHAnsi" w:cstheme="minorBidi"/>
          <w:kern w:val="2"/>
          <w:sz w:val="21"/>
          <w:szCs w:val="22"/>
          <w:lang w:val="en-US" w:eastAsia="zh-CN"/>
        </w:rPr>
      </w:pPr>
      <w:r>
        <w:t>6.X.Y.1</w:t>
      </w:r>
      <w:r>
        <w:rPr>
          <w:rFonts w:asciiTheme="minorHAnsi" w:hAnsiTheme="minorHAnsi" w:cstheme="minorBidi"/>
          <w:kern w:val="2"/>
          <w:sz w:val="21"/>
          <w:szCs w:val="22"/>
          <w:lang w:val="en-US" w:eastAsia="zh-CN"/>
        </w:rPr>
        <w:tab/>
      </w:r>
      <w:r>
        <w:t>Introduction</w:t>
      </w:r>
      <w:r>
        <w:tab/>
      </w:r>
      <w:r>
        <w:fldChar w:fldCharType="begin"/>
      </w:r>
      <w:r>
        <w:instrText xml:space="preserve"> PAGEREF _Toc211859928 \h </w:instrText>
      </w:r>
      <w:r>
        <w:fldChar w:fldCharType="separate"/>
      </w:r>
      <w:r>
        <w:t>18</w:t>
      </w:r>
      <w:r>
        <w:fldChar w:fldCharType="end"/>
      </w:r>
    </w:p>
    <w:p>
      <w:pPr>
        <w:pStyle w:val="15"/>
        <w:rPr>
          <w:rFonts w:asciiTheme="minorHAnsi" w:hAnsiTheme="minorHAnsi" w:cstheme="minorBidi"/>
          <w:kern w:val="2"/>
          <w:sz w:val="21"/>
          <w:szCs w:val="22"/>
          <w:lang w:val="en-US" w:eastAsia="zh-CN"/>
        </w:rPr>
      </w:pPr>
      <w:r>
        <w:t>6.X.Y.2</w:t>
      </w:r>
      <w:r>
        <w:rPr>
          <w:rFonts w:asciiTheme="minorHAnsi" w:hAnsiTheme="minorHAnsi" w:cstheme="minorBidi"/>
          <w:kern w:val="2"/>
          <w:sz w:val="21"/>
          <w:szCs w:val="22"/>
          <w:lang w:val="en-US" w:eastAsia="zh-CN"/>
        </w:rPr>
        <w:tab/>
      </w:r>
      <w:r>
        <w:t>Solution details</w:t>
      </w:r>
      <w:r>
        <w:tab/>
      </w:r>
      <w:r>
        <w:fldChar w:fldCharType="begin"/>
      </w:r>
      <w:r>
        <w:instrText xml:space="preserve"> PAGEREF _Toc211859929 \h </w:instrText>
      </w:r>
      <w:r>
        <w:fldChar w:fldCharType="separate"/>
      </w:r>
      <w:r>
        <w:t>18</w:t>
      </w:r>
      <w:r>
        <w:fldChar w:fldCharType="end"/>
      </w:r>
    </w:p>
    <w:p>
      <w:pPr>
        <w:pStyle w:val="15"/>
        <w:rPr>
          <w:rFonts w:asciiTheme="minorHAnsi" w:hAnsiTheme="minorHAnsi" w:cstheme="minorBidi"/>
          <w:kern w:val="2"/>
          <w:sz w:val="21"/>
          <w:szCs w:val="22"/>
          <w:lang w:val="en-US" w:eastAsia="zh-CN"/>
        </w:rPr>
      </w:pPr>
      <w:r>
        <w:t>6.X.Y.3</w:t>
      </w:r>
      <w:r>
        <w:rPr>
          <w:rFonts w:asciiTheme="minorHAnsi" w:hAnsiTheme="minorHAnsi" w:cstheme="minorBidi"/>
          <w:kern w:val="2"/>
          <w:sz w:val="21"/>
          <w:szCs w:val="22"/>
          <w:lang w:val="en-US" w:eastAsia="zh-CN"/>
        </w:rPr>
        <w:tab/>
      </w:r>
      <w:r>
        <w:t>Evaluation</w:t>
      </w:r>
      <w:r>
        <w:tab/>
      </w:r>
      <w:r>
        <w:fldChar w:fldCharType="begin"/>
      </w:r>
      <w:r>
        <w:instrText xml:space="preserve"> PAGEREF _Toc211859930 \h </w:instrText>
      </w:r>
      <w:r>
        <w:fldChar w:fldCharType="separate"/>
      </w:r>
      <w:r>
        <w:t>18</w:t>
      </w:r>
      <w:r>
        <w:fldChar w:fldCharType="end"/>
      </w:r>
    </w:p>
    <w:p>
      <w:pPr>
        <w:pStyle w:val="18"/>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_Toc211859931 \h </w:instrText>
      </w:r>
      <w:r>
        <w:fldChar w:fldCharType="separate"/>
      </w:r>
      <w:r>
        <w:t>18</w:t>
      </w:r>
      <w:r>
        <w:fldChar w:fldCharType="end"/>
      </w:r>
    </w:p>
    <w:p>
      <w:pPr>
        <w:pStyle w:val="26"/>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_Toc211859932 \h </w:instrText>
      </w:r>
      <w:r>
        <w:fldChar w:fldCharType="separate"/>
      </w:r>
      <w:r>
        <w:t>19</w:t>
      </w:r>
      <w:r>
        <w:fldChar w:fldCharType="end"/>
      </w:r>
    </w:p>
    <w:p>
      <w:r>
        <w:rPr>
          <w:sz w:val="22"/>
        </w:rPr>
        <w:fldChar w:fldCharType="end"/>
      </w:r>
    </w:p>
    <w:p>
      <w:pPr>
        <w:pStyle w:val="2"/>
      </w:pPr>
      <w:r>
        <w:br w:type="page"/>
      </w:r>
      <w:bookmarkStart w:id="13" w:name="foreword"/>
      <w:bookmarkEnd w:id="13"/>
      <w:bookmarkStart w:id="14" w:name="_Toc211859866"/>
      <w:bookmarkStart w:id="15" w:name="_Toc107843107"/>
      <w:r>
        <w:t>Foreword</w:t>
      </w:r>
      <w:bookmarkEnd w:id="14"/>
      <w:bookmarkEnd w:id="15"/>
    </w:p>
    <w:p>
      <w:r>
        <w:t xml:space="preserve">This Technical </w:t>
      </w:r>
      <w:bookmarkStart w:id="16" w:name="spectype3"/>
      <w: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ind w:left="400" w:hanging="400"/>
      </w:pPr>
      <w:r>
        <w:t>Version x.y.z</w:t>
      </w:r>
    </w:p>
    <w:p>
      <w:pPr>
        <w:pStyle w:val="49"/>
        <w:ind w:left="400" w:hanging="400"/>
      </w:pPr>
      <w:r>
        <w:t>where:</w:t>
      </w:r>
    </w:p>
    <w:p>
      <w:pPr>
        <w:pStyle w:val="60"/>
      </w:pPr>
      <w:r>
        <w:t>x</w:t>
      </w:r>
      <w:r>
        <w:tab/>
      </w:r>
      <w:r>
        <w:t>the first digit:</w:t>
      </w:r>
    </w:p>
    <w:p>
      <w:pPr>
        <w:pStyle w:val="61"/>
      </w:pPr>
      <w:r>
        <w:t>1</w:t>
      </w:r>
      <w:r>
        <w:tab/>
      </w:r>
      <w:r>
        <w:t>presented to TSG for information;</w:t>
      </w:r>
    </w:p>
    <w:p>
      <w:pPr>
        <w:pStyle w:val="61"/>
      </w:pPr>
      <w:r>
        <w:t>2</w:t>
      </w:r>
      <w:r>
        <w:tab/>
      </w:r>
      <w:r>
        <w:t>presented to TSG for approval;</w:t>
      </w:r>
    </w:p>
    <w:p>
      <w:pPr>
        <w:pStyle w:val="61"/>
      </w:pPr>
      <w:r>
        <w:t>3</w:t>
      </w:r>
      <w:r>
        <w:tab/>
      </w:r>
      <w:r>
        <w:t>or greater indicates TSG approved document under change control.</w:t>
      </w:r>
    </w:p>
    <w:p>
      <w:pPr>
        <w:pStyle w:val="60"/>
      </w:pPr>
      <w:r>
        <w:t>y</w:t>
      </w:r>
      <w:r>
        <w:tab/>
      </w:r>
      <w:r>
        <w:t>the second digit is incremented for all changes of substance, i.e. technical enhancements, corrections, updates, etc.</w:t>
      </w:r>
    </w:p>
    <w:p>
      <w:pPr>
        <w:pStyle w:val="60"/>
      </w:pPr>
      <w:r>
        <w:t>z</w:t>
      </w:r>
      <w:r>
        <w:tab/>
      </w:r>
      <w:r>
        <w:t>the third digit is incremented when editorial only changes have been incorporated in the document.</w:t>
      </w:r>
    </w:p>
    <w:p>
      <w:r>
        <w:t>In the present document, modal verbs have the following meanings:</w:t>
      </w:r>
    </w:p>
    <w:p>
      <w:pPr>
        <w:pStyle w:val="45"/>
      </w:pPr>
      <w:r>
        <w:rPr>
          <w:b/>
        </w:rPr>
        <w:t>shall</w:t>
      </w:r>
      <w:r>
        <w:tab/>
      </w:r>
      <w:r>
        <w:tab/>
      </w:r>
      <w:r>
        <w:t>indicates a mandatory requirement to do something</w:t>
      </w:r>
    </w:p>
    <w:p>
      <w:pPr>
        <w:pStyle w:val="4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pPr>
      <w:r>
        <w:rPr>
          <w:b/>
        </w:rPr>
        <w:t>should</w:t>
      </w:r>
      <w:r>
        <w:tab/>
      </w:r>
      <w:r>
        <w:tab/>
      </w:r>
      <w:r>
        <w:t>indicates a recommendation to do something</w:t>
      </w:r>
    </w:p>
    <w:p>
      <w:pPr>
        <w:pStyle w:val="45"/>
      </w:pPr>
      <w:r>
        <w:rPr>
          <w:b/>
        </w:rPr>
        <w:t>should not</w:t>
      </w:r>
      <w:r>
        <w:tab/>
      </w:r>
      <w:r>
        <w:t>indicates a recommendation not to do something</w:t>
      </w:r>
    </w:p>
    <w:p>
      <w:pPr>
        <w:pStyle w:val="45"/>
      </w:pPr>
      <w:r>
        <w:rPr>
          <w:b/>
        </w:rPr>
        <w:t>may</w:t>
      </w:r>
      <w:r>
        <w:tab/>
      </w:r>
      <w:r>
        <w:tab/>
      </w:r>
      <w:r>
        <w:t>indicates permission to do something</w:t>
      </w:r>
    </w:p>
    <w:p>
      <w:pPr>
        <w:pStyle w:val="4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5"/>
      </w:pPr>
      <w:r>
        <w:rPr>
          <w:b/>
        </w:rPr>
        <w:t>can</w:t>
      </w:r>
      <w:r>
        <w:tab/>
      </w:r>
      <w:r>
        <w:tab/>
      </w:r>
      <w:r>
        <w:t>indicates that something is possible</w:t>
      </w:r>
    </w:p>
    <w:p>
      <w:pPr>
        <w:pStyle w:val="45"/>
      </w:pPr>
      <w:r>
        <w:rPr>
          <w:b/>
        </w:rPr>
        <w:t>cannot</w:t>
      </w:r>
      <w:r>
        <w:tab/>
      </w:r>
      <w:r>
        <w:tab/>
      </w:r>
      <w:r>
        <w:t>indicates that something is impossible</w:t>
      </w:r>
    </w:p>
    <w:p>
      <w:r>
        <w:t>The constructions "can" and "cannot" are not substitutes for "may" and "need not".</w:t>
      </w:r>
    </w:p>
    <w:p>
      <w:pPr>
        <w:pStyle w:val="45"/>
      </w:pPr>
      <w:r>
        <w:rPr>
          <w:b/>
        </w:rPr>
        <w:t>will</w:t>
      </w:r>
      <w:r>
        <w:tab/>
      </w:r>
      <w:r>
        <w:tab/>
      </w:r>
      <w:r>
        <w:t>indicates that something is certain or expected to happen as a result of action taken by an agency the behaviour of which is outside the scope of the present document</w:t>
      </w:r>
    </w:p>
    <w:p>
      <w:pPr>
        <w:pStyle w:val="45"/>
      </w:pPr>
      <w:r>
        <w:rPr>
          <w:b/>
        </w:rPr>
        <w:t>will not</w:t>
      </w:r>
      <w:r>
        <w:tab/>
      </w:r>
      <w:r>
        <w:tab/>
      </w:r>
      <w:r>
        <w:t>indicates that something is certain or expected not to happen as a result of action taken by an agency the behaviour of which is outside the scope of the present document</w:t>
      </w:r>
    </w:p>
    <w:p>
      <w:pPr>
        <w:pStyle w:val="45"/>
      </w:pPr>
      <w:r>
        <w:rPr>
          <w:b/>
        </w:rPr>
        <w:t>might</w:t>
      </w:r>
      <w:r>
        <w:tab/>
      </w:r>
      <w:r>
        <w:t>indicates a likelihood that something will happen as a result of action taken by some agency the behaviour of which is outside the scope of the present document</w:t>
      </w:r>
    </w:p>
    <w:p>
      <w:pPr>
        <w:pStyle w:val="45"/>
      </w:pPr>
      <w:r>
        <w:rPr>
          <w:b/>
        </w:rPr>
        <w:t>might not</w:t>
      </w:r>
      <w:r>
        <w:tab/>
      </w:r>
      <w:r>
        <w:t>indicates a likelihood that something will not happen as a result of action taken by some agency the behaviour of which is outside the scope of the present document</w:t>
      </w:r>
    </w:p>
    <w:p>
      <w:r>
        <w:t>In addition:</w:t>
      </w:r>
    </w:p>
    <w:p>
      <w:pPr>
        <w:pStyle w:val="45"/>
      </w:pPr>
      <w:r>
        <w:rPr>
          <w:b/>
        </w:rPr>
        <w:t>is</w:t>
      </w:r>
      <w:r>
        <w:tab/>
      </w:r>
      <w:r>
        <w:t>(or any other verb in the indicative mood) indicates a statement of fact</w:t>
      </w:r>
    </w:p>
    <w:p>
      <w:pPr>
        <w:pStyle w:val="45"/>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107843108"/>
      <w:bookmarkStart w:id="20" w:name="_Toc211859867"/>
      <w:r>
        <w:t>1</w:t>
      </w:r>
      <w:r>
        <w:tab/>
      </w:r>
      <w:r>
        <w:t>Scope</w:t>
      </w:r>
      <w:bookmarkEnd w:id="19"/>
      <w:bookmarkEnd w:id="20"/>
    </w:p>
    <w:p>
      <w:pPr>
        <w:rPr>
          <w:lang w:val="en-US" w:eastAsia="zh-CN"/>
        </w:rPr>
      </w:pPr>
      <w:bookmarkStart w:id="21" w:name="references"/>
      <w:bookmarkEnd w:id="21"/>
      <w:bookmarkStart w:id="22" w:name="_Hlk164670837"/>
      <w:bookmarkStart w:id="23" w:name="_Toc107843109"/>
      <w:r>
        <w:t>The present document investigates and identifies the security</w:t>
      </w:r>
      <w:r>
        <w:rPr>
          <w:rFonts w:eastAsia="等线"/>
          <w:color w:val="000000"/>
          <w:lang w:eastAsia="zh-CN"/>
        </w:rPr>
        <w:t xml:space="preserve"> </w:t>
      </w:r>
      <w:r>
        <w:t>threats, requirements and potential solution for Integrated Sensing and Communication (ISAC). Based on the architecture and system level enhancements studied in TR 23.700-14 [2]</w:t>
      </w:r>
      <w:bookmarkEnd w:id="22"/>
      <w:r>
        <w:t xml:space="preserve">, the work in this document </w:t>
      </w:r>
      <w:r>
        <w:rPr>
          <w:lang w:val="en-US" w:eastAsia="zh-CN"/>
        </w:rPr>
        <w:t xml:space="preserve">focuses on the security </w:t>
      </w:r>
      <w:r>
        <w:rPr>
          <w:rFonts w:hint="eastAsia"/>
          <w:lang w:val="en-US" w:eastAsia="zh-CN"/>
        </w:rPr>
        <w:t>and</w:t>
      </w:r>
      <w:r>
        <w:rPr>
          <w:lang w:val="en-US" w:eastAsia="zh-CN"/>
        </w:rPr>
        <w:t xml:space="preserve"> privacy</w:t>
      </w:r>
      <w:r>
        <w:rPr>
          <w:rFonts w:hint="eastAsia"/>
          <w:lang w:val="en-US" w:eastAsia="zh-CN"/>
        </w:rPr>
        <w:t xml:space="preserve"> </w:t>
      </w:r>
      <w:r>
        <w:rPr>
          <w:lang w:val="en-US" w:eastAsia="zh-CN"/>
        </w:rPr>
        <w:t>aspects of gNB-based mono-static sensing mode for UAV sensing target use cases.</w:t>
      </w:r>
    </w:p>
    <w:p>
      <w:pPr>
        <w:rPr>
          <w:lang w:eastAsia="zh-CN"/>
        </w:rPr>
      </w:pPr>
      <w:r>
        <w:rPr>
          <w:lang w:val="en-US"/>
        </w:rPr>
        <w:t>The UAV sensing target uses cases defined by TS 22.137 [3]</w:t>
      </w:r>
      <w:r>
        <w:rPr>
          <w:lang w:eastAsia="zh-CN"/>
        </w:rPr>
        <w:t xml:space="preserve"> and TR 22.837</w:t>
      </w:r>
      <w:r>
        <w:rPr>
          <w:lang w:val="en-US"/>
        </w:rPr>
        <w:t xml:space="preserve"> [4] </w:t>
      </w:r>
      <w:r>
        <w:rPr>
          <w:lang w:eastAsia="zh-CN"/>
        </w:rPr>
        <w:t>serve either the purpose of public safety, or as requested by the management entity (UAV management department, USS or UTM), without the necessity to identify the object.</w:t>
      </w:r>
    </w:p>
    <w:p>
      <w:r>
        <w:t xml:space="preserve">Specifically, the present document covers the following: </w:t>
      </w:r>
    </w:p>
    <w:p>
      <w:pPr>
        <w:pStyle w:val="49"/>
        <w:ind w:left="400" w:hanging="400"/>
        <w:rPr>
          <w:lang w:eastAsia="zh-CN"/>
        </w:rPr>
      </w:pPr>
      <w:r>
        <w:rPr>
          <w:lang w:eastAsia="zh-CN"/>
        </w:rPr>
        <w:t>-</w:t>
      </w:r>
      <w:r>
        <w:rPr>
          <w:lang w:eastAsia="zh-CN"/>
        </w:rPr>
        <w:tab/>
      </w:r>
      <w:r>
        <w:rPr>
          <w:lang w:eastAsia="zh-CN"/>
        </w:rPr>
        <w:t>The identified key issues, threats, potential requirements and solutions for security protection during the service operations and procedures supporting Sensing services;</w:t>
      </w:r>
    </w:p>
    <w:p>
      <w:pPr>
        <w:pStyle w:val="49"/>
        <w:ind w:left="400" w:hanging="400"/>
      </w:pPr>
      <w:r>
        <w:rPr>
          <w:lang w:eastAsia="zh-CN"/>
        </w:rPr>
        <w:t>-</w:t>
      </w:r>
      <w:r>
        <w:rPr>
          <w:lang w:eastAsia="zh-CN"/>
        </w:rPr>
        <w:tab/>
      </w:r>
      <w:r>
        <w:rPr>
          <w:lang w:eastAsia="zh-CN"/>
        </w:rPr>
        <w:t>The identified key issues, threats, potential requirements and</w:t>
      </w:r>
      <w:r>
        <w:t xml:space="preserve"> solutions</w:t>
      </w:r>
      <w:r>
        <w:rPr>
          <w:lang w:eastAsia="zh-CN"/>
        </w:rPr>
        <w:t xml:space="preserve"> for protecting privacy for sensing data collection, sensing data processing, and sensing data exposure.</w:t>
      </w:r>
    </w:p>
    <w:p>
      <w:pPr>
        <w:pStyle w:val="2"/>
      </w:pPr>
      <w:bookmarkStart w:id="24" w:name="_Toc211859868"/>
      <w:r>
        <w:t>2</w:t>
      </w:r>
      <w:r>
        <w:tab/>
      </w:r>
      <w:r>
        <w:t>References</w:t>
      </w:r>
      <w:bookmarkEnd w:id="23"/>
      <w:bookmarkEnd w:id="24"/>
    </w:p>
    <w:p>
      <w:r>
        <w:t>The following documents contain provisions which, through reference in this text, constitute provisions of the present document.</w:t>
      </w:r>
    </w:p>
    <w:p>
      <w:pPr>
        <w:pStyle w:val="49"/>
        <w:ind w:left="400" w:hanging="400"/>
      </w:pPr>
      <w:r>
        <w:t>-</w:t>
      </w:r>
      <w:r>
        <w:tab/>
      </w:r>
      <w:r>
        <w:t>References are either specific (identified by date of publication, edition number, version number, etc.) or non</w:t>
      </w:r>
      <w:r>
        <w:noBreakHyphen/>
      </w:r>
      <w:r>
        <w:t>specific.</w:t>
      </w:r>
    </w:p>
    <w:p>
      <w:pPr>
        <w:pStyle w:val="49"/>
        <w:ind w:left="400" w:hanging="400"/>
      </w:pPr>
      <w:r>
        <w:t>-</w:t>
      </w:r>
      <w:r>
        <w:tab/>
      </w:r>
      <w:r>
        <w:t>For a specific reference, subsequent revisions do not apply.</w:t>
      </w:r>
    </w:p>
    <w:p>
      <w:pPr>
        <w:pStyle w:val="49"/>
        <w:ind w:left="400" w:hanging="40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pPr>
      <w:r>
        <w:t>[1]</w:t>
      </w:r>
      <w:r>
        <w:tab/>
      </w:r>
      <w:r>
        <w:t>3GPP TR 21.905: "Vocabulary for 3GPP Specifications".</w:t>
      </w:r>
    </w:p>
    <w:p>
      <w:pPr>
        <w:pStyle w:val="45"/>
      </w:pPr>
      <w:bookmarkStart w:id="25" w:name="definitions"/>
      <w:bookmarkEnd w:id="25"/>
      <w:bookmarkStart w:id="26" w:name="_Hlk207352919"/>
      <w:bookmarkStart w:id="27" w:name="_Toc107843110"/>
      <w:r>
        <w:t>[2]</w:t>
      </w:r>
      <w:r>
        <w:tab/>
      </w:r>
      <w:r>
        <w:t>3GPP TR 23.700-14: "Study on Integrated Sensing and Communication; Stage 2".</w:t>
      </w:r>
    </w:p>
    <w:p>
      <w:pPr>
        <w:pStyle w:val="45"/>
      </w:pPr>
      <w:r>
        <w:t>[3]</w:t>
      </w:r>
      <w:r>
        <w:tab/>
      </w:r>
      <w:r>
        <w:t>3GPP TS 22.137: "Service requirements for Integrated Sensing and Communication; Stage 1".</w:t>
      </w:r>
    </w:p>
    <w:p>
      <w:pPr>
        <w:pStyle w:val="45"/>
        <w:rPr>
          <w:rFonts w:eastAsia="Malgun Gothic"/>
          <w:lang w:eastAsia="ko-KR"/>
        </w:rPr>
      </w:pPr>
      <w:r>
        <w:rPr>
          <w:rFonts w:hint="eastAsia" w:eastAsia="Malgun Gothic"/>
          <w:lang w:eastAsia="ko-KR"/>
        </w:rPr>
        <w:t>[</w:t>
      </w:r>
      <w:r>
        <w:rPr>
          <w:rFonts w:eastAsia="Malgun Gothic"/>
          <w:lang w:eastAsia="ko-KR"/>
        </w:rPr>
        <w:t>4</w:t>
      </w:r>
      <w:r>
        <w:rPr>
          <w:rFonts w:hint="eastAsia" w:eastAsia="Malgun Gothic"/>
          <w:lang w:eastAsia="ko-KR"/>
        </w:rPr>
        <w:t>]</w:t>
      </w:r>
      <w:r>
        <w:rPr>
          <w:rFonts w:eastAsia="Malgun Gothic"/>
          <w:lang w:eastAsia="ko-KR"/>
        </w:rPr>
        <w:tab/>
      </w:r>
      <w:r>
        <w:t>3GPP </w:t>
      </w:r>
      <w:r>
        <w:rPr>
          <w:rFonts w:hint="eastAsia" w:eastAsia="Malgun Gothic"/>
          <w:szCs w:val="32"/>
          <w:lang w:val="en-US" w:eastAsia="ko-KR"/>
        </w:rPr>
        <w:t>TR</w:t>
      </w:r>
      <w:r>
        <w:rPr>
          <w:lang w:eastAsia="ko-KR"/>
        </w:rPr>
        <w:t> 22.837</w:t>
      </w:r>
      <w:r>
        <w:rPr>
          <w:rFonts w:hint="eastAsia" w:eastAsia="Malgun Gothic"/>
          <w:lang w:eastAsia="ko-KR"/>
        </w:rPr>
        <w:t>: "</w:t>
      </w:r>
      <w:r>
        <w:rPr>
          <w:rFonts w:eastAsia="Malgun Gothic"/>
          <w:lang w:eastAsia="ko-KR"/>
        </w:rPr>
        <w:t>Feasibility Study on Integrated Sensing and Communication</w:t>
      </w:r>
      <w:r>
        <w:rPr>
          <w:rFonts w:hint="eastAsia" w:eastAsia="Malgun Gothic"/>
          <w:lang w:eastAsia="ko-KR"/>
        </w:rPr>
        <w:t>".</w:t>
      </w:r>
    </w:p>
    <w:p>
      <w:pPr>
        <w:pStyle w:val="45"/>
        <w:rPr>
          <w:rFonts w:eastAsia="Malgun Gothic"/>
          <w:lang w:eastAsia="ko-KR"/>
        </w:rPr>
      </w:pPr>
      <w:r>
        <w:rPr>
          <w:rFonts w:hint="eastAsia"/>
          <w:lang w:eastAsia="zh-CN"/>
        </w:rPr>
        <w:t>[</w:t>
      </w:r>
      <w:r>
        <w:rPr>
          <w:lang w:eastAsia="zh-CN"/>
        </w:rPr>
        <w:t>5]</w:t>
      </w:r>
      <w:r>
        <w:rPr>
          <w:lang w:eastAsia="zh-CN"/>
        </w:rPr>
        <w:tab/>
      </w:r>
      <w:r>
        <w:t>3GPP </w:t>
      </w:r>
      <w:r>
        <w:rPr>
          <w:rFonts w:hint="eastAsia" w:eastAsia="Malgun Gothic"/>
          <w:szCs w:val="32"/>
          <w:lang w:val="en-US" w:eastAsia="ko-KR"/>
        </w:rPr>
        <w:t>TR</w:t>
      </w:r>
      <w:r>
        <w:rPr>
          <w:lang w:eastAsia="ko-KR"/>
        </w:rPr>
        <w:t> 33.501</w:t>
      </w:r>
      <w:r>
        <w:rPr>
          <w:rFonts w:hint="eastAsia" w:eastAsia="Malgun Gothic"/>
          <w:lang w:eastAsia="ko-KR"/>
        </w:rPr>
        <w:t>: "</w:t>
      </w:r>
      <w:r>
        <w:rPr>
          <w:rFonts w:eastAsia="Malgun Gothic"/>
          <w:lang w:eastAsia="ko-KR"/>
        </w:rPr>
        <w:t>Security architecture and procedures for 5G system</w:t>
      </w:r>
      <w:r>
        <w:rPr>
          <w:rFonts w:hint="eastAsia" w:eastAsia="Malgun Gothic"/>
          <w:lang w:eastAsia="ko-KR"/>
        </w:rPr>
        <w:t>".</w:t>
      </w:r>
    </w:p>
    <w:p>
      <w:pPr>
        <w:pStyle w:val="45"/>
      </w:pPr>
      <w:r>
        <w:t>[</w:t>
      </w:r>
      <w:r>
        <w:rPr>
          <w:rFonts w:hint="eastAsia"/>
          <w:lang w:val="en-US" w:eastAsia="zh-CN"/>
        </w:rPr>
        <w:t>6</w:t>
      </w:r>
      <w:r>
        <w:t>]</w:t>
      </w:r>
      <w:r>
        <w:tab/>
      </w:r>
      <w:r>
        <w:t xml:space="preserve">3GPP TS 33.310: "Network Domain Security (NDS); Authentication Framework (AF)". </w:t>
      </w:r>
    </w:p>
    <w:p>
      <w:pPr>
        <w:ind w:firstLine="284"/>
        <w:rPr>
          <w:lang w:val="en-US" w:eastAsia="zh-CN"/>
        </w:rPr>
      </w:pPr>
      <w:r>
        <w:rPr>
          <w:rFonts w:hint="eastAsia"/>
          <w:lang w:val="en-US" w:eastAsia="zh-CN"/>
        </w:rPr>
        <w:t>[7]</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3GPP TS </w:t>
      </w:r>
      <w: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IETF RFC 6749: </w:t>
      </w:r>
      <w:r>
        <w:t>"</w:t>
      </w:r>
      <w:r>
        <w:rPr>
          <w:rFonts w:hint="eastAsia"/>
          <w:lang w:val="en-US" w:eastAsia="zh-CN"/>
        </w:rPr>
        <w:t>The OAuth 2.0 Authorization Framework</w:t>
      </w:r>
      <w:r>
        <w:t>"</w:t>
      </w:r>
      <w:r>
        <w:rPr>
          <w:rFonts w:hint="eastAsia"/>
          <w:lang w:val="en-US" w:eastAsia="zh-CN"/>
        </w:rPr>
        <w:t>.</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23.501: "System Architecture for the 5G System".</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33.122: "Security Aspects of Common API Framework for 3GPP Northbound APIs".</w:t>
      </w:r>
    </w:p>
    <w:p>
      <w:pPr>
        <w:pStyle w:val="45"/>
      </w:pPr>
      <w:r>
        <w:t>[</w:t>
      </w:r>
      <w:r>
        <w:rPr>
          <w:rFonts w:hint="eastAsia"/>
          <w:lang w:val="en-US" w:eastAsia="zh-CN"/>
        </w:rPr>
        <w:t>11</w:t>
      </w:r>
      <w:r>
        <w:t>]</w:t>
      </w:r>
      <w:r>
        <w:tab/>
      </w:r>
      <w:r>
        <w:t>IETF RFC 6083: "Datagram Transport Layer Security (DTLS) for Stream Control Transmission Protocol (SCTP)".</w:t>
      </w:r>
    </w:p>
    <w:p>
      <w:pPr>
        <w:pStyle w:val="45"/>
        <w:rPr>
          <w:rFonts w:eastAsia="Malgun Gothic"/>
          <w:lang w:eastAsia="zh-CN"/>
        </w:rPr>
      </w:pPr>
    </w:p>
    <w:bookmarkEnd w:id="26"/>
    <w:p>
      <w:pPr>
        <w:pStyle w:val="2"/>
      </w:pPr>
      <w:bookmarkStart w:id="28" w:name="_Toc211859869"/>
      <w:r>
        <w:t>3</w:t>
      </w:r>
      <w:r>
        <w:tab/>
      </w:r>
      <w:r>
        <w:t>Definitions of terms, symbols and abbreviations</w:t>
      </w:r>
      <w:bookmarkEnd w:id="27"/>
      <w:bookmarkEnd w:id="28"/>
    </w:p>
    <w:p>
      <w:pPr>
        <w:pStyle w:val="3"/>
      </w:pPr>
      <w:bookmarkStart w:id="29" w:name="_Toc211859870"/>
      <w:bookmarkStart w:id="30" w:name="_Toc107843111"/>
      <w:r>
        <w:t>3.1</w:t>
      </w:r>
      <w:r>
        <w:tab/>
      </w:r>
      <w:r>
        <w:t>Terms</w:t>
      </w:r>
      <w:bookmarkEnd w:id="29"/>
      <w:bookmarkEnd w:id="30"/>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1" w:name="_Toc107843112"/>
      <w:bookmarkStart w:id="32" w:name="_Toc211859871"/>
      <w:r>
        <w:t>3.2</w:t>
      </w:r>
      <w:r>
        <w:tab/>
      </w:r>
      <w:r>
        <w:t>Symbols</w:t>
      </w:r>
      <w:bookmarkEnd w:id="31"/>
      <w:bookmarkEnd w:id="32"/>
    </w:p>
    <w:p>
      <w:pPr>
        <w:keepNext/>
      </w:pPr>
      <w:r>
        <w:t>For the purposes of the present document, the following symbols apply:</w:t>
      </w:r>
    </w:p>
    <w:p>
      <w:pPr>
        <w:pStyle w:val="48"/>
      </w:pPr>
      <w:r>
        <w:t>&lt;symbol&gt;</w:t>
      </w:r>
      <w:r>
        <w:tab/>
      </w:r>
      <w:r>
        <w:t>&lt;Explanation&gt;</w:t>
      </w:r>
    </w:p>
    <w:p>
      <w:pPr>
        <w:pStyle w:val="48"/>
      </w:pPr>
    </w:p>
    <w:p>
      <w:pPr>
        <w:pStyle w:val="3"/>
      </w:pPr>
      <w:bookmarkStart w:id="33" w:name="_Toc211859872"/>
      <w:bookmarkStart w:id="34" w:name="_Toc107843113"/>
      <w:r>
        <w:t>3.3</w:t>
      </w:r>
      <w:r>
        <w:tab/>
      </w:r>
      <w:r>
        <w:t>Abbreviations</w:t>
      </w:r>
      <w:bookmarkEnd w:id="33"/>
      <w:bookmarkEnd w:id="3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8"/>
      </w:pPr>
      <w:r>
        <w:t>&lt;ABBREVIATION&gt;</w:t>
      </w:r>
      <w:r>
        <w:tab/>
      </w:r>
      <w:r>
        <w:t>&lt;Expansion&gt;</w:t>
      </w:r>
    </w:p>
    <w:p>
      <w:pPr>
        <w:pStyle w:val="48"/>
      </w:pPr>
    </w:p>
    <w:p>
      <w:pPr>
        <w:pStyle w:val="2"/>
      </w:pPr>
      <w:bookmarkStart w:id="35" w:name="clause4"/>
      <w:bookmarkEnd w:id="35"/>
      <w:bookmarkStart w:id="36" w:name="tsgNames"/>
      <w:bookmarkEnd w:id="36"/>
      <w:bookmarkStart w:id="37" w:name="_Toc105088935"/>
      <w:bookmarkStart w:id="38" w:name="_Toc211859873"/>
      <w:bookmarkStart w:id="39" w:name="_Toc107843114"/>
      <w:bookmarkStart w:id="40" w:name="_Toc106207165"/>
      <w:bookmarkStart w:id="41" w:name="_Toc107843130"/>
      <w:r>
        <w:t>4</w:t>
      </w:r>
      <w:r>
        <w:tab/>
      </w:r>
      <w:r>
        <w:t>Architectu</w:t>
      </w:r>
      <w:bookmarkEnd w:id="37"/>
      <w:r>
        <w:t>re</w:t>
      </w:r>
      <w:r>
        <w:rPr>
          <w:rFonts w:hint="eastAsia"/>
          <w:lang w:val="en-US" w:eastAsia="zh-CN"/>
        </w:rPr>
        <w:t xml:space="preserve"> and security</w:t>
      </w:r>
      <w:r>
        <w:t xml:space="preserve"> assumptions</w:t>
      </w:r>
      <w:bookmarkEnd w:id="38"/>
      <w:bookmarkEnd w:id="39"/>
    </w:p>
    <w:p>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pPr>
        <w:pStyle w:val="49"/>
        <w:ind w:left="400" w:hanging="400"/>
        <w:rPr>
          <w:lang w:eastAsia="zh-CN"/>
        </w:rPr>
      </w:pPr>
      <w:r>
        <w:rPr>
          <w:rFonts w:eastAsia="宋体"/>
          <w:lang w:eastAsia="zh-CN"/>
        </w:rPr>
        <w:t>-</w:t>
      </w:r>
      <w:r>
        <w:rPr>
          <w:rFonts w:eastAsia="宋体"/>
          <w:lang w:eastAsia="zh-CN"/>
        </w:rPr>
        <w:tab/>
      </w:r>
      <w:r>
        <w:rPr>
          <w:rFonts w:eastAsia="宋体"/>
          <w:lang w:eastAsia="zh-CN"/>
        </w:rPr>
        <w:t xml:space="preserve">The architecture assumptions and principles for </w:t>
      </w:r>
      <w:r>
        <w:rPr>
          <w:rFonts w:hint="eastAsia"/>
          <w:lang w:val="en-US" w:eastAsia="zh-CN"/>
        </w:rPr>
        <w:t>Integrated</w:t>
      </w:r>
      <w:r>
        <w:rPr>
          <w:rFonts w:eastAsia="宋体"/>
          <w:lang w:eastAsia="zh-CN"/>
        </w:rPr>
        <w:t xml:space="preserve"> </w:t>
      </w:r>
      <w:r>
        <w:rPr>
          <w:rFonts w:hint="eastAsia"/>
          <w:lang w:val="en-US" w:eastAsia="zh-CN"/>
        </w:rPr>
        <w:t xml:space="preserve">Sensing and Communication </w:t>
      </w:r>
      <w:r>
        <w:rPr>
          <w:rFonts w:eastAsia="宋体"/>
          <w:lang w:eastAsia="zh-CN"/>
        </w:rPr>
        <w:t>as defined in TR 23.700-</w:t>
      </w:r>
      <w:r>
        <w:rPr>
          <w:rFonts w:hint="eastAsia"/>
          <w:lang w:val="en-US" w:eastAsia="zh-CN"/>
        </w:rPr>
        <w:t>14</w:t>
      </w:r>
      <w:r>
        <w:rPr>
          <w:rFonts w:eastAsia="宋体"/>
          <w:lang w:eastAsia="zh-CN"/>
        </w:rPr>
        <w:t xml:space="preserve"> [</w:t>
      </w:r>
      <w:r>
        <w:rPr>
          <w:lang w:val="en-US" w:eastAsia="zh-CN"/>
        </w:rPr>
        <w:t>2</w:t>
      </w:r>
      <w:r>
        <w:rPr>
          <w:rFonts w:eastAsia="宋体"/>
          <w:lang w:eastAsia="zh-CN"/>
        </w:rPr>
        <w:t>] are used as architecture assumptions in this study.</w:t>
      </w:r>
    </w:p>
    <w:p>
      <w:pPr>
        <w:pStyle w:val="49"/>
        <w:ind w:left="400" w:hanging="400"/>
      </w:pPr>
      <w:r>
        <w:rPr>
          <w:rFonts w:eastAsia="宋体"/>
          <w:lang w:eastAsia="zh-CN"/>
        </w:rPr>
        <w:t>-</w:t>
      </w:r>
      <w:r>
        <w:rPr>
          <w:rFonts w:eastAsia="宋体"/>
          <w:lang w:eastAsia="zh-CN"/>
        </w:rPr>
        <w:tab/>
      </w:r>
      <w:r>
        <w:rPr>
          <w:rFonts w:eastAsia="宋体"/>
          <w:lang w:eastAsia="zh-CN"/>
        </w:rPr>
        <w:t>The security architecture, procedures, and security requirements for 5GS as defined in TS 33.501 [</w:t>
      </w:r>
      <w:r>
        <w:rPr>
          <w:lang w:val="en-US" w:eastAsia="zh-CN"/>
        </w:rPr>
        <w:t>5</w:t>
      </w:r>
      <w:r>
        <w:rPr>
          <w:rFonts w:eastAsia="宋体"/>
          <w:lang w:eastAsia="zh-CN"/>
        </w:rPr>
        <w:t>] are used as a baseline.</w:t>
      </w:r>
    </w:p>
    <w:p>
      <w:pPr>
        <w:pStyle w:val="2"/>
      </w:pPr>
      <w:bookmarkStart w:id="42" w:name="_Toc211859874"/>
      <w:r>
        <w:t>5</w:t>
      </w:r>
      <w:r>
        <w:tab/>
      </w:r>
      <w:r>
        <w:t>Key issues</w:t>
      </w:r>
      <w:bookmarkEnd w:id="40"/>
      <w:bookmarkEnd w:id="42"/>
    </w:p>
    <w:p>
      <w:pPr>
        <w:pStyle w:val="50"/>
      </w:pPr>
      <w:r>
        <w:t>Editor's Note: This clause contains all the key issues identified during the study.</w:t>
      </w:r>
    </w:p>
    <w:p>
      <w:pPr>
        <w:pStyle w:val="3"/>
      </w:pPr>
      <w:bookmarkStart w:id="43" w:name="_Toc211859875"/>
      <w:bookmarkStart w:id="44" w:name="_Toc106207167"/>
      <w:r>
        <w:t>5.1</w:t>
      </w:r>
      <w:r>
        <w:tab/>
      </w:r>
      <w:r>
        <w:t>Key Issue #1: Security of sensing service authorization</w:t>
      </w:r>
      <w:r>
        <w:rPr>
          <w:rFonts w:hint="eastAsia"/>
          <w:lang w:val="en-US" w:eastAsia="zh-CN"/>
        </w:rPr>
        <w:t xml:space="preserve"> and sensing result exposure</w:t>
      </w:r>
      <w:bookmarkEnd w:id="43"/>
    </w:p>
    <w:p>
      <w:pPr>
        <w:pStyle w:val="4"/>
      </w:pPr>
      <w:bookmarkStart w:id="45" w:name="_Toc211859876"/>
      <w:r>
        <w:t>5.1.1</w:t>
      </w:r>
      <w:r>
        <w:tab/>
      </w:r>
      <w:r>
        <w:t>Key issue details</w:t>
      </w:r>
      <w:bookmarkEnd w:id="44"/>
      <w:bookmarkEnd w:id="45"/>
      <w:r>
        <w:t xml:space="preserve"> </w:t>
      </w:r>
    </w:p>
    <w:p>
      <w:pPr>
        <w:rPr>
          <w:lang w:eastAsia="zh-CN"/>
        </w:rPr>
      </w:pPr>
      <w:r>
        <w:rPr>
          <w:lang w:eastAsia="zh-CN"/>
        </w:rPr>
        <w:t>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r>
        <w:rPr>
          <w:rFonts w:hint="eastAsia"/>
          <w:lang w:val="en-US" w:eastAsia="zh-CN"/>
        </w:rPr>
        <w:t>, and sensing result exposure to the service consumer</w:t>
      </w:r>
      <w:r>
        <w:rPr>
          <w:lang w:eastAsia="zh-CN"/>
        </w:rPr>
        <w:t>.</w:t>
      </w:r>
    </w:p>
    <w:p>
      <w:pPr>
        <w:rPr>
          <w:lang w:eastAsia="zh-CN"/>
        </w:rPr>
      </w:pPr>
      <w:r>
        <w:rPr>
          <w:rFonts w:hint="eastAsia"/>
          <w:lang w:eastAsia="zh-CN"/>
        </w:rPr>
        <w:t>S</w:t>
      </w:r>
      <w:r>
        <w:rPr>
          <w:lang w:eastAsia="zh-CN"/>
        </w:rPr>
        <w:t>olutions addressing the KI#2 in TR 23.700-14 [2] of authorization and revocation for particular sensing services are developed, which focus on service request authorization or revocation based on the information of the service level agreement. Security aspects need to be discussed for the above mentioned procedures.</w:t>
      </w:r>
    </w:p>
    <w:p>
      <w:pPr>
        <w:ind w:left="852" w:hanging="852"/>
        <w:rPr>
          <w:lang w:eastAsia="zh-CN"/>
        </w:rPr>
      </w:pPr>
      <w:r>
        <w:rPr>
          <w:rFonts w:hint="eastAsia"/>
          <w:lang w:eastAsia="zh-CN"/>
        </w:rPr>
        <w:t>N</w:t>
      </w:r>
      <w:r>
        <w:rPr>
          <w:lang w:eastAsia="zh-CN"/>
        </w:rPr>
        <w:t>OTE:</w:t>
      </w:r>
      <w:r>
        <w:rPr>
          <w:lang w:eastAsia="zh-CN"/>
        </w:rPr>
        <w:tab/>
      </w:r>
      <w:r>
        <w:rPr>
          <w:lang w:eastAsia="zh-CN"/>
        </w:rPr>
        <w:t>Security aspects of sensing service revocation triggered by sensing service consumer is addressed in this key issue.</w:t>
      </w:r>
    </w:p>
    <w:p>
      <w:pPr>
        <w:rPr>
          <w:lang w:eastAsia="zh-CN"/>
        </w:rPr>
      </w:pPr>
      <w:r>
        <w:rPr>
          <w:rFonts w:hint="eastAsia"/>
          <w:lang w:val="en-US" w:eastAsia="zh-CN"/>
        </w:rPr>
        <w:t xml:space="preserve">In addition, </w:t>
      </w:r>
      <w:r>
        <w:rPr>
          <w:lang w:eastAsia="zh-CN"/>
        </w:rPr>
        <w:t>KI#5 in TR 23.700-14 [</w:t>
      </w:r>
      <w:r>
        <w:rPr>
          <w:rFonts w:hint="eastAsia"/>
          <w:lang w:val="en-US" w:eastAsia="zh-CN"/>
        </w:rPr>
        <w:t>2</w:t>
      </w:r>
      <w:r>
        <w:rPr>
          <w:lang w:eastAsia="zh-CN"/>
        </w:rPr>
        <w:t>] addresses the type of sensing result to be exposed and the method for the network to expose the sensing result to the service consumer. Security aspect of the exposure procedure also needs to be investigated.</w:t>
      </w:r>
    </w:p>
    <w:p>
      <w:pPr>
        <w:rPr>
          <w:lang w:eastAsia="zh-CN"/>
        </w:rPr>
      </w:pPr>
      <w:r>
        <w:rPr>
          <w:rFonts w:hint="eastAsia"/>
          <w:lang w:eastAsia="zh-CN"/>
        </w:rPr>
        <w:t>T</w:t>
      </w:r>
      <w:r>
        <w:rPr>
          <w:lang w:eastAsia="zh-CN"/>
        </w:rPr>
        <w:t xml:space="preserve">his key issue </w:t>
      </w:r>
      <w:r>
        <w:rPr>
          <w:rFonts w:hint="eastAsia"/>
          <w:lang w:eastAsia="zh-CN"/>
        </w:rPr>
        <w:t>is related to KI#2</w:t>
      </w:r>
      <w:r>
        <w:rPr>
          <w:rFonts w:hint="eastAsia"/>
          <w:lang w:val="en-US" w:eastAsia="zh-CN"/>
        </w:rPr>
        <w:t xml:space="preserve"> and KI#5</w:t>
      </w:r>
      <w:r>
        <w:rPr>
          <w:rFonts w:hint="eastAsia"/>
          <w:lang w:eastAsia="zh-CN"/>
        </w:rPr>
        <w:t xml:space="preserve"> of </w:t>
      </w:r>
      <w:r>
        <w:rPr>
          <w:lang w:eastAsia="zh-CN"/>
        </w:rPr>
        <w:t>TR 23.700-14 [2]</w:t>
      </w:r>
      <w:r>
        <w:rPr>
          <w:rFonts w:hint="eastAsia"/>
          <w:lang w:eastAsia="zh-CN"/>
        </w:rPr>
        <w:t xml:space="preserve"> and</w:t>
      </w:r>
      <w:r>
        <w:rPr>
          <w:lang w:eastAsia="zh-CN"/>
        </w:rPr>
        <w:t xml:space="preserve"> addresses the security aspects for sensing service </w:t>
      </w:r>
      <w:r>
        <w:rPr>
          <w:rFonts w:hint="eastAsia"/>
          <w:lang w:eastAsia="zh-CN"/>
        </w:rPr>
        <w:t>invocation</w:t>
      </w:r>
      <w:r>
        <w:rPr>
          <w:rFonts w:hint="eastAsia"/>
          <w:lang w:val="en-US" w:eastAsia="zh-CN"/>
        </w:rPr>
        <w:t>,</w:t>
      </w:r>
      <w:r>
        <w:rPr>
          <w:lang w:eastAsia="zh-CN"/>
        </w:rPr>
        <w:t xml:space="preserve"> revocation</w:t>
      </w:r>
      <w:r>
        <w:rPr>
          <w:rFonts w:hint="eastAsia"/>
          <w:lang w:val="en-US" w:eastAsia="zh-CN"/>
        </w:rPr>
        <w:t>,</w:t>
      </w:r>
      <w:r>
        <w:rPr>
          <w:lang w:eastAsia="zh-CN"/>
        </w:rPr>
        <w:t xml:space="preserve"> </w:t>
      </w:r>
      <w:r>
        <w:rPr>
          <w:rFonts w:hint="eastAsia"/>
          <w:lang w:val="en-US" w:eastAsia="zh-CN"/>
        </w:rPr>
        <w:t>and sensing result exposure</w:t>
      </w:r>
      <w:r>
        <w:rPr>
          <w:lang w:eastAsia="zh-CN"/>
        </w:rPr>
        <w:t xml:space="preserve"> procedures between the network and sensing service consumer.</w:t>
      </w:r>
    </w:p>
    <w:p>
      <w:pPr>
        <w:pStyle w:val="4"/>
      </w:pPr>
      <w:bookmarkStart w:id="46" w:name="_Toc106207168"/>
      <w:bookmarkStart w:id="47" w:name="_Toc211859877"/>
      <w:r>
        <w:t>5.1.2</w:t>
      </w:r>
      <w:r>
        <w:tab/>
      </w:r>
      <w:r>
        <w:t>Security threats</w:t>
      </w:r>
      <w:bookmarkEnd w:id="46"/>
      <w:bookmarkEnd w:id="47"/>
    </w:p>
    <w:p>
      <w:pPr>
        <w:rPr>
          <w:lang w:eastAsia="zh-CN"/>
        </w:rPr>
      </w:pPr>
      <w:r>
        <w:rPr>
          <w:rFonts w:hint="eastAsia"/>
          <w:lang w:val="en-US" w:eastAsia="zh-CN"/>
        </w:rPr>
        <w:t>Without proper authentication and authorization for sensing service, unauthorized party may be able to access to sensing service.</w:t>
      </w:r>
    </w:p>
    <w:p>
      <w:pPr>
        <w:rPr>
          <w:lang w:eastAsia="zh-CN"/>
        </w:rPr>
      </w:pPr>
      <w:r>
        <w:rPr>
          <w:lang w:eastAsia="zh-CN"/>
        </w:rPr>
        <w:t>If the connection between sensing service consumer and NEF/SF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r>
        <w:rPr>
          <w:rFonts w:hint="eastAsia"/>
          <w:lang w:val="en-US" w:eastAsia="zh-CN"/>
        </w:rPr>
        <w:t xml:space="preserve">, </w:t>
      </w:r>
      <w:r>
        <w:rPr>
          <w:lang w:eastAsia="zh-CN"/>
        </w:rPr>
        <w:t>revocation</w:t>
      </w:r>
      <w:r>
        <w:rPr>
          <w:rFonts w:hint="eastAsia"/>
          <w:lang w:val="en-US" w:eastAsia="zh-CN"/>
        </w:rPr>
        <w:t xml:space="preserve"> and sensing result exposure</w:t>
      </w:r>
      <w:r>
        <w:rPr>
          <w:lang w:eastAsia="zh-CN"/>
        </w:rPr>
        <w:t>.</w:t>
      </w:r>
    </w:p>
    <w:p>
      <w:pPr>
        <w:pStyle w:val="4"/>
      </w:pPr>
      <w:bookmarkStart w:id="48" w:name="_Toc106207169"/>
      <w:bookmarkStart w:id="49" w:name="_Toc211859878"/>
      <w:r>
        <w:t>5.1.3</w:t>
      </w:r>
      <w:r>
        <w:tab/>
      </w:r>
      <w:r>
        <w:t>Potential security requirements</w:t>
      </w:r>
      <w:bookmarkEnd w:id="48"/>
      <w:bookmarkEnd w:id="49"/>
      <w:r>
        <w:t xml:space="preserve"> </w:t>
      </w:r>
    </w:p>
    <w:bookmarkEnd w:id="41"/>
    <w:p>
      <w:pPr>
        <w:rPr>
          <w:lang w:eastAsia="zh-CN"/>
        </w:rPr>
      </w:pPr>
      <w:r>
        <w:rPr>
          <w:rFonts w:hint="eastAsia"/>
          <w:lang w:val="en-US" w:eastAsia="zh-CN"/>
        </w:rPr>
        <w:t>T</w:t>
      </w:r>
      <w:r>
        <w:rPr>
          <w:lang w:val="en-US" w:eastAsia="zh-CN"/>
        </w:rPr>
        <w:t>he 5G system shall be able to support mutual authentication</w:t>
      </w:r>
      <w:r>
        <w:rPr>
          <w:lang w:eastAsia="zh-CN"/>
        </w:rPr>
        <w:t xml:space="preserve"> between sensing service consumer and </w:t>
      </w:r>
      <w:r>
        <w:rPr>
          <w:rFonts w:hint="eastAsia"/>
          <w:lang w:eastAsia="zh-CN"/>
        </w:rPr>
        <w:t>NEF/SF</w:t>
      </w:r>
      <w:r>
        <w:rPr>
          <w:lang w:eastAsia="zh-CN"/>
        </w:rPr>
        <w:t>.</w:t>
      </w:r>
    </w:p>
    <w:p>
      <w:pPr>
        <w:rPr>
          <w:lang w:eastAsia="zh-CN"/>
        </w:rPr>
      </w:pPr>
      <w:r>
        <w:rPr>
          <w:rFonts w:hint="eastAsia"/>
          <w:lang w:val="en-US" w:eastAsia="zh-CN"/>
        </w:rPr>
        <w:t>T</w:t>
      </w:r>
      <w:r>
        <w:rPr>
          <w:lang w:val="en-US" w:eastAsia="zh-CN"/>
        </w:rPr>
        <w:t xml:space="preserve">he 5G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 xml:space="preserve">between sensing service consumer and </w:t>
      </w:r>
      <w:r>
        <w:rPr>
          <w:rFonts w:hint="eastAsia"/>
          <w:lang w:eastAsia="zh-CN"/>
        </w:rPr>
        <w:t>NEF/SF</w:t>
      </w:r>
      <w:r>
        <w:rPr>
          <w:lang w:eastAsia="zh-CN"/>
        </w:rPr>
        <w:t>.</w:t>
      </w:r>
    </w:p>
    <w:p>
      <w:pPr>
        <w:rPr>
          <w:lang w:val="en-US" w:eastAsia="zh-CN"/>
        </w:rPr>
      </w:pP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p>
    <w:p>
      <w:pPr>
        <w:pStyle w:val="3"/>
      </w:pPr>
      <w:bookmarkStart w:id="50" w:name="_Toc211859879"/>
      <w:r>
        <w:t>5.2</w:t>
      </w:r>
      <w:r>
        <w:tab/>
      </w:r>
      <w:r>
        <w:t>Key Issue #2: Security protection for sensing service operations</w:t>
      </w:r>
      <w:bookmarkEnd w:id="50"/>
    </w:p>
    <w:p>
      <w:pPr>
        <w:pStyle w:val="4"/>
      </w:pPr>
      <w:bookmarkStart w:id="51" w:name="_Toc205543648"/>
      <w:bookmarkStart w:id="52" w:name="_Toc211859880"/>
      <w:r>
        <w:t>5.2.1</w:t>
      </w:r>
      <w:r>
        <w:tab/>
      </w:r>
      <w:r>
        <w:t>Key issue details</w:t>
      </w:r>
      <w:bookmarkEnd w:id="51"/>
      <w:bookmarkEnd w:id="52"/>
    </w:p>
    <w:p>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pPr>
        <w:rPr>
          <w:lang w:eastAsia="zh-CN"/>
        </w:rPr>
      </w:pPr>
      <w:r>
        <w:rPr>
          <w:lang w:eastAsia="zh-CN"/>
        </w:rPr>
        <w:t xml:space="preserve">In TR 23.700-14 [2], there are multiple solutions proposing sensing service operation procedures supported by sensing entities and different sensing related network functions (e.g. NEF, SF, sensing management function, sensing control function, sensing processing function).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pPr>
        <w:ind w:left="852" w:hanging="852"/>
        <w:rPr>
          <w:lang w:eastAsia="zh-CN"/>
        </w:rPr>
      </w:pPr>
      <w:r>
        <w:rPr>
          <w:rFonts w:hint="eastAsia"/>
          <w:lang w:eastAsia="zh-CN"/>
        </w:rPr>
        <w:t>N</w:t>
      </w:r>
      <w:r>
        <w:rPr>
          <w:lang w:eastAsia="zh-CN"/>
        </w:rPr>
        <w:t>OTE 1:</w:t>
      </w:r>
      <w:r>
        <w:rPr>
          <w:lang w:eastAsia="zh-CN"/>
        </w:rPr>
        <w:tab/>
      </w:r>
      <w:r>
        <w:rPr>
          <w:lang w:eastAsia="zh-CN"/>
        </w:rPr>
        <w:t>Security aspects of service operation revocation triggered by sensing functions is addressed in this key issue, as it can be viewed as one type of sensing service operations.</w:t>
      </w:r>
    </w:p>
    <w:p>
      <w:pPr>
        <w:pStyle w:val="4"/>
      </w:pPr>
      <w:bookmarkStart w:id="53" w:name="_Toc211859881"/>
      <w:r>
        <w:t>5.2.2</w:t>
      </w:r>
      <w:r>
        <w:tab/>
      </w:r>
      <w:r>
        <w:t>Security threats</w:t>
      </w:r>
      <w:bookmarkEnd w:id="53"/>
    </w:p>
    <w:p>
      <w:pPr>
        <w:rPr>
          <w:lang w:eastAsia="zh-CN"/>
        </w:rPr>
      </w:pPr>
      <w:bookmarkStart w:id="54"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pPr>
        <w:rPr>
          <w:lang w:eastAsia="zh-CN"/>
        </w:rPr>
      </w:pPr>
      <w:r>
        <w:rPr>
          <w:lang w:eastAsia="zh-CN"/>
        </w:rPr>
        <w:t xml:space="preserve">If the connection between sensing functions </w:t>
      </w:r>
      <w:r>
        <w:rPr>
          <w:rFonts w:hint="eastAsia"/>
          <w:lang w:eastAsia="zh-CN"/>
        </w:rPr>
        <w:t xml:space="preserve">is </w:t>
      </w:r>
      <w:r>
        <w:rPr>
          <w:lang w:eastAsia="zh-CN"/>
        </w:rPr>
        <w:t xml:space="preserve">not securely established, an attacker is able to tamper or inject or replay sensing operation messages and the sensing result to be exposed, or sniff the sensing result. </w:t>
      </w:r>
    </w:p>
    <w:p>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pPr>
        <w:pStyle w:val="4"/>
      </w:pPr>
      <w:bookmarkStart w:id="55" w:name="_Toc211859882"/>
      <w:r>
        <w:t>5.2.3</w:t>
      </w:r>
      <w:r>
        <w:tab/>
      </w:r>
      <w:r>
        <w:t>Potential security requirements</w:t>
      </w:r>
      <w:bookmarkEnd w:id="54"/>
      <w:bookmarkEnd w:id="55"/>
    </w:p>
    <w:p>
      <w:pPr>
        <w:rPr>
          <w:lang w:eastAsia="zh-CN"/>
        </w:rPr>
      </w:pPr>
      <w:r>
        <w:rPr>
          <w:lang w:val="en-US" w:eastAsia="zh-CN"/>
        </w:rPr>
        <w:t xml:space="preserve">The 5G system shall be able to support mutual authentication between </w:t>
      </w:r>
      <w:r>
        <w:rPr>
          <w:rFonts w:hint="eastAsia"/>
          <w:lang w:val="en-US" w:eastAsia="zh-CN"/>
        </w:rPr>
        <w:t>SFs</w:t>
      </w:r>
      <w:r>
        <w:rPr>
          <w:lang w:eastAsia="zh-CN"/>
        </w:rPr>
        <w:t>.</w:t>
      </w:r>
    </w:p>
    <w:p>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between </w:t>
      </w:r>
      <w:r>
        <w:rPr>
          <w:rFonts w:hint="eastAsia"/>
          <w:lang w:eastAsia="zh-CN"/>
        </w:rPr>
        <w:t>SF</w:t>
      </w:r>
      <w:r>
        <w:rPr>
          <w:lang w:val="en-US" w:eastAsia="zh-CN"/>
        </w:rPr>
        <w:t>s</w:t>
      </w:r>
      <w:r>
        <w:rPr>
          <w:lang w:eastAsia="zh-CN"/>
        </w:rPr>
        <w:t>.</w:t>
      </w:r>
    </w:p>
    <w:p>
      <w:pPr>
        <w:ind w:left="850" w:hanging="850"/>
        <w:rPr>
          <w:lang w:eastAsia="zh-CN"/>
        </w:rPr>
      </w:pPr>
      <w:r>
        <w:rPr>
          <w:rFonts w:hint="eastAsia"/>
          <w:lang w:eastAsia="zh-CN"/>
        </w:rPr>
        <w:t>N</w:t>
      </w:r>
      <w:r>
        <w:rPr>
          <w:lang w:eastAsia="zh-CN"/>
        </w:rPr>
        <w:t>OTE 2</w:t>
      </w:r>
      <w:r>
        <w:rPr>
          <w:rFonts w:hint="eastAsia"/>
          <w:lang w:eastAsia="zh-CN"/>
        </w:rPr>
        <w:t>:</w:t>
      </w:r>
      <w:r>
        <w:rPr>
          <w:lang w:eastAsia="zh-CN"/>
        </w:rPr>
        <w:tab/>
      </w:r>
      <w:r>
        <w:rPr>
          <w:rFonts w:hint="eastAsia"/>
          <w:lang w:eastAsia="zh-CN"/>
        </w:rPr>
        <w:t xml:space="preserve">If there is no interaction between SFs based on </w:t>
      </w:r>
      <w:r>
        <w:rPr>
          <w:lang w:eastAsia="zh-CN"/>
        </w:rPr>
        <w:t>architecture</w:t>
      </w:r>
      <w:r>
        <w:rPr>
          <w:rFonts w:hint="eastAsia"/>
          <w:lang w:eastAsia="zh-CN"/>
        </w:rPr>
        <w:t xml:space="preserve"> defined in SA2, the security requirements between SFs are not needed.</w:t>
      </w:r>
    </w:p>
    <w:p>
      <w:pPr>
        <w:pStyle w:val="50"/>
        <w:rPr>
          <w:lang w:eastAsia="zh-CN"/>
        </w:rPr>
      </w:pPr>
      <w:r>
        <w:rPr>
          <w:rFonts w:hint="eastAsia"/>
          <w:lang w:eastAsia="zh-CN"/>
        </w:rPr>
        <w:t>Editor</w:t>
      </w:r>
      <w:r>
        <w:rPr>
          <w:lang w:eastAsia="zh-CN"/>
        </w:rPr>
        <w:t>’</w:t>
      </w:r>
      <w:r>
        <w:rPr>
          <w:rFonts w:hint="eastAsia"/>
          <w:lang w:eastAsia="zh-CN"/>
        </w:rPr>
        <w:t xml:space="preserve">s Note: More security requirements will be added depends on SA2 progress.  </w:t>
      </w:r>
    </w:p>
    <w:p>
      <w:pPr>
        <w:pStyle w:val="2"/>
      </w:pPr>
      <w:bookmarkStart w:id="56" w:name="_Toc80633893"/>
      <w:bookmarkStart w:id="57" w:name="_Toc211859883"/>
      <w:bookmarkStart w:id="58" w:name="_Toc107843134"/>
      <w:r>
        <w:t>6</w:t>
      </w:r>
      <w:r>
        <w:tab/>
      </w:r>
      <w:r>
        <w:t>Solutions</w:t>
      </w:r>
      <w:bookmarkEnd w:id="56"/>
      <w:bookmarkEnd w:id="57"/>
      <w:bookmarkEnd w:id="58"/>
    </w:p>
    <w:p>
      <w:pPr>
        <w:pStyle w:val="50"/>
      </w:pPr>
      <w:bookmarkStart w:id="59" w:name="_Toc80633894"/>
      <w:r>
        <w:t>Editor's Note: This clause contains the proposed solutions addressing the identified key issues.</w:t>
      </w:r>
    </w:p>
    <w:p>
      <w:pPr>
        <w:pStyle w:val="3"/>
        <w:rPr>
          <w:rFonts w:eastAsia="宋体"/>
        </w:rPr>
      </w:pPr>
      <w:bookmarkStart w:id="60" w:name="_Toc107843135"/>
      <w:bookmarkStart w:id="61" w:name="_Toc211859884"/>
      <w:r>
        <w:rPr>
          <w:rFonts w:eastAsia="宋体"/>
        </w:rPr>
        <w:t>6.0</w:t>
      </w:r>
      <w:r>
        <w:rPr>
          <w:rFonts w:eastAsia="宋体"/>
        </w:rPr>
        <w:tab/>
      </w:r>
      <w:r>
        <w:rPr>
          <w:rFonts w:eastAsia="宋体"/>
        </w:rPr>
        <w:t>Mapping of solutions to key issues</w:t>
      </w:r>
      <w:bookmarkEnd w:id="59"/>
      <w:bookmarkEnd w:id="60"/>
      <w:bookmarkEnd w:id="61"/>
    </w:p>
    <w:p>
      <w:pPr>
        <w:pStyle w:val="50"/>
      </w:pPr>
      <w:r>
        <w:t xml:space="preserve">Editor's Note: This clause contains a table mapping between key issues and solutions. </w:t>
      </w:r>
    </w:p>
    <w:p>
      <w:pPr>
        <w:pStyle w:val="51"/>
        <w:rPr>
          <w:rFonts w:eastAsia="宋体"/>
        </w:rPr>
      </w:pPr>
      <w:r>
        <w:rPr>
          <w:rFonts w:eastAsia="宋体"/>
        </w:rPr>
        <w:t>Table 6.1-1: Mapping of solutions to key issues</w:t>
      </w:r>
    </w:p>
    <w:tbl>
      <w:tblPr>
        <w:tblStyle w:val="27"/>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2"/>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宋体"/>
                <w:bCs/>
              </w:rPr>
            </w:pPr>
            <w:r>
              <w:rPr>
                <w:rFonts w:eastAsia="宋体"/>
                <w:bCs/>
              </w:rPr>
              <w:t>KI#1</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宋体"/>
                <w:bCs/>
              </w:rPr>
            </w:pPr>
            <w:r>
              <w:rPr>
                <w:rFonts w:eastAsia="宋体"/>
                <w:bCs/>
              </w:rPr>
              <w:t>KI#2</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宋体"/>
                <w:bCs/>
              </w:rPr>
            </w:pPr>
            <w:r>
              <w:rPr>
                <w:rFonts w:eastAsia="宋体"/>
                <w:bCs/>
              </w:rPr>
              <w:t>KI#</w:t>
            </w:r>
            <w:r>
              <w:rPr>
                <w:rFonts w:hint="eastAsia" w:eastAsia="宋体"/>
                <w:bCs/>
                <w:lang w:eastAsia="zh-CN"/>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宋体"/>
                <w:b/>
                <w:lang w:val="en-US" w:eastAsia="zh-CN"/>
              </w:rPr>
            </w:pPr>
            <w:r>
              <w:rPr>
                <w:rFonts w:hint="eastAsia" w:eastAsia="宋体"/>
                <w:b/>
                <w:lang w:val="en-US" w:eastAsia="zh-CN"/>
              </w:rPr>
              <w:t>#1.1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lang w:val="en-US" w:eastAsia="zh-CN"/>
              </w:rPr>
            </w:pPr>
            <w:r>
              <w:rPr>
                <w:rFonts w:hint="eastAsia" w:eastAsia="宋体"/>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宋体"/>
                <w:b/>
                <w:lang w:val="en-US" w:eastAsia="zh-CN"/>
              </w:rPr>
            </w:pPr>
            <w:r>
              <w:rPr>
                <w:rFonts w:hint="eastAsia" w:eastAsia="宋体"/>
                <w:b/>
                <w:lang w:val="en-US" w:eastAsia="zh-CN"/>
              </w:rPr>
              <w:t>#1.2</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lang w:val="en-US" w:eastAsia="zh-CN"/>
              </w:rPr>
            </w:pPr>
            <w:r>
              <w:rPr>
                <w:rFonts w:hint="eastAsia" w:eastAsia="宋体"/>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宋体"/>
                <w:b/>
                <w:bCs/>
                <w:lang w:val="en-US" w:eastAsia="zh-CN"/>
              </w:rPr>
            </w:pPr>
            <w:r>
              <w:rPr>
                <w:rFonts w:hint="eastAsia" w:eastAsia="宋体"/>
                <w:b/>
                <w:bCs/>
                <w:lang w:val="en-US" w:eastAsia="zh-CN"/>
              </w:rPr>
              <w:t>#1.3</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lang w:val="en-US" w:eastAsia="zh-CN"/>
              </w:rPr>
            </w:pPr>
            <w:r>
              <w:rPr>
                <w:rFonts w:hint="eastAsia" w:eastAsia="宋体"/>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宋体"/>
                <w:b/>
                <w:bCs/>
                <w:lang w:val="en-US" w:eastAsia="zh-CN"/>
              </w:rPr>
            </w:pPr>
            <w:r>
              <w:rPr>
                <w:rFonts w:hint="eastAsia" w:eastAsia="宋体"/>
                <w:b/>
                <w:bCs/>
                <w:lang w:val="en-US" w:eastAsia="zh-CN"/>
              </w:rPr>
              <w:t>#1.4</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lang w:val="en-US" w:eastAsia="zh-CN"/>
              </w:rPr>
            </w:pPr>
            <w:r>
              <w:rPr>
                <w:rFonts w:hint="eastAsia" w:eastAsia="宋体"/>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宋体"/>
                <w:b/>
                <w:bCs/>
                <w:lang w:val="en-US" w:eastAsia="zh-CN"/>
              </w:rPr>
            </w:pPr>
            <w:r>
              <w:rPr>
                <w:rFonts w:hint="eastAsia" w:eastAsia="宋体"/>
                <w:b/>
                <w:bCs/>
                <w:lang w:val="en-US" w:eastAsia="zh-CN"/>
              </w:rPr>
              <w:t>#1.5</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lang w:val="en-US" w:eastAsia="zh-CN"/>
              </w:rPr>
            </w:pPr>
            <w:r>
              <w:rPr>
                <w:rFonts w:hint="eastAsia" w:eastAsia="宋体"/>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宋体"/>
                <w:b/>
                <w:bCs/>
                <w:lang w:val="en-US" w:eastAsia="zh-CN"/>
              </w:rPr>
            </w:pPr>
            <w:r>
              <w:rPr>
                <w:rFonts w:hint="eastAsia" w:eastAsia="宋体"/>
                <w:b/>
                <w:bCs/>
                <w:lang w:val="en-US" w:eastAsia="zh-CN"/>
              </w:rPr>
              <w:t>#1.6</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lang w:val="en-US" w:eastAsia="zh-CN"/>
              </w:rPr>
            </w:pPr>
            <w:r>
              <w:rPr>
                <w:rFonts w:hint="eastAsia" w:eastAsia="宋体"/>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宋体"/>
                <w:b/>
                <w:bCs/>
                <w:lang w:val="en-US" w:eastAsia="zh-CN"/>
              </w:rPr>
            </w:pPr>
            <w:r>
              <w:rPr>
                <w:rFonts w:hint="eastAsia" w:eastAsia="宋体"/>
                <w:b/>
                <w:bCs/>
                <w:lang w:val="en-US" w:eastAsia="zh-CN"/>
              </w:rPr>
              <w:t>#1.7</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lang w:val="en-US" w:eastAsia="zh-CN"/>
              </w:rPr>
            </w:pPr>
            <w:r>
              <w:rPr>
                <w:rFonts w:hint="eastAsia" w:eastAsia="宋体"/>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宋体"/>
                <w:b/>
                <w:bCs/>
                <w:lang w:val="en-US" w:eastAsia="zh-CN"/>
              </w:rPr>
            </w:pPr>
            <w:r>
              <w:rPr>
                <w:rFonts w:hint="eastAsia" w:eastAsia="宋体"/>
                <w:b/>
                <w:bCs/>
                <w:lang w:val="en-US" w:eastAsia="zh-CN"/>
              </w:rPr>
              <w:t>#2.1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lang w:val="en-US" w:eastAsia="zh-CN"/>
              </w:rPr>
            </w:pPr>
            <w:r>
              <w:rPr>
                <w:rFonts w:hint="eastAsia" w:eastAsia="宋体"/>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宋体"/>
                <w:b/>
                <w:bCs/>
                <w:lang w:val="en-US" w:eastAsia="zh-CN"/>
              </w:rPr>
            </w:pPr>
            <w:r>
              <w:rPr>
                <w:rFonts w:hint="eastAsia" w:eastAsia="宋体"/>
                <w:b/>
                <w:bCs/>
                <w:lang w:val="en-US" w:eastAsia="zh-CN"/>
              </w:rPr>
              <w:t>#2.2</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lang w:val="en-US" w:eastAsia="zh-CN"/>
              </w:rPr>
            </w:pPr>
            <w:r>
              <w:rPr>
                <w:rFonts w:hint="eastAsia" w:eastAsia="宋体"/>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宋体"/>
                <w:b/>
                <w:bCs/>
                <w:lang w:val="en-US" w:eastAsia="zh-CN"/>
              </w:rPr>
            </w:pPr>
            <w:r>
              <w:rPr>
                <w:rFonts w:hint="eastAsia" w:eastAsia="宋体"/>
                <w:b/>
                <w:bCs/>
                <w:lang w:val="en-US" w:eastAsia="zh-CN"/>
              </w:rPr>
              <w:t>#2.3</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lang w:val="en-US" w:eastAsia="zh-CN"/>
              </w:rPr>
            </w:pPr>
            <w:r>
              <w:rPr>
                <w:rFonts w:hint="eastAsia" w:eastAsia="宋体"/>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宋体"/>
              </w:rPr>
            </w:pPr>
          </w:p>
        </w:tc>
      </w:tr>
    </w:tbl>
    <w:p/>
    <w:p>
      <w:pPr>
        <w:pStyle w:val="3"/>
        <w:rPr>
          <w:rFonts w:cs="Arial"/>
          <w:sz w:val="28"/>
          <w:szCs w:val="28"/>
          <w:lang w:val="en-US" w:eastAsia="zh-CN"/>
        </w:rPr>
      </w:pPr>
      <w:bookmarkStart w:id="62" w:name="_Toc211859885"/>
      <w:bookmarkStart w:id="63" w:name="_Toc107843136"/>
      <w:r>
        <w:t>6.</w:t>
      </w:r>
      <w:r>
        <w:rPr>
          <w:rFonts w:hint="eastAsia"/>
          <w:lang w:val="en-US" w:eastAsia="zh-CN"/>
        </w:rPr>
        <w:t>1</w:t>
      </w:r>
      <w:r>
        <w:tab/>
      </w:r>
      <w:r>
        <w:t>Solutions to KI#</w:t>
      </w:r>
      <w:r>
        <w:rPr>
          <w:rFonts w:hint="eastAsia"/>
          <w:lang w:val="en-US" w:eastAsia="zh-CN"/>
        </w:rPr>
        <w:t>1</w:t>
      </w:r>
      <w:bookmarkEnd w:id="62"/>
    </w:p>
    <w:p>
      <w:pPr>
        <w:pStyle w:val="4"/>
      </w:pPr>
      <w:bookmarkStart w:id="64" w:name="_Toc211859886"/>
      <w:bookmarkStart w:id="65" w:name="_Toc207641903"/>
      <w:bookmarkStart w:id="66" w:name="_Toc102752618"/>
      <w:r>
        <w:t>6.</w:t>
      </w:r>
      <w:r>
        <w:rPr>
          <w:rFonts w:hint="eastAsia"/>
          <w:lang w:val="en-US" w:eastAsia="zh-CN"/>
        </w:rPr>
        <w:t>1.1</w:t>
      </w:r>
      <w:r>
        <w:tab/>
      </w:r>
      <w:r>
        <w:t>Solution #</w:t>
      </w:r>
      <w:r>
        <w:rPr>
          <w:rFonts w:hint="eastAsia"/>
          <w:lang w:val="en-US" w:eastAsia="zh-CN"/>
        </w:rPr>
        <w:t>1.1</w:t>
      </w:r>
      <w:r>
        <w:t xml:space="preserve">: </w:t>
      </w:r>
      <w:r>
        <w:rPr>
          <w:rFonts w:hint="eastAsia"/>
          <w:lang w:val="en-US" w:eastAsia="zh-CN"/>
        </w:rPr>
        <w:t>Authorization for sensing service request from AF</w:t>
      </w:r>
      <w:bookmarkEnd w:id="64"/>
      <w:bookmarkEnd w:id="65"/>
      <w:bookmarkEnd w:id="66"/>
    </w:p>
    <w:p>
      <w:pPr>
        <w:pStyle w:val="5"/>
      </w:pPr>
      <w:bookmarkStart w:id="67" w:name="_Toc211859887"/>
      <w:r>
        <w:t>6.</w:t>
      </w:r>
      <w:r>
        <w:rPr>
          <w:rFonts w:hint="eastAsia"/>
          <w:lang w:val="en-US" w:eastAsia="zh-CN"/>
        </w:rPr>
        <w:t>1.1</w:t>
      </w:r>
      <w:r>
        <w:t>.1</w:t>
      </w:r>
      <w:r>
        <w:tab/>
      </w:r>
      <w:r>
        <w:t>Introduction</w:t>
      </w:r>
      <w:bookmarkEnd w:id="67"/>
    </w:p>
    <w:p>
      <w:pPr>
        <w:pStyle w:val="50"/>
        <w:ind w:left="0" w:firstLine="0"/>
        <w:rPr>
          <w:color w:val="auto"/>
          <w:lang w:val="en-US" w:eastAsia="zh-CN"/>
        </w:rPr>
      </w:pPr>
      <w:r>
        <w:rPr>
          <w:rFonts w:hint="eastAsia"/>
          <w:color w:val="auto"/>
          <w:lang w:val="en-US" w:eastAsia="zh-CN"/>
        </w:rPr>
        <w:t xml:space="preserve">This solution addresses </w:t>
      </w:r>
      <w:r>
        <w:rPr>
          <w:color w:val="auto"/>
        </w:rPr>
        <w:t>Key Issue #</w:t>
      </w:r>
      <w:r>
        <w:rPr>
          <w:color w:val="auto"/>
          <w:lang w:eastAsia="zh-CN"/>
        </w:rPr>
        <w:t>1</w:t>
      </w:r>
      <w:r>
        <w:rPr>
          <w:color w:val="auto"/>
        </w:rPr>
        <w:t xml:space="preserve">: Security of authorization for sensing service </w:t>
      </w:r>
      <w:r>
        <w:rPr>
          <w:rFonts w:hint="eastAsia"/>
          <w:color w:val="auto"/>
          <w:lang w:eastAsia="zh-CN"/>
        </w:rPr>
        <w:t>invocation and revocation</w:t>
      </w:r>
      <w:r>
        <w:rPr>
          <w:rFonts w:hint="eastAsia"/>
          <w:color w:val="auto"/>
          <w:lang w:val="en-US" w:eastAsia="zh-CN"/>
        </w:rPr>
        <w:t>.</w:t>
      </w:r>
    </w:p>
    <w:p>
      <w:pPr>
        <w:pStyle w:val="50"/>
        <w:ind w:left="0" w:firstLine="0"/>
        <w:rPr>
          <w:color w:val="auto"/>
          <w:lang w:val="en-US" w:eastAsia="zh-CN"/>
        </w:rPr>
      </w:pPr>
      <w:r>
        <w:rPr>
          <w:rFonts w:hint="eastAsia"/>
          <w:color w:val="auto"/>
          <w:lang w:val="en-US" w:eastAsia="zh-CN"/>
        </w:rPr>
        <w:t>In this solution, the sensing service consumer is assumed to be an external AF. The NEF performs the access authorization by verifying the AF's identity, and the SF performs the service authorization by validating the feasibility and policy compliance of the specific sensing request parameters against network capabilities and operator rules.</w:t>
      </w:r>
    </w:p>
    <w:p>
      <w:pPr>
        <w:pStyle w:val="50"/>
        <w:ind w:left="0" w:firstLine="0"/>
        <w:rPr>
          <w:lang w:val="en-US" w:eastAsia="zh-CN"/>
        </w:rPr>
      </w:pPr>
      <w:r>
        <w:rPr>
          <w:rFonts w:hint="eastAsia"/>
          <w:lang w:val="en-US" w:eastAsia="zh-CN"/>
        </w:rPr>
        <w:t>Editor</w:t>
      </w:r>
      <w:r>
        <w:rPr>
          <w:lang w:val="en-US" w:eastAsia="zh-CN"/>
        </w:rPr>
        <w:t>’</w:t>
      </w:r>
      <w:r>
        <w:rPr>
          <w:rFonts w:hint="eastAsia"/>
          <w:lang w:val="en-US" w:eastAsia="zh-CN"/>
        </w:rPr>
        <w:t>s Note: Whether this solution is applicable only for external AF is FFS.</w:t>
      </w:r>
    </w:p>
    <w:p>
      <w:pPr>
        <w:pStyle w:val="50"/>
        <w:ind w:left="0" w:firstLine="0"/>
        <w:rPr>
          <w:lang w:val="en-US" w:eastAsia="zh-CN"/>
        </w:rPr>
      </w:pPr>
    </w:p>
    <w:p>
      <w:pPr>
        <w:pStyle w:val="5"/>
      </w:pPr>
      <w:bookmarkStart w:id="68" w:name="_Toc211859888"/>
      <w:r>
        <w:t>6.</w:t>
      </w:r>
      <w:r>
        <w:rPr>
          <w:rFonts w:hint="eastAsia"/>
          <w:lang w:val="en-US" w:eastAsia="zh-CN"/>
        </w:rPr>
        <w:t>1.1</w:t>
      </w:r>
      <w:r>
        <w:t>.2</w:t>
      </w:r>
      <w:r>
        <w:tab/>
      </w:r>
      <w:r>
        <w:t>Solution details</w:t>
      </w:r>
      <w:bookmarkEnd w:id="68"/>
    </w:p>
    <w:p>
      <w:pPr>
        <w:rPr>
          <w:lang w:eastAsia="zh-CN"/>
        </w:rPr>
      </w:pPr>
      <w:r>
        <w:rPr>
          <w:rFonts w:hint="eastAsia"/>
          <w:lang w:val="en-US" w:eastAsia="zh-CN"/>
        </w:rPr>
        <w:t xml:space="preserve">This solution proposes mutual certificate-based authentication between the NEF and the external AF/sensing service consumer using TLS. </w:t>
      </w:r>
      <w:r>
        <w:rPr>
          <w:lang w:eastAsia="zh-CN"/>
        </w:rPr>
        <w:t>Certificate based authentication follow</w:t>
      </w:r>
      <w:r>
        <w:rPr>
          <w:rFonts w:hint="eastAsia"/>
          <w:lang w:val="en-US" w:eastAsia="zh-CN"/>
        </w:rPr>
        <w:t>s</w:t>
      </w:r>
      <w:r>
        <w:rPr>
          <w:lang w:eastAsia="zh-CN"/>
        </w:rPr>
        <w:t xml:space="preserve"> the profiles given in 3GPP TS </w:t>
      </w:r>
      <w:r>
        <w:rPr>
          <w:rFonts w:hint="eastAsia"/>
          <w:lang w:val="en-US" w:eastAsia="zh-CN"/>
        </w:rPr>
        <w:t>33.</w:t>
      </w:r>
      <w:r>
        <w:rPr>
          <w:lang w:val="en-US" w:eastAsia="zh-CN"/>
        </w:rPr>
        <w:t>3</w:t>
      </w:r>
      <w:r>
        <w:rPr>
          <w:rFonts w:hint="eastAsia"/>
          <w:lang w:val="en-US" w:eastAsia="zh-CN"/>
        </w:rPr>
        <w:t xml:space="preserve">10 [6], clause </w:t>
      </w:r>
      <w:r>
        <w:rPr>
          <w:lang w:val="en-US" w:eastAsia="zh-CN"/>
        </w:rPr>
        <w:t>6.1.3a</w:t>
      </w:r>
      <w:r>
        <w:rPr>
          <w:lang w:eastAsia="zh-CN"/>
        </w:rPr>
        <w:t xml:space="preserve">. The identities in the end entity certificates </w:t>
      </w:r>
      <w:r>
        <w:rPr>
          <w:rFonts w:hint="eastAsia"/>
          <w:lang w:val="en-US" w:eastAsia="zh-CN"/>
        </w:rPr>
        <w:t>is</w:t>
      </w:r>
      <w:r>
        <w:rPr>
          <w:lang w:eastAsia="zh-CN"/>
        </w:rPr>
        <w:t xml:space="preserve"> used for authentication and policy checks.</w:t>
      </w:r>
    </w:p>
    <w:p>
      <w:pPr>
        <w:rPr>
          <w:lang w:eastAsia="zh-CN"/>
        </w:rPr>
      </w:pPr>
      <w:r>
        <w:rPr>
          <w:rFonts w:hint="eastAsia"/>
          <w:lang w:val="en-US" w:eastAsia="zh-CN"/>
        </w:rPr>
        <w:t xml:space="preserve">For the protection of communication between AF/sensing service consumer and NEF, </w:t>
      </w:r>
      <w:r>
        <w:rPr>
          <w:lang w:eastAsia="zh-CN"/>
        </w:rPr>
        <w:t xml:space="preserve">TLS </w:t>
      </w:r>
      <w:r>
        <w:rPr>
          <w:rFonts w:hint="eastAsia"/>
          <w:lang w:val="en-US" w:eastAsia="zh-CN"/>
        </w:rPr>
        <w:t>is</w:t>
      </w:r>
      <w:r>
        <w:rPr>
          <w:lang w:eastAsia="zh-CN"/>
        </w:rPr>
        <w:t xml:space="preserve"> used to provide integrity protection, replay protection and confidentiality protection for the interface between the NEF and the AF</w:t>
      </w:r>
      <w:r>
        <w:rPr>
          <w:rFonts w:hint="eastAsia"/>
          <w:lang w:val="en-US" w:eastAsia="zh-CN"/>
        </w:rPr>
        <w:t>/sensing service consumer</w:t>
      </w:r>
      <w:r>
        <w:rPr>
          <w:lang w:eastAsia="zh-CN"/>
        </w:rPr>
        <w:t xml:space="preserve">. Security profiles for TLS implementation and usage follow the provisions given in </w:t>
      </w:r>
      <w:r>
        <w:t>clause 6.2 of TS 33.210 [</w:t>
      </w:r>
      <w:r>
        <w:rPr>
          <w:rFonts w:hint="eastAsia"/>
          <w:lang w:val="en-US" w:eastAsia="zh-CN"/>
        </w:rPr>
        <w:t>7</w:t>
      </w:r>
      <w:r>
        <w:t>]</w:t>
      </w:r>
      <w:r>
        <w:rPr>
          <w:lang w:eastAsia="zh-CN"/>
        </w:rPr>
        <w:t>.</w:t>
      </w:r>
    </w:p>
    <w:p>
      <w:pPr>
        <w:rPr>
          <w:lang w:val="en-US" w:eastAsia="zh-CN"/>
        </w:rPr>
      </w:pPr>
      <w:r>
        <w:rPr>
          <w:lang w:eastAsia="zh-CN"/>
        </w:rPr>
        <w:t>After the authentication</w:t>
      </w:r>
      <w:r>
        <w:rPr>
          <w:rFonts w:hint="eastAsia"/>
          <w:lang w:val="en-US" w:eastAsia="zh-CN"/>
        </w:rPr>
        <w:t>, the following procedures are used for authorizing sensing service request.</w:t>
      </w:r>
    </w:p>
    <w:p>
      <w:pPr>
        <w:rPr>
          <w:rFonts w:eastAsia="宋体"/>
          <w:lang w:val="en-US" w:eastAsia="zh-CN"/>
        </w:rPr>
      </w:pPr>
    </w:p>
    <w:p>
      <w:pPr>
        <w:rPr>
          <w:b/>
          <w:bCs/>
          <w:lang w:val="en-US" w:eastAsia="zh-CN"/>
        </w:rPr>
      </w:pPr>
    </w:p>
    <w:p>
      <w:pPr>
        <w:rPr>
          <w:b/>
          <w:bCs/>
          <w:lang w:val="en-US" w:eastAsia="zh-CN"/>
        </w:rPr>
      </w:pPr>
    </w:p>
    <w:p>
      <w:pPr>
        <w:rPr>
          <w:lang w:val="en-US" w:eastAsia="zh-CN"/>
        </w:rPr>
      </w:pPr>
    </w:p>
    <w:p>
      <w:pPr>
        <w:rPr>
          <w:lang w:val="en-US" w:eastAsia="zh-CN"/>
        </w:rPr>
      </w:pPr>
    </w:p>
    <w:p>
      <w:pPr>
        <w:pStyle w:val="49"/>
        <w:ind w:left="400" w:hanging="400"/>
        <w:jc w:val="center"/>
        <w:rPr>
          <w:lang w:val="en-US" w:eastAsia="zh-CN"/>
        </w:rPr>
      </w:pPr>
      <w:r>
        <w:rPr>
          <w:rFonts w:hint="eastAsia"/>
          <w:lang w:val="en-US" w:eastAsia="zh-CN"/>
        </w:rPr>
        <w:object>
          <v:shape id="_x0000_i1025" o:spt="75" type="#_x0000_t75" style="height:249.25pt;width:392.1pt;" o:ole="t" filled="f" o:preferrelative="t" stroked="f" coordsize="21600,21600">
            <v:path/>
            <v:fill on="f" focussize="0,0"/>
            <v:stroke on="f" joinstyle="miter"/>
            <v:imagedata r:id="rId10" o:title=""/>
            <o:lock v:ext="edit" aspectratio="f"/>
            <w10:wrap type="none"/>
            <w10:anchorlock/>
          </v:shape>
          <o:OLEObject Type="Embed" ProgID="Visio.Drawing.15" ShapeID="_x0000_i1025" DrawAspect="Content" ObjectID="_1468075725" r:id="rId9">
            <o:LockedField>false</o:LockedField>
          </o:OLEObject>
        </w:object>
      </w:r>
    </w:p>
    <w:p>
      <w:pPr>
        <w:pStyle w:val="19"/>
        <w:jc w:val="center"/>
        <w:rPr>
          <w:rFonts w:ascii="Arial" w:hAnsi="Arial" w:cs="Arial"/>
          <w:lang w:val="en-US" w:eastAsia="zh-CN"/>
        </w:rPr>
      </w:pPr>
      <w:r>
        <w:rPr>
          <w:rFonts w:ascii="Arial" w:hAnsi="Arial" w:cs="Arial"/>
          <w:lang w:val="en-US" w:eastAsia="zh-CN"/>
        </w:rPr>
        <w:t>Figure 6.</w:t>
      </w:r>
      <w:r>
        <w:rPr>
          <w:rFonts w:hint="eastAsia" w:ascii="Arial" w:hAnsi="Arial" w:cs="Arial"/>
          <w:lang w:val="en-US" w:eastAsia="zh-CN"/>
        </w:rPr>
        <w:t>1.1</w:t>
      </w:r>
      <w:r>
        <w:rPr>
          <w:rFonts w:ascii="Arial" w:hAnsi="Arial" w:cs="Arial"/>
          <w:lang w:val="en-US" w:eastAsia="zh-CN"/>
        </w:rPr>
        <w:t>.2-1: Procedure for sensing service authorization</w:t>
      </w:r>
    </w:p>
    <w:p>
      <w:pPr>
        <w:numPr>
          <w:ilvl w:val="0"/>
          <w:numId w:val="2"/>
        </w:numPr>
        <w:rPr>
          <w:rFonts w:eastAsia="宋体"/>
          <w:lang w:val="en-US" w:eastAsia="zh-CN"/>
        </w:rPr>
      </w:pPr>
      <w:r>
        <w:rPr>
          <w:rFonts w:hint="eastAsia" w:eastAsia="宋体"/>
          <w:lang w:val="en-US" w:eastAsia="zh-CN"/>
        </w:rPr>
        <w:t>The AF sends sensing service request message to the NEF. The message includes AF ID, OAuth 2.0 token, and sensing service related parameters (e.g., target sensing area, sensing time, sensing accuracy, etc).</w:t>
      </w:r>
    </w:p>
    <w:p>
      <w:pPr>
        <w:pStyle w:val="50"/>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 Details of the sensing service related parameters are FFS.</w:t>
      </w:r>
    </w:p>
    <w:p>
      <w:pPr>
        <w:numPr>
          <w:ilvl w:val="0"/>
          <w:numId w:val="2"/>
        </w:numPr>
        <w:rPr>
          <w:rFonts w:eastAsia="宋体"/>
          <w:lang w:val="en-US" w:eastAsia="zh-CN"/>
        </w:rPr>
      </w:pPr>
      <w:r>
        <w:rPr>
          <w:rFonts w:hint="eastAsia" w:eastAsia="宋体"/>
          <w:lang w:val="en-US" w:eastAsia="zh-CN"/>
        </w:rPr>
        <w:t>NEF performs the authorization check for the sensing service request. This includes:</w:t>
      </w:r>
    </w:p>
    <w:p>
      <w:pPr>
        <w:numPr>
          <w:ilvl w:val="255"/>
          <w:numId w:val="0"/>
        </w:numPr>
        <w:ind w:firstLine="284"/>
        <w:rPr>
          <w:rFonts w:eastAsia="宋体"/>
          <w:lang w:val="en-US" w:eastAsia="zh-CN"/>
        </w:rPr>
      </w:pPr>
      <w:r>
        <w:rPr>
          <w:rFonts w:hint="eastAsia" w:eastAsia="宋体"/>
          <w:lang w:val="en-US" w:eastAsia="zh-CN"/>
        </w:rPr>
        <w:t>- v</w:t>
      </w:r>
      <w:r>
        <w:rPr>
          <w:rFonts w:eastAsia="宋体"/>
          <w:lang w:val="en-US" w:eastAsia="zh-CN"/>
        </w:rPr>
        <w:t xml:space="preserve">alidating the OAuth 2.0 token </w:t>
      </w:r>
      <w:r>
        <w:rPr>
          <w:rFonts w:hint="eastAsia" w:eastAsia="宋体"/>
          <w:lang w:val="en-US" w:eastAsia="zh-CN"/>
        </w:rPr>
        <w:t>presented by</w:t>
      </w:r>
      <w:r>
        <w:rPr>
          <w:rFonts w:eastAsia="宋体"/>
          <w:lang w:val="en-US" w:eastAsia="zh-CN"/>
        </w:rPr>
        <w:t xml:space="preserve"> the AF</w:t>
      </w:r>
      <w:r>
        <w:rPr>
          <w:rFonts w:hint="eastAsia" w:eastAsia="宋体"/>
          <w:lang w:val="en-US" w:eastAsia="zh-CN"/>
        </w:rPr>
        <w:t>; and</w:t>
      </w:r>
    </w:p>
    <w:p>
      <w:pPr>
        <w:numPr>
          <w:ilvl w:val="255"/>
          <w:numId w:val="0"/>
        </w:numPr>
        <w:ind w:firstLine="284"/>
        <w:rPr>
          <w:rFonts w:eastAsia="宋体"/>
          <w:lang w:val="en-US" w:eastAsia="zh-CN"/>
        </w:rPr>
      </w:pPr>
      <w:r>
        <w:rPr>
          <w:rFonts w:hint="eastAsia" w:eastAsia="宋体"/>
          <w:lang w:val="en-US" w:eastAsia="zh-CN"/>
        </w:rPr>
        <w:t>- c</w:t>
      </w:r>
      <w:r>
        <w:rPr>
          <w:rFonts w:eastAsia="宋体"/>
          <w:lang w:val="en-US" w:eastAsia="zh-CN"/>
        </w:rPr>
        <w:t xml:space="preserve">hecking the AF's subscription profile to verify that the AF is entitled to request the </w:t>
      </w:r>
      <w:r>
        <w:rPr>
          <w:rFonts w:hint="eastAsia" w:eastAsia="宋体"/>
          <w:lang w:val="en-US" w:eastAsia="zh-CN"/>
        </w:rPr>
        <w:t>s</w:t>
      </w:r>
      <w:r>
        <w:rPr>
          <w:rFonts w:eastAsia="宋体"/>
          <w:lang w:val="en-US" w:eastAsia="zh-CN"/>
        </w:rPr>
        <w:t xml:space="preserve">ensing </w:t>
      </w:r>
      <w:r>
        <w:rPr>
          <w:rFonts w:hint="eastAsia" w:eastAsia="宋体"/>
          <w:lang w:val="en-US" w:eastAsia="zh-CN"/>
        </w:rPr>
        <w:t>s</w:t>
      </w:r>
      <w:r>
        <w:rPr>
          <w:rFonts w:eastAsia="宋体"/>
          <w:lang w:val="en-US" w:eastAsia="zh-CN"/>
        </w:rPr>
        <w:t>ervice.</w:t>
      </w:r>
    </w:p>
    <w:p>
      <w:pPr>
        <w:numPr>
          <w:ilvl w:val="255"/>
          <w:numId w:val="0"/>
        </w:numPr>
        <w:ind w:firstLine="284"/>
        <w:rPr>
          <w:rFonts w:eastAsia="宋体"/>
          <w:lang w:val="en-US" w:eastAsia="zh-CN"/>
        </w:rPr>
      </w:pPr>
      <w:r>
        <w:rPr>
          <w:rFonts w:hint="eastAsia" w:eastAsia="宋体"/>
          <w:lang w:val="en-US" w:eastAsia="zh-CN"/>
        </w:rPr>
        <w:t>If the check fails, the NEF rejects the request with a failure cause.</w:t>
      </w:r>
    </w:p>
    <w:p>
      <w:pPr>
        <w:numPr>
          <w:ilvl w:val="0"/>
          <w:numId w:val="2"/>
        </w:numPr>
        <w:rPr>
          <w:rFonts w:eastAsia="宋体"/>
          <w:lang w:val="en-US" w:eastAsia="zh-CN"/>
        </w:rPr>
      </w:pPr>
      <w:r>
        <w:rPr>
          <w:rFonts w:eastAsia="等线"/>
        </w:rPr>
        <w:t>If the AF is authorized by the NEF to request</w:t>
      </w:r>
      <w:r>
        <w:rPr>
          <w:rFonts w:hint="eastAsia" w:eastAsia="等线"/>
          <w:lang w:val="en-US" w:eastAsia="zh-CN"/>
        </w:rPr>
        <w:t xml:space="preserve"> for sensing service, the NEF discovers and selects the SF</w:t>
      </w:r>
      <w:r>
        <w:rPr>
          <w:rFonts w:hint="eastAsia" w:eastAsia="宋体"/>
          <w:lang w:val="en-US" w:eastAsia="zh-CN"/>
        </w:rPr>
        <w:t xml:space="preserve">, and </w:t>
      </w:r>
      <w:r>
        <w:rPr>
          <w:rFonts w:eastAsia="宋体"/>
        </w:rPr>
        <w:t xml:space="preserve">sends the </w:t>
      </w:r>
      <w:r>
        <w:rPr>
          <w:rFonts w:hint="eastAsia" w:eastAsia="宋体"/>
          <w:lang w:val="en-US" w:eastAsia="zh-CN"/>
        </w:rPr>
        <w:t>Sensing service r</w:t>
      </w:r>
      <w:r>
        <w:rPr>
          <w:rFonts w:eastAsia="宋体"/>
        </w:rPr>
        <w:t>equest message to the</w:t>
      </w:r>
      <w:r>
        <w:rPr>
          <w:rFonts w:hint="eastAsia" w:eastAsia="宋体"/>
          <w:lang w:val="en-US" w:eastAsia="zh-CN"/>
        </w:rPr>
        <w:t xml:space="preserve"> SF. This message includes sensing service related parameters.</w:t>
      </w:r>
    </w:p>
    <w:p>
      <w:pPr>
        <w:numPr>
          <w:ilvl w:val="0"/>
          <w:numId w:val="2"/>
        </w:numPr>
        <w:rPr>
          <w:rFonts w:eastAsia="宋体"/>
          <w:lang w:val="en-US" w:eastAsia="zh-CN"/>
        </w:rPr>
      </w:pPr>
      <w:r>
        <w:rPr>
          <w:rFonts w:hint="eastAsia" w:eastAsia="宋体"/>
          <w:lang w:val="en-US" w:eastAsia="zh-CN"/>
        </w:rPr>
        <w:t>The SF performs sensing service authorization based on the sensing service related parameters. Specifically, this includes:</w:t>
      </w:r>
    </w:p>
    <w:p>
      <w:pPr>
        <w:numPr>
          <w:ilvl w:val="255"/>
          <w:numId w:val="0"/>
        </w:numPr>
        <w:ind w:firstLine="284"/>
        <w:rPr>
          <w:rFonts w:eastAsia="宋体"/>
          <w:lang w:val="en-US" w:eastAsia="zh-CN"/>
        </w:rPr>
      </w:pPr>
      <w:r>
        <w:rPr>
          <w:rFonts w:hint="eastAsia" w:eastAsia="宋体"/>
          <w:lang w:val="en-US" w:eastAsia="zh-CN"/>
        </w:rPr>
        <w:t>- validating the sensing service related parameters against operator-defined service policies (e.g., restricted zones, restricted time); and</w:t>
      </w:r>
    </w:p>
    <w:p>
      <w:pPr>
        <w:numPr>
          <w:ilvl w:val="255"/>
          <w:numId w:val="0"/>
        </w:numPr>
        <w:ind w:firstLine="284"/>
        <w:rPr>
          <w:rFonts w:eastAsia="宋体"/>
          <w:lang w:val="en-US" w:eastAsia="zh-CN"/>
        </w:rPr>
      </w:pPr>
      <w:r>
        <w:rPr>
          <w:rFonts w:hint="eastAsia" w:eastAsia="宋体"/>
          <w:lang w:val="en-US" w:eastAsia="zh-CN"/>
        </w:rPr>
        <w:t>- checking if the network has available resources to fulfill the request.</w:t>
      </w:r>
    </w:p>
    <w:p>
      <w:pPr>
        <w:numPr>
          <w:ilvl w:val="255"/>
          <w:numId w:val="0"/>
        </w:numPr>
        <w:ind w:firstLine="284"/>
        <w:rPr>
          <w:rFonts w:eastAsia="宋体"/>
          <w:lang w:val="en-US" w:eastAsia="zh-CN"/>
        </w:rPr>
      </w:pPr>
      <w:r>
        <w:rPr>
          <w:rFonts w:hint="eastAsia" w:eastAsia="宋体"/>
          <w:lang w:val="en-US" w:eastAsia="zh-CN"/>
        </w:rPr>
        <w:t>If the authorization fails, the SF rejects the request with a failure cause. The reject message is sent to AF via NEF.</w:t>
      </w:r>
    </w:p>
    <w:p>
      <w:pPr>
        <w:pStyle w:val="50"/>
        <w:rPr>
          <w:lang w:val="en-US" w:eastAsia="zh-CN"/>
        </w:rPr>
      </w:pPr>
      <w:r>
        <w:rPr>
          <w:rFonts w:hint="eastAsia"/>
          <w:lang w:val="en-US" w:eastAsia="zh-CN"/>
        </w:rPr>
        <w:t>Editor</w:t>
      </w:r>
      <w:r>
        <w:rPr>
          <w:lang w:val="en-US" w:eastAsia="zh-CN"/>
        </w:rPr>
        <w:t>’</w:t>
      </w:r>
      <w:r>
        <w:rPr>
          <w:rFonts w:hint="eastAsia"/>
          <w:lang w:val="en-US" w:eastAsia="zh-CN"/>
        </w:rPr>
        <w:t>s note: Other validations performed by SF for sensing service authorization are FFS.</w:t>
      </w:r>
    </w:p>
    <w:p>
      <w:pPr>
        <w:numPr>
          <w:ilvl w:val="0"/>
          <w:numId w:val="2"/>
        </w:numPr>
        <w:rPr>
          <w:rFonts w:eastAsia="宋体"/>
          <w:lang w:val="en-US" w:eastAsia="zh-CN"/>
        </w:rPr>
      </w:pPr>
      <w:r>
        <w:rPr>
          <w:rFonts w:hint="eastAsia" w:eastAsia="宋体"/>
          <w:lang w:val="en-US" w:eastAsia="zh-CN"/>
        </w:rPr>
        <w:t>After successful authorization, the SF proceeds to execute the sensing service.</w:t>
      </w:r>
    </w:p>
    <w:p>
      <w:pPr>
        <w:numPr>
          <w:ilvl w:val="255"/>
          <w:numId w:val="0"/>
        </w:numPr>
        <w:rPr>
          <w:rFonts w:eastAsia="宋体"/>
          <w:lang w:val="en-US" w:eastAsia="zh-CN"/>
        </w:rPr>
      </w:pPr>
      <w:r>
        <w:rPr>
          <w:rFonts w:hint="eastAsia" w:eastAsia="宋体"/>
          <w:lang w:val="en-US" w:eastAsia="zh-CN"/>
        </w:rPr>
        <w:t>6-7. The SF provides sensing results in sensing service response to the AF via NEF.</w:t>
      </w:r>
    </w:p>
    <w:p>
      <w:pPr>
        <w:pStyle w:val="50"/>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 Details of the procedures are to be aligned with TR 23.700-14 [2].</w:t>
      </w:r>
    </w:p>
    <w:p>
      <w:pPr>
        <w:pStyle w:val="49"/>
        <w:numPr>
          <w:ilvl w:val="255"/>
          <w:numId w:val="0"/>
        </w:numPr>
        <w:rPr>
          <w:lang w:val="en-US" w:eastAsia="zh-CN"/>
        </w:rPr>
      </w:pPr>
    </w:p>
    <w:p>
      <w:pPr>
        <w:pStyle w:val="5"/>
      </w:pPr>
      <w:bookmarkStart w:id="69" w:name="_Toc211859889"/>
      <w:r>
        <w:t>6.</w:t>
      </w:r>
      <w:r>
        <w:rPr>
          <w:rFonts w:hint="eastAsia"/>
          <w:lang w:val="en-US" w:eastAsia="zh-CN"/>
        </w:rPr>
        <w:t>1.1</w:t>
      </w:r>
      <w:r>
        <w:t>.3</w:t>
      </w:r>
      <w:r>
        <w:tab/>
      </w:r>
      <w:r>
        <w:t>Evaluation</w:t>
      </w:r>
      <w:bookmarkEnd w:id="69"/>
    </w:p>
    <w:p>
      <w:pPr>
        <w:rPr>
          <w:rFonts w:eastAsia="宋体"/>
          <w:iCs/>
          <w:lang w:val="en-US" w:eastAsia="zh-CN"/>
        </w:rPr>
      </w:pPr>
      <w:r>
        <w:rPr>
          <w:rFonts w:hint="eastAsia"/>
          <w:iCs/>
          <w:lang w:val="en-US" w:eastAsia="zh-CN"/>
        </w:rPr>
        <w:t>TBD</w:t>
      </w:r>
    </w:p>
    <w:p>
      <w:pPr>
        <w:rPr>
          <w:lang w:val="en-US"/>
        </w:rPr>
      </w:pPr>
    </w:p>
    <w:p>
      <w:pPr>
        <w:pStyle w:val="4"/>
      </w:pPr>
      <w:bookmarkStart w:id="70" w:name="_Toc207629981"/>
      <w:bookmarkStart w:id="71" w:name="_Toc211859890"/>
      <w:r>
        <w:t>6.</w:t>
      </w:r>
      <w:r>
        <w:rPr>
          <w:highlight w:val="none"/>
          <w:lang w:val="en-US" w:eastAsia="zh-CN"/>
        </w:rPr>
        <w:t>1.2</w:t>
      </w:r>
      <w:r>
        <w:tab/>
      </w:r>
      <w:r>
        <w:t>Solution #</w:t>
      </w:r>
      <w:r>
        <w:rPr>
          <w:rFonts w:hint="eastAsia"/>
          <w:lang w:val="en-US" w:eastAsia="zh-CN"/>
        </w:rPr>
        <w:t>1.2</w:t>
      </w:r>
      <w:r>
        <w:t xml:space="preserve">: </w:t>
      </w:r>
      <w:bookmarkEnd w:id="70"/>
      <w:r>
        <w:t>Authorization for Sensing Service</w:t>
      </w:r>
      <w:bookmarkEnd w:id="71"/>
    </w:p>
    <w:p>
      <w:pPr>
        <w:pStyle w:val="5"/>
      </w:pPr>
      <w:bookmarkStart w:id="72" w:name="_Toc211859891"/>
      <w:bookmarkStart w:id="73" w:name="_Toc207629982"/>
      <w:r>
        <w:t>6.</w:t>
      </w:r>
      <w:r>
        <w:rPr>
          <w:rFonts w:hint="eastAsia"/>
          <w:lang w:val="en-US" w:eastAsia="zh-CN"/>
        </w:rPr>
        <w:t>1.2</w:t>
      </w:r>
      <w:r>
        <w:t>.1</w:t>
      </w:r>
      <w:r>
        <w:tab/>
      </w:r>
      <w:r>
        <w:t>Introduction</w:t>
      </w:r>
      <w:bookmarkEnd w:id="72"/>
      <w:bookmarkEnd w:id="73"/>
    </w:p>
    <w:p>
      <w:pPr>
        <w:overflowPunct w:val="0"/>
        <w:autoSpaceDE w:val="0"/>
        <w:autoSpaceDN w:val="0"/>
        <w:adjustRightInd w:val="0"/>
        <w:textAlignment w:val="baseline"/>
        <w:rPr>
          <w:lang w:eastAsia="zh-CN"/>
        </w:rPr>
      </w:pPr>
      <w:r>
        <w:rPr>
          <w:rFonts w:hint="eastAsia"/>
          <w:lang w:eastAsia="zh-CN"/>
        </w:rPr>
        <w:t>T</w:t>
      </w:r>
      <w:r>
        <w:rPr>
          <w:lang w:eastAsia="zh-CN"/>
        </w:rPr>
        <w:t xml:space="preserve">his solution addresses requirements of key issue #1. </w:t>
      </w:r>
    </w:p>
    <w:p>
      <w:r>
        <w:rPr>
          <w:lang w:eastAsia="zh-CN"/>
        </w:rPr>
        <w:t>In this solution, existing SBA security framework is reused so that authentication and communication protection among sensing service consumer and NEF/SF can be protected using existing SBA mechanism, for authorization, NRF is deemed as authorization check point, and some specific criteria for sensing, e.g. sensing service, sensing location, is considered for sensing service authorization.</w:t>
      </w:r>
    </w:p>
    <w:p>
      <w:pPr>
        <w:pStyle w:val="5"/>
      </w:pPr>
      <w:bookmarkStart w:id="74" w:name="_Toc207629983"/>
      <w:bookmarkStart w:id="75" w:name="_Toc211859892"/>
      <w:r>
        <w:t>6.</w:t>
      </w:r>
      <w:r>
        <w:rPr>
          <w:rFonts w:hint="eastAsia"/>
          <w:lang w:val="en-US" w:eastAsia="zh-CN"/>
        </w:rPr>
        <w:t>1.2</w:t>
      </w:r>
      <w:r>
        <w:t>.2</w:t>
      </w:r>
      <w:r>
        <w:tab/>
      </w:r>
      <w:r>
        <w:t>Solution details</w:t>
      </w:r>
      <w:bookmarkEnd w:id="74"/>
      <w:bookmarkEnd w:id="75"/>
    </w:p>
    <w:p>
      <w:pPr>
        <w:jc w:val="center"/>
      </w:pPr>
      <w:r>
        <w:rPr>
          <w:lang w:val="en-US" w:eastAsia="zh-CN"/>
        </w:rPr>
        <w:drawing>
          <wp:inline distT="0" distB="0" distL="114300" distR="114300">
            <wp:extent cx="4040505" cy="2790825"/>
            <wp:effectExtent l="0" t="0" r="762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040505" cy="2790825"/>
                    </a:xfrm>
                    <a:prstGeom prst="rect">
                      <a:avLst/>
                    </a:prstGeom>
                    <a:noFill/>
                    <a:ln>
                      <a:noFill/>
                    </a:ln>
                  </pic:spPr>
                </pic:pic>
              </a:graphicData>
            </a:graphic>
          </wp:inline>
        </w:drawing>
      </w:r>
    </w:p>
    <w:p>
      <w:pPr>
        <w:jc w:val="center"/>
      </w:pPr>
      <w:r>
        <w:t>F</w:t>
      </w:r>
      <w:r>
        <w:rPr>
          <w:rFonts w:hint="eastAsia"/>
          <w:lang w:eastAsia="zh-CN"/>
        </w:rPr>
        <w:t>igure</w:t>
      </w:r>
      <w:r>
        <w:t xml:space="preserve"> 6.</w:t>
      </w:r>
      <w:r>
        <w:rPr>
          <w:rFonts w:hint="eastAsia"/>
          <w:lang w:val="en-US" w:eastAsia="zh-CN"/>
        </w:rPr>
        <w:t>1.2</w:t>
      </w:r>
      <w:r>
        <w:t>.2 - Authorization for Sensing Service</w:t>
      </w:r>
    </w:p>
    <w:p>
      <w:pPr>
        <w:numPr>
          <w:ilvl w:val="0"/>
          <w:numId w:val="3"/>
        </w:numPr>
        <w:ind w:left="284" w:hanging="284"/>
        <w:rPr>
          <w:lang w:eastAsia="zh-CN"/>
        </w:rPr>
      </w:pPr>
      <w:r>
        <w:rPr>
          <w:lang w:eastAsia="zh-CN"/>
        </w:rPr>
        <w:t>AF sends sensing service request to the NEF. The message includes the AF ID, the requested sensing services and optionally the requested sensing location for the sensing service.</w:t>
      </w:r>
    </w:p>
    <w:p>
      <w:pPr>
        <w:numPr>
          <w:ilvl w:val="0"/>
          <w:numId w:val="3"/>
        </w:numPr>
        <w:ind w:left="284" w:hanging="284"/>
        <w:rPr>
          <w:lang w:eastAsia="zh-CN"/>
        </w:rPr>
      </w:pPr>
      <w:r>
        <w:rPr>
          <w:rFonts w:hint="eastAsia"/>
          <w:lang w:eastAsia="zh-CN"/>
        </w:rPr>
        <w:t>T</w:t>
      </w:r>
      <w:r>
        <w:rPr>
          <w:lang w:eastAsia="zh-CN"/>
        </w:rPr>
        <w:t>he NEF performs SF discovery procedure via NRF.</w:t>
      </w:r>
    </w:p>
    <w:p>
      <w:pPr>
        <w:numPr>
          <w:ilvl w:val="0"/>
          <w:numId w:val="3"/>
        </w:numPr>
        <w:rPr>
          <w:lang w:eastAsia="zh-CN"/>
        </w:rPr>
      </w:pPr>
      <w:r>
        <w:rPr>
          <w:rFonts w:hint="eastAsia"/>
          <w:lang w:eastAsia="zh-CN"/>
        </w:rPr>
        <w:t>Th</w:t>
      </w:r>
      <w:r>
        <w:rPr>
          <w:lang w:eastAsia="zh-CN"/>
        </w:rPr>
        <w:t>e NEF sends token request the NRF.</w:t>
      </w:r>
    </w:p>
    <w:p>
      <w:pPr>
        <w:numPr>
          <w:ilvl w:val="0"/>
          <w:numId w:val="3"/>
        </w:numPr>
        <w:rPr>
          <w:lang w:eastAsia="zh-CN"/>
        </w:rPr>
      </w:pPr>
      <w:r>
        <w:rPr>
          <w:rFonts w:hint="eastAsia"/>
          <w:lang w:eastAsia="zh-CN"/>
        </w:rPr>
        <w:t>T</w:t>
      </w:r>
      <w:r>
        <w:rPr>
          <w:lang w:eastAsia="zh-CN"/>
        </w:rPr>
        <w:t xml:space="preserve">he NRF performs service authorization, the NRF checks whether the AF is authorized to access the SF, whether the requested sensing services are allowed for the AF, and optionally whether the requested sensing location for the sensing service is allowed. </w:t>
      </w:r>
    </w:p>
    <w:p>
      <w:pPr>
        <w:numPr>
          <w:ilvl w:val="0"/>
          <w:numId w:val="3"/>
        </w:numPr>
        <w:rPr>
          <w:lang w:eastAsia="zh-CN"/>
        </w:rPr>
      </w:pPr>
      <w:r>
        <w:rPr>
          <w:lang w:eastAsia="zh-CN"/>
        </w:rPr>
        <w:t>If it is authorized, NRF will issue access token and send it to the NEF, and the access token claim includes AF ID, the allowed sensing services and optionally the allowed sensing location.</w:t>
      </w:r>
    </w:p>
    <w:p>
      <w:pPr>
        <w:numPr>
          <w:ilvl w:val="0"/>
          <w:numId w:val="3"/>
        </w:numPr>
        <w:rPr>
          <w:lang w:eastAsia="zh-CN"/>
        </w:rPr>
      </w:pPr>
      <w:r>
        <w:rPr>
          <w:rFonts w:hint="eastAsia"/>
          <w:lang w:eastAsia="zh-CN"/>
        </w:rPr>
        <w:t>T</w:t>
      </w:r>
      <w:r>
        <w:rPr>
          <w:lang w:eastAsia="zh-CN"/>
        </w:rPr>
        <w:t>he NEF sends sensing service request to the SF. The message includes the access token, the AF ID, the requested sensing services and optionally the requested sensing location for the sensing service.</w:t>
      </w:r>
    </w:p>
    <w:p>
      <w:pPr>
        <w:numPr>
          <w:ilvl w:val="0"/>
          <w:numId w:val="3"/>
        </w:numPr>
        <w:rPr>
          <w:lang w:eastAsia="zh-CN"/>
        </w:rPr>
      </w:pPr>
      <w:r>
        <w:rPr>
          <w:rFonts w:hint="eastAsia"/>
          <w:lang w:eastAsia="zh-CN"/>
        </w:rPr>
        <w:t>A</w:t>
      </w:r>
      <w:r>
        <w:rPr>
          <w:lang w:eastAsia="zh-CN"/>
        </w:rPr>
        <w:t>fter successfully verifying the access token, the SF performs sensing based on the allowed sensing services and optionally the allowed sensing location. The SF sends sensing service response including the sensing result to the NEF.</w:t>
      </w:r>
    </w:p>
    <w:p>
      <w:pPr>
        <w:numPr>
          <w:ilvl w:val="0"/>
          <w:numId w:val="4"/>
        </w:numPr>
        <w:ind w:left="284" w:hanging="283"/>
        <w:rPr>
          <w:lang w:eastAsia="zh-CN"/>
        </w:rPr>
      </w:pPr>
      <w:r>
        <w:rPr>
          <w:lang w:eastAsia="zh-CN"/>
        </w:rPr>
        <w:t>The NEF sends sensing service response including the sensing result to the AF.</w:t>
      </w:r>
    </w:p>
    <w:p>
      <w:pPr>
        <w:pStyle w:val="50"/>
        <w:ind w:left="360" w:firstLine="0"/>
        <w:rPr>
          <w:lang w:eastAsia="zh-CN"/>
        </w:rPr>
      </w:pPr>
      <w:r>
        <w:rPr>
          <w:rFonts w:hint="eastAsia"/>
          <w:lang w:eastAsia="zh-CN"/>
        </w:rPr>
        <w:t>Ed</w:t>
      </w:r>
      <w:r>
        <w:rPr>
          <w:lang w:eastAsia="zh-CN"/>
        </w:rPr>
        <w:t>itor’s Note:</w:t>
      </w:r>
      <w:r>
        <w:rPr>
          <w:lang w:eastAsia="zh-CN"/>
        </w:rPr>
        <w:tab/>
      </w:r>
      <w:r>
        <w:rPr>
          <w:lang w:eastAsia="zh-CN"/>
        </w:rPr>
        <w:t>Details of the procedures are to be aligned with TR 23.700-14 [2].</w:t>
      </w:r>
    </w:p>
    <w:p>
      <w:pPr>
        <w:pStyle w:val="5"/>
      </w:pPr>
      <w:bookmarkStart w:id="76" w:name="_Toc207629984"/>
      <w:bookmarkStart w:id="77" w:name="_Toc211859893"/>
      <w:r>
        <w:t>6.</w:t>
      </w:r>
      <w:r>
        <w:rPr>
          <w:rFonts w:hint="eastAsia"/>
          <w:lang w:val="en-US" w:eastAsia="zh-CN"/>
        </w:rPr>
        <w:t>1.2</w:t>
      </w:r>
      <w:r>
        <w:t>.3</w:t>
      </w:r>
      <w:r>
        <w:tab/>
      </w:r>
      <w:r>
        <w:t>Evaluation</w:t>
      </w:r>
      <w:bookmarkEnd w:id="76"/>
      <w:bookmarkEnd w:id="77"/>
    </w:p>
    <w:p>
      <w:pPr>
        <w:overflowPunct w:val="0"/>
        <w:autoSpaceDE w:val="0"/>
        <w:autoSpaceDN w:val="0"/>
        <w:adjustRightInd w:val="0"/>
        <w:textAlignment w:val="baseline"/>
        <w:rPr>
          <w:lang w:eastAsia="zh-CN"/>
        </w:rPr>
      </w:pPr>
      <w:r>
        <w:rPr>
          <w:lang w:eastAsia="zh-CN"/>
        </w:rPr>
        <w:t>TBA</w:t>
      </w:r>
    </w:p>
    <w:p>
      <w:pPr>
        <w:pStyle w:val="50"/>
        <w:rPr>
          <w:lang w:eastAsia="zh-CN"/>
        </w:rPr>
      </w:pPr>
      <w:r>
        <w:rPr>
          <w:rFonts w:hint="eastAsia"/>
          <w:lang w:eastAsia="zh-CN"/>
        </w:rPr>
        <w:t>Ed</w:t>
      </w:r>
      <w:r>
        <w:rPr>
          <w:lang w:eastAsia="zh-CN"/>
        </w:rPr>
        <w:t>itor’s Note:</w:t>
      </w:r>
      <w:r>
        <w:rPr>
          <w:lang w:eastAsia="zh-CN"/>
        </w:rPr>
        <w:tab/>
      </w:r>
      <w:r>
        <w:rPr>
          <w:lang w:eastAsia="zh-CN"/>
        </w:rPr>
        <w:t>The evaluation will be made following SA2 conclusion.</w:t>
      </w:r>
    </w:p>
    <w:p>
      <w:pPr>
        <w:pStyle w:val="50"/>
        <w:rPr>
          <w:lang w:eastAsia="zh-CN"/>
        </w:rPr>
      </w:pPr>
    </w:p>
    <w:p>
      <w:pPr>
        <w:pStyle w:val="4"/>
      </w:pPr>
      <w:bookmarkStart w:id="78" w:name="_Toc211859894"/>
      <w:r>
        <w:t>6</w:t>
      </w:r>
      <w:r>
        <w:rPr>
          <w:rFonts w:hint="eastAsia"/>
          <w:lang w:eastAsia="zh-CN"/>
        </w:rPr>
        <w:t>.</w:t>
      </w:r>
      <w:r>
        <w:rPr>
          <w:rFonts w:hint="eastAsia"/>
          <w:lang w:val="en-US" w:eastAsia="zh-CN"/>
        </w:rPr>
        <w:t>1.3</w:t>
      </w:r>
      <w:r>
        <w:rPr>
          <w:lang w:eastAsia="zh-CN"/>
        </w:rPr>
        <w:tab/>
      </w:r>
      <w:r>
        <w:rPr>
          <w:lang w:eastAsia="zh-CN"/>
        </w:rPr>
        <w:t>Solution #</w:t>
      </w:r>
      <w:r>
        <w:rPr>
          <w:rFonts w:hint="eastAsia"/>
          <w:lang w:val="en-US" w:eastAsia="zh-CN"/>
        </w:rPr>
        <w:t>1.3</w:t>
      </w:r>
      <w:r>
        <w:rPr>
          <w:lang w:eastAsia="zh-CN"/>
        </w:rPr>
        <w:t xml:space="preserve">: Solution on authorization </w:t>
      </w:r>
      <w:bookmarkStart w:id="79" w:name="_Hlk209937588"/>
      <w:r>
        <w:rPr>
          <w:lang w:eastAsia="zh-CN"/>
        </w:rPr>
        <w:t>for sensing service request</w:t>
      </w:r>
      <w:bookmarkEnd w:id="78"/>
      <w:bookmarkEnd w:id="79"/>
    </w:p>
    <w:p>
      <w:pPr>
        <w:pStyle w:val="5"/>
      </w:pPr>
      <w:bookmarkStart w:id="80" w:name="_Toc211859895"/>
      <w:r>
        <w:t>6.</w:t>
      </w:r>
      <w:r>
        <w:rPr>
          <w:rFonts w:hint="eastAsia"/>
          <w:lang w:val="en-US" w:eastAsia="zh-CN"/>
        </w:rPr>
        <w:t>1.3</w:t>
      </w:r>
      <w:r>
        <w:t>.1</w:t>
      </w:r>
      <w:r>
        <w:tab/>
      </w:r>
      <w:r>
        <w:tab/>
      </w:r>
      <w:r>
        <w:t>Introduction</w:t>
      </w:r>
      <w:bookmarkEnd w:id="80"/>
    </w:p>
    <w:p>
      <w:pPr>
        <w:rPr>
          <w:lang w:eastAsia="zh-CN"/>
        </w:rPr>
      </w:pPr>
      <w:r>
        <w:rPr>
          <w:rFonts w:hint="eastAsia"/>
          <w:lang w:eastAsia="zh-CN"/>
        </w:rPr>
        <w:t>T</w:t>
      </w:r>
      <w:r>
        <w:rPr>
          <w:lang w:eastAsia="zh-CN"/>
        </w:rPr>
        <w:t xml:space="preserve">his solution addresses Key Issue#1 on </w:t>
      </w:r>
      <w:r>
        <w:t>Security of authorization for sensing service invocation and revocation</w:t>
      </w:r>
      <w:r>
        <w:rPr>
          <w:lang w:eastAsia="zh-CN"/>
        </w:rPr>
        <w:t>. Specifically, it addresses the third requirement in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 xml:space="preserve">”.  </w:t>
      </w:r>
    </w:p>
    <w:p>
      <w:r>
        <w:t xml:space="preserve">According to TR 23.700-14 [2], a sensing service request may be initiated by a </w:t>
      </w:r>
      <w:r>
        <w:rPr>
          <w:lang w:eastAsia="zh-CN"/>
        </w:rPr>
        <w:t>sensing service consumer</w:t>
      </w:r>
      <w:r>
        <w:t>. The authorization on service permission includes two levels:</w:t>
      </w:r>
    </w:p>
    <w:p>
      <w:pPr>
        <w:pStyle w:val="49"/>
        <w:ind w:left="400" w:hanging="400"/>
      </w:pPr>
      <w:r>
        <w:t>-</w:t>
      </w:r>
      <w:r>
        <w:tab/>
      </w:r>
      <w:r>
        <w:t>The first level of authorization is for service access. When the NEF receives the sensing service request initiated by the sensing service consumer (e.g. an AF), the NEF can determine whether the sensing service consumer is authorized to request the sensing service from the 5GC, according to clause 12 in TS 33.501 [5].</w:t>
      </w:r>
    </w:p>
    <w:p>
      <w:pPr>
        <w:pStyle w:val="49"/>
        <w:ind w:left="400" w:hanging="400"/>
      </w:pPr>
      <w:r>
        <w:t>-</w:t>
      </w:r>
      <w:r>
        <w:tab/>
      </w:r>
      <w:r>
        <w:t>The second level of authorization is based on the local policy. The Sensing Function may check the Sensing Profile to verify the sensing service request from NEF to determine if a sensing service is allowed.</w:t>
      </w:r>
    </w:p>
    <w:p>
      <w:pPr>
        <w:pStyle w:val="5"/>
      </w:pPr>
      <w:bookmarkStart w:id="81" w:name="_Toc211859896"/>
      <w:r>
        <w:t>6.</w:t>
      </w:r>
      <w:r>
        <w:rPr>
          <w:rFonts w:hint="eastAsia"/>
          <w:lang w:val="en-US" w:eastAsia="zh-CN"/>
        </w:rPr>
        <w:t>1.3</w:t>
      </w:r>
      <w:r>
        <w:t>.2</w:t>
      </w:r>
      <w:r>
        <w:tab/>
      </w:r>
      <w:r>
        <w:tab/>
      </w:r>
      <w:r>
        <w:t>Solution details</w:t>
      </w:r>
      <w:bookmarkEnd w:id="81"/>
    </w:p>
    <w:p>
      <w:r>
        <w:object>
          <v:shape id="_x0000_i1026" o:spt="75" type="#_x0000_t75" style="height:306.85pt;width:482.95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jc w:val="center"/>
        <w:rPr>
          <w:lang w:eastAsia="zh-CN"/>
        </w:rPr>
      </w:pPr>
      <w:r>
        <w:rPr>
          <w:lang w:eastAsia="zh-CN"/>
        </w:rPr>
        <w:t>Figure 6.</w:t>
      </w:r>
      <w:r>
        <w:rPr>
          <w:rFonts w:hint="eastAsia"/>
          <w:lang w:val="en-US" w:eastAsia="zh-CN"/>
        </w:rPr>
        <w:t>1.3</w:t>
      </w:r>
      <w:r>
        <w:rPr>
          <w:lang w:eastAsia="zh-CN"/>
        </w:rPr>
        <w:t>.2-1:</w:t>
      </w:r>
      <w:r>
        <w:t xml:space="preserve"> </w:t>
      </w:r>
      <w:r>
        <w:rPr>
          <w:lang w:eastAsia="zh-CN"/>
        </w:rPr>
        <w:t>Authorization for sensing service request</w:t>
      </w:r>
    </w:p>
    <w:p>
      <w:pPr>
        <w:pStyle w:val="79"/>
        <w:numPr>
          <w:ilvl w:val="0"/>
          <w:numId w:val="5"/>
        </w:numPr>
        <w:ind w:firstLineChars="0"/>
        <w:rPr>
          <w:rFonts w:eastAsia="Times New Roman"/>
          <w:lang w:val="en-US"/>
        </w:rPr>
      </w:pPr>
      <w:r>
        <w:t>The AF requests a service request for sensing. The request may include AF ID, sensing service type (object detection, object tracking, etc), sensing service requirements (e.g. accuracy, latency, etc), sensing service area</w:t>
      </w:r>
      <w:r>
        <w:rPr>
          <w:rFonts w:eastAsia="Times New Roman"/>
          <w:lang w:val="en-US"/>
        </w:rPr>
        <w:t>.</w:t>
      </w:r>
    </w:p>
    <w:p>
      <w:pPr>
        <w:pStyle w:val="79"/>
        <w:numPr>
          <w:ilvl w:val="0"/>
          <w:numId w:val="5"/>
        </w:numPr>
        <w:ind w:firstLineChars="0"/>
        <w:rPr>
          <w:rFonts w:eastAsia="Times New Roman"/>
          <w:lang w:val="en-US"/>
        </w:rPr>
      </w:pPr>
      <w:r>
        <w:rPr>
          <w:lang w:eastAsia="zh-CN"/>
        </w:rPr>
        <w:t xml:space="preserve">The NEF </w:t>
      </w:r>
      <w:r>
        <w:t xml:space="preserve">may authorize the sensing service request from the AF </w:t>
      </w:r>
      <w:r>
        <w:rPr>
          <w:rFonts w:hint="eastAsia"/>
          <w:lang w:eastAsia="zh-CN"/>
        </w:rPr>
        <w:t>by</w:t>
      </w:r>
      <w:r>
        <w:t xml:space="preserve"> </w:t>
      </w:r>
      <w:r>
        <w:rPr>
          <w:rFonts w:hint="eastAsia"/>
          <w:lang w:eastAsia="zh-CN"/>
        </w:rPr>
        <w:t>reusing</w:t>
      </w:r>
      <w:r>
        <w:t xml:space="preserve"> </w:t>
      </w:r>
      <w:r>
        <w:rPr>
          <w:rFonts w:hint="eastAsia"/>
          <w:lang w:eastAsia="zh-CN"/>
        </w:rPr>
        <w:t>the</w:t>
      </w:r>
      <w:r>
        <w:t xml:space="preserve"> OAuth 2.0 mechanism in clause 12 of TS 33.501 [5]</w:t>
      </w:r>
      <w:r>
        <w:rPr>
          <w:lang w:eastAsia="zh-CN"/>
        </w:rPr>
        <w:t xml:space="preserve">. </w:t>
      </w:r>
    </w:p>
    <w:p>
      <w:pPr>
        <w:pStyle w:val="79"/>
        <w:numPr>
          <w:ilvl w:val="0"/>
          <w:numId w:val="5"/>
        </w:numPr>
        <w:ind w:firstLineChars="0"/>
        <w:rPr>
          <w:rFonts w:eastAsia="Times New Roman"/>
          <w:lang w:val="en-US"/>
        </w:rPr>
      </w:pPr>
      <w:r>
        <w:t>The NEF may discover and select the candidate Sensing Function(s)</w:t>
      </w:r>
      <w:r>
        <w:rPr>
          <w:lang w:eastAsia="zh-CN"/>
        </w:rPr>
        <w:t>.</w:t>
      </w:r>
    </w:p>
    <w:p>
      <w:pPr>
        <w:pStyle w:val="79"/>
        <w:numPr>
          <w:ilvl w:val="0"/>
          <w:numId w:val="5"/>
        </w:numPr>
        <w:ind w:firstLineChars="0"/>
        <w:rPr>
          <w:rFonts w:eastAsia="Times New Roman"/>
          <w:lang w:val="en-US"/>
        </w:rPr>
      </w:pPr>
      <w:r>
        <w:t>If the authorization succeeds, then the NEF sends the sensing service request message to the Sensing Function. The request message may contain AF ID, sensing service area, sensing service type, sensing service requirements.</w:t>
      </w:r>
    </w:p>
    <w:p>
      <w:pPr>
        <w:pStyle w:val="79"/>
        <w:numPr>
          <w:ilvl w:val="0"/>
          <w:numId w:val="5"/>
        </w:numPr>
        <w:ind w:firstLineChars="0"/>
        <w:rPr>
          <w:rFonts w:eastAsia="Times New Roman"/>
          <w:lang w:val="en-US"/>
        </w:rPr>
      </w:pPr>
      <w:r>
        <w:rPr>
          <w:rFonts w:hint="eastAsia"/>
          <w:lang w:val="en-US" w:eastAsia="zh-CN"/>
        </w:rPr>
        <w:t>T</w:t>
      </w:r>
      <w:r>
        <w:rPr>
          <w:lang w:val="en-US" w:eastAsia="zh-CN"/>
        </w:rPr>
        <w:t xml:space="preserve">he Sensing Function </w:t>
      </w:r>
      <w:r>
        <w:t>may authorize the sensing service request based on the local policy. The Sensing Function may check the Sensing Profiles to verify the sensing service request from NEF, which may contain allowed sensing service area, allowed sensing service type, allowed sensing service time duration, etc.</w:t>
      </w:r>
    </w:p>
    <w:p>
      <w:pPr>
        <w:pStyle w:val="79"/>
        <w:ind w:left="644" w:firstLine="0" w:firstLineChars="0"/>
        <w:rPr>
          <w:color w:val="FF0000"/>
          <w:lang w:val="en-US" w:eastAsia="zh-CN"/>
        </w:rPr>
      </w:pPr>
      <w:r>
        <w:rPr>
          <w:color w:val="FF0000"/>
          <w:lang w:val="en-US" w:eastAsia="zh-CN"/>
        </w:rPr>
        <w:t>Editor’s Note: Where to store the Sensing Profiles is to be aligned with SA2.</w:t>
      </w:r>
    </w:p>
    <w:p>
      <w:pPr>
        <w:pStyle w:val="79"/>
        <w:ind w:left="644" w:firstLine="0" w:firstLineChars="0"/>
        <w:rPr>
          <w:color w:val="FF0000"/>
          <w:lang w:val="en-US" w:eastAsia="zh-CN"/>
        </w:rPr>
      </w:pPr>
      <w:r>
        <w:rPr>
          <w:rFonts w:hint="eastAsia"/>
          <w:color w:val="FF0000"/>
          <w:lang w:val="en-US" w:eastAsia="zh-CN"/>
        </w:rPr>
        <w:t>E</w:t>
      </w:r>
      <w:r>
        <w:rPr>
          <w:color w:val="FF0000"/>
          <w:lang w:val="en-US" w:eastAsia="zh-CN"/>
        </w:rPr>
        <w:t>ditor’s Note: The authorization in Sensing Function is to be aligned with SA2.</w:t>
      </w:r>
    </w:p>
    <w:p>
      <w:pPr>
        <w:pStyle w:val="79"/>
        <w:numPr>
          <w:ilvl w:val="0"/>
          <w:numId w:val="5"/>
        </w:numPr>
        <w:ind w:firstLineChars="0"/>
        <w:rPr>
          <w:rFonts w:eastAsia="Times New Roman"/>
          <w:lang w:val="en-US"/>
        </w:rPr>
      </w:pPr>
      <w:r>
        <w:t>If the authorization succeeds, then</w:t>
      </w:r>
      <w:r>
        <w:rPr>
          <w:lang w:val="en-US" w:eastAsia="zh-CN"/>
        </w:rPr>
        <w:t xml:space="preserve"> the Sensing Function</w:t>
      </w:r>
      <w:r>
        <w:rPr>
          <w:rFonts w:hint="eastAsia"/>
          <w:lang w:val="en-US" w:eastAsia="zh-CN"/>
        </w:rPr>
        <w:t xml:space="preserve"> </w:t>
      </w:r>
      <w:r>
        <w:rPr>
          <w:lang w:val="en-US" w:eastAsia="zh-CN"/>
        </w:rPr>
        <w:t xml:space="preserve">proceeds to </w:t>
      </w:r>
      <w:r>
        <w:rPr>
          <w:rFonts w:hint="eastAsia"/>
          <w:lang w:val="en-US" w:eastAsia="zh-CN"/>
        </w:rPr>
        <w:t>execute the sensing service</w:t>
      </w:r>
      <w:r>
        <w:t>.</w:t>
      </w:r>
    </w:p>
    <w:p>
      <w:pPr>
        <w:pStyle w:val="79"/>
        <w:numPr>
          <w:ilvl w:val="0"/>
          <w:numId w:val="5"/>
        </w:numPr>
        <w:ind w:firstLineChars="0"/>
        <w:rPr>
          <w:rFonts w:eastAsia="Times New Roman"/>
          <w:lang w:val="en-US"/>
        </w:rPr>
      </w:pPr>
      <w:r>
        <w:rPr>
          <w:rFonts w:hint="eastAsia"/>
          <w:lang w:val="en-US" w:eastAsia="zh-CN"/>
        </w:rPr>
        <w:t>T</w:t>
      </w:r>
      <w:r>
        <w:rPr>
          <w:lang w:val="en-US" w:eastAsia="zh-CN"/>
        </w:rPr>
        <w:t xml:space="preserve">he Sensing Function sends the </w:t>
      </w:r>
      <w:r>
        <w:t>sensing results to NEF.</w:t>
      </w:r>
    </w:p>
    <w:p>
      <w:pPr>
        <w:pStyle w:val="79"/>
        <w:numPr>
          <w:ilvl w:val="0"/>
          <w:numId w:val="5"/>
        </w:numPr>
        <w:ind w:firstLineChars="0"/>
        <w:rPr>
          <w:rFonts w:eastAsia="Times New Roman"/>
          <w:lang w:val="en-US"/>
        </w:rPr>
      </w:pPr>
      <w:r>
        <w:rPr>
          <w:lang w:val="en-US" w:eastAsia="zh-CN"/>
        </w:rPr>
        <w:t xml:space="preserve">The NEF sends the </w:t>
      </w:r>
      <w:r>
        <w:t>sensing results to AF.</w:t>
      </w:r>
    </w:p>
    <w:p>
      <w:pPr>
        <w:pStyle w:val="5"/>
      </w:pPr>
      <w:bookmarkStart w:id="82" w:name="_Toc211859897"/>
      <w:r>
        <w:t>6.</w:t>
      </w:r>
      <w:r>
        <w:rPr>
          <w:rFonts w:hint="eastAsia"/>
          <w:lang w:val="en-US" w:eastAsia="zh-CN"/>
        </w:rPr>
        <w:t>1.3</w:t>
      </w:r>
      <w:r>
        <w:t>.3</w:t>
      </w:r>
      <w:r>
        <w:tab/>
      </w:r>
      <w:r>
        <w:tab/>
      </w:r>
      <w:r>
        <w:t>Evaluation</w:t>
      </w:r>
      <w:bookmarkEnd w:id="82"/>
    </w:p>
    <w:p>
      <w:pPr>
        <w:rPr>
          <w:rStyle w:val="80"/>
          <w:lang w:eastAsia="zh-CN"/>
        </w:rPr>
      </w:pPr>
      <w:r>
        <w:rPr>
          <w:rFonts w:hint="eastAsia"/>
          <w:lang w:eastAsia="zh-CN"/>
        </w:rPr>
        <w:t>T</w:t>
      </w:r>
      <w:r>
        <w:rPr>
          <w:lang w:eastAsia="zh-CN"/>
        </w:rPr>
        <w:t>BD.</w:t>
      </w:r>
    </w:p>
    <w:p>
      <w:pPr>
        <w:rPr>
          <w:rFonts w:cs="Arial"/>
          <w:sz w:val="28"/>
          <w:szCs w:val="28"/>
        </w:rPr>
      </w:pPr>
    </w:p>
    <w:p>
      <w:pPr>
        <w:pStyle w:val="4"/>
      </w:pPr>
      <w:bookmarkStart w:id="83" w:name="_Toc211859898"/>
      <w:r>
        <w:t>6.1.</w:t>
      </w:r>
      <w:r>
        <w:rPr>
          <w:rFonts w:hint="eastAsia"/>
          <w:lang w:val="en-US" w:eastAsia="zh-CN"/>
        </w:rPr>
        <w:t>4</w:t>
      </w:r>
      <w:r>
        <w:t xml:space="preserve"> </w:t>
      </w:r>
      <w:r>
        <w:tab/>
      </w:r>
      <w:r>
        <w:t>Solution</w:t>
      </w:r>
      <w:r>
        <w:rPr>
          <w:rFonts w:hint="eastAsia"/>
        </w:rPr>
        <w:t xml:space="preserve"> #</w:t>
      </w:r>
      <w:r>
        <w:t>1.</w:t>
      </w:r>
      <w:r>
        <w:rPr>
          <w:highlight w:val="none"/>
          <w:lang w:val="en-US" w:eastAsia="zh-CN"/>
        </w:rPr>
        <w:t>4</w:t>
      </w:r>
      <w:r>
        <w:t>: Security of the connection to the Sensing service consumer</w:t>
      </w:r>
      <w:bookmarkEnd w:id="83"/>
    </w:p>
    <w:p>
      <w:pPr>
        <w:pStyle w:val="5"/>
      </w:pPr>
      <w:bookmarkStart w:id="84" w:name="_Toc211859899"/>
      <w:r>
        <w:t>6.1.</w:t>
      </w:r>
      <w:r>
        <w:rPr>
          <w:rFonts w:hint="eastAsia"/>
          <w:lang w:val="en-US" w:eastAsia="zh-CN"/>
        </w:rPr>
        <w:t>4</w:t>
      </w:r>
      <w:r>
        <w:t>.1</w:t>
      </w:r>
      <w:r>
        <w:tab/>
      </w:r>
      <w:r>
        <w:t>Introduction</w:t>
      </w:r>
      <w:bookmarkEnd w:id="84"/>
      <w:r>
        <w:t xml:space="preserve"> </w:t>
      </w:r>
    </w:p>
    <w:p>
      <w:pPr>
        <w:rPr>
          <w:i/>
          <w:lang w:eastAsia="zh-CN"/>
        </w:rPr>
      </w:pPr>
      <w:r>
        <w:rPr>
          <w:rFonts w:hint="eastAsia"/>
        </w:rPr>
        <w:t>T</w:t>
      </w:r>
      <w:r>
        <w:t>his solution aims to address the security requirements in Key Issue #2.</w:t>
      </w:r>
      <w:r>
        <w:rPr>
          <w:lang w:eastAsia="zh-CN"/>
        </w:rPr>
        <w:t xml:space="preserve"> 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p>
    <w:p>
      <w:pPr>
        <w:pStyle w:val="5"/>
      </w:pPr>
      <w:bookmarkStart w:id="85" w:name="_Toc211859900"/>
      <w:r>
        <w:t>6.1.</w:t>
      </w:r>
      <w:r>
        <w:rPr>
          <w:rFonts w:hint="eastAsia"/>
          <w:lang w:val="en-US" w:eastAsia="zh-CN"/>
        </w:rPr>
        <w:t>4</w:t>
      </w:r>
      <w:r>
        <w:t>.2</w:t>
      </w:r>
      <w:r>
        <w:tab/>
      </w:r>
      <w:r>
        <w:t>Solution details</w:t>
      </w:r>
      <w:bookmarkEnd w:id="85"/>
    </w:p>
    <w:p>
      <w:r>
        <w:t>The Sensing service consumer acts as external Application Function (AF) to interact with the network.</w:t>
      </w:r>
    </w:p>
    <w:p>
      <w:r>
        <w:t>If the Sensing service consumer acting as external AF then it only interacts with network via NEF.</w:t>
      </w:r>
      <w:r>
        <w:rPr>
          <w:rFonts w:hint="eastAsia"/>
        </w:rPr>
        <w:t xml:space="preserve"> </w:t>
      </w:r>
      <w:r>
        <w:t>In this case the security mechanisms in clauses 12 of [5] are reused to provide mutual authentication, authorisation, integrity protection, confidentiality protection and replay protection between Sensing service consumer and the NEF.</w:t>
      </w:r>
    </w:p>
    <w:p>
      <w:pPr>
        <w:rPr>
          <w:lang w:eastAsia="zh-CN"/>
        </w:rPr>
      </w:pPr>
      <w:r>
        <w:rPr>
          <w:color w:val="FF0000"/>
        </w:rPr>
        <w:t>Editor’s Note: the architecture need to inline to SA2</w:t>
      </w:r>
    </w:p>
    <w:p>
      <w:pPr>
        <w:pStyle w:val="5"/>
      </w:pPr>
      <w:bookmarkStart w:id="86" w:name="_Toc211859901"/>
      <w:r>
        <w:t>6.1.</w:t>
      </w:r>
      <w:r>
        <w:rPr>
          <w:rFonts w:hint="eastAsia"/>
          <w:lang w:val="en-US" w:eastAsia="zh-CN"/>
        </w:rPr>
        <w:t>4</w:t>
      </w:r>
      <w:r>
        <w:t>.3</w:t>
      </w:r>
      <w:r>
        <w:tab/>
      </w:r>
      <w:r>
        <w:t>Evaluation</w:t>
      </w:r>
      <w:bookmarkEnd w:id="86"/>
    </w:p>
    <w:p>
      <w:r>
        <w:t>TBD.</w:t>
      </w:r>
    </w:p>
    <w:p/>
    <w:p>
      <w:pPr>
        <w:pStyle w:val="4"/>
      </w:pPr>
      <w:bookmarkStart w:id="87" w:name="_Toc211859902"/>
      <w:r>
        <w:t>6.</w:t>
      </w:r>
      <w:r>
        <w:rPr>
          <w:rFonts w:hint="eastAsia"/>
          <w:lang w:val="en-US" w:eastAsia="zh-CN"/>
        </w:rPr>
        <w:t>1</w:t>
      </w:r>
      <w:r>
        <w:t>.</w:t>
      </w:r>
      <w:r>
        <w:rPr>
          <w:rFonts w:hint="eastAsia"/>
          <w:lang w:val="en-US" w:eastAsia="zh-CN"/>
        </w:rPr>
        <w:t>5</w:t>
      </w:r>
      <w:r>
        <w:t xml:space="preserve"> </w:t>
      </w:r>
      <w:r>
        <w:tab/>
      </w:r>
      <w:r>
        <w:t>Solution</w:t>
      </w:r>
      <w:r>
        <w:rPr>
          <w:rFonts w:hint="eastAsia"/>
        </w:rPr>
        <w:t xml:space="preserve"> #</w:t>
      </w:r>
      <w:r>
        <w:rPr>
          <w:rFonts w:hint="eastAsia"/>
          <w:lang w:val="en-US" w:eastAsia="zh-CN"/>
        </w:rPr>
        <w:t>1</w:t>
      </w:r>
      <w:r>
        <w:t>.</w:t>
      </w:r>
      <w:r>
        <w:rPr>
          <w:rFonts w:hint="eastAsia"/>
          <w:lang w:val="en-US" w:eastAsia="zh-CN"/>
        </w:rPr>
        <w:t>5</w:t>
      </w:r>
      <w:r>
        <w:t>: authorize sensing service request using OAuth-based authorization mechanism</w:t>
      </w:r>
      <w:bookmarkEnd w:id="87"/>
    </w:p>
    <w:p>
      <w:pPr>
        <w:pStyle w:val="5"/>
      </w:pPr>
      <w:bookmarkStart w:id="88" w:name="_Toc211859903"/>
      <w:r>
        <w:t>6.</w:t>
      </w:r>
      <w:r>
        <w:rPr>
          <w:rFonts w:hint="eastAsia"/>
          <w:lang w:val="en-US" w:eastAsia="zh-CN"/>
        </w:rPr>
        <w:t>1</w:t>
      </w:r>
      <w:r>
        <w:t>.</w:t>
      </w:r>
      <w:r>
        <w:rPr>
          <w:rFonts w:hint="eastAsia"/>
          <w:lang w:val="en-US" w:eastAsia="zh-CN"/>
        </w:rPr>
        <w:t>5</w:t>
      </w:r>
      <w:r>
        <w:t>.1</w:t>
      </w:r>
      <w:r>
        <w:tab/>
      </w:r>
      <w:r>
        <w:t>Introduction</w:t>
      </w:r>
      <w:bookmarkEnd w:id="88"/>
      <w:r>
        <w:t xml:space="preserve"> </w:t>
      </w:r>
    </w:p>
    <w:p>
      <w:r>
        <w:t>The solution addresses KI#1 to authorize sensing service request from the sensing service consumer</w:t>
      </w:r>
    </w:p>
    <w:p>
      <w:r>
        <w:t>Key issues related to System Architecture to Support Sensing, Authorization and Revocation to Support Sensing Service, and Sensing Result Exposure are studied in TR 23.700-14</w:t>
      </w:r>
      <w:r>
        <w:rPr>
          <w:rFonts w:hint="eastAsia"/>
          <w:lang w:val="en-US" w:eastAsia="zh-CN"/>
        </w:rPr>
        <w:t xml:space="preserve"> [2]</w:t>
      </w:r>
      <w:r>
        <w:t xml:space="preserve">. Based on solutions for those KIs, a sensing service consumer may access sensing service from sensing function  indirectly via NEF. For example, if the sensing service consumer is external AF, it accesses the sensing function through NEF. The sensing service request may trigger operation or revocation of sensing on specific object in specific area at specific accuracy level during specific time, or subscribe to specific sensing result. Sensing service authorization polices are defined in some solutions, and local policies-based authorization is also discussed in some solutions. </w:t>
      </w:r>
    </w:p>
    <w:p>
      <w:r>
        <w:t>If the sensing service consumer is external AF, as specified in clause 12 of TS 33.501</w:t>
      </w:r>
      <w:r>
        <w:rPr>
          <w:rFonts w:hint="eastAsia"/>
          <w:lang w:val="en-US" w:eastAsia="zh-CN"/>
        </w:rPr>
        <w:t xml:space="preserve"> [5]</w:t>
      </w:r>
      <w:r>
        <w:t>, the NEF shall authorize the requests from AF using OAuth-based authorization mechanism, the specific authorization mechanisms shall follow the provisions given in RFC 6749 [</w:t>
      </w:r>
      <w:r>
        <w:rPr>
          <w:rFonts w:hint="eastAsia"/>
          <w:lang w:val="en-US" w:eastAsia="zh-CN"/>
        </w:rPr>
        <w:t>8</w:t>
      </w:r>
      <w:r>
        <w:t>]. When the NEF supports CAPIF for external exposure as specified in clause 6.2.5.1 in TS 23.501[</w:t>
      </w:r>
      <w:r>
        <w:rPr>
          <w:rFonts w:hint="eastAsia"/>
          <w:lang w:val="en-US" w:eastAsia="zh-CN"/>
        </w:rPr>
        <w:t>9</w:t>
      </w:r>
      <w:r>
        <w:t>], then CAPIF core function shall choose the appropriate CAPIF-2e security method as defined in the sub-clause 6.5.2 in TS 33.122[</w:t>
      </w:r>
      <w:r>
        <w:rPr>
          <w:rFonts w:hint="eastAsia"/>
          <w:lang w:val="en-US" w:eastAsia="zh-CN"/>
        </w:rPr>
        <w:t>10</w:t>
      </w:r>
      <w:r>
        <w:t>] for mutual authentication and protection of the NEF – AF interface.</w:t>
      </w:r>
    </w:p>
    <w:p>
      <w:r>
        <w:t>In general, OAuth 2.0 based authorization can be reused to authorize sensing service request from sensing service consumer.</w:t>
      </w:r>
    </w:p>
    <w:p>
      <w:pPr>
        <w:rPr>
          <w:color w:val="FF0000"/>
        </w:rPr>
      </w:pPr>
      <w:r>
        <w:rPr>
          <w:color w:val="FF0000"/>
        </w:rPr>
        <w:t>Editor’s Note: As sensing architecture and procedures, and sensing authorization policies are still under discussion in TR 23.700-14</w:t>
      </w:r>
      <w:r>
        <w:rPr>
          <w:rFonts w:hint="eastAsia"/>
          <w:color w:val="FF0000"/>
          <w:lang w:val="en-US" w:eastAsia="zh-CN"/>
        </w:rPr>
        <w:t xml:space="preserve"> [2]</w:t>
      </w:r>
      <w:r>
        <w:rPr>
          <w:color w:val="FF0000"/>
        </w:rPr>
        <w:t>, where to retrieve sensing authorization policies, which network function and how to authorize the content of sensing service request by using OAuth 2.0 based authorization is FFS.</w:t>
      </w:r>
    </w:p>
    <w:p>
      <w:pPr>
        <w:rPr>
          <w:color w:val="FF0000"/>
        </w:rPr>
      </w:pPr>
      <w:r>
        <w:rPr>
          <w:color w:val="FF0000"/>
        </w:rPr>
        <w:t>Editor’s Note: the architecture and workflow need to inline to SA2</w:t>
      </w:r>
    </w:p>
    <w:p>
      <w:pPr>
        <w:pStyle w:val="5"/>
      </w:pPr>
      <w:bookmarkStart w:id="89" w:name="_Toc211859904"/>
      <w:r>
        <w:t>6.</w:t>
      </w:r>
      <w:r>
        <w:rPr>
          <w:rFonts w:hint="eastAsia"/>
          <w:lang w:val="en-US" w:eastAsia="zh-CN"/>
        </w:rPr>
        <w:t>1</w:t>
      </w:r>
      <w:r>
        <w:t>.</w:t>
      </w:r>
      <w:r>
        <w:rPr>
          <w:rFonts w:hint="eastAsia"/>
          <w:lang w:val="en-US" w:eastAsia="zh-CN"/>
        </w:rPr>
        <w:t>5</w:t>
      </w:r>
      <w:r>
        <w:t>.3</w:t>
      </w:r>
      <w:r>
        <w:tab/>
      </w:r>
      <w:r>
        <w:t>Evaluation</w:t>
      </w:r>
      <w:bookmarkEnd w:id="89"/>
    </w:p>
    <w:p>
      <w:pPr>
        <w:pStyle w:val="50"/>
      </w:pPr>
      <w:r>
        <w:t>Editor’s Note: Each solution should motivate how the potential security requirements of the key issues being addressed are fulfilled.</w:t>
      </w:r>
    </w:p>
    <w:p>
      <w:pPr>
        <w:pStyle w:val="50"/>
      </w:pPr>
    </w:p>
    <w:p>
      <w:pPr>
        <w:pStyle w:val="4"/>
      </w:pPr>
      <w:bookmarkStart w:id="90" w:name="_Toc211859905"/>
      <w:r>
        <w:t>6.</w:t>
      </w:r>
      <w:r>
        <w:rPr>
          <w:rFonts w:hint="eastAsia"/>
          <w:lang w:val="en-US" w:eastAsia="zh-CN"/>
        </w:rPr>
        <w:t>1</w:t>
      </w:r>
      <w:r>
        <w:t>.</w:t>
      </w:r>
      <w:r>
        <w:rPr>
          <w:rFonts w:hint="eastAsia"/>
          <w:lang w:val="en-US" w:eastAsia="zh-CN"/>
        </w:rPr>
        <w:t>6</w:t>
      </w:r>
      <w:r>
        <w:t xml:space="preserve"> </w:t>
      </w:r>
      <w:r>
        <w:tab/>
      </w:r>
      <w:r>
        <w:t>Solution</w:t>
      </w:r>
      <w:r>
        <w:rPr>
          <w:rFonts w:hint="eastAsia"/>
        </w:rPr>
        <w:t xml:space="preserve"> #</w:t>
      </w:r>
      <w:r>
        <w:rPr>
          <w:rFonts w:hint="eastAsia"/>
          <w:lang w:val="en-US" w:eastAsia="zh-CN"/>
        </w:rPr>
        <w:t>1.6</w:t>
      </w:r>
      <w:r>
        <w:t>: Sensing Service Authorization at the Sensing Function</w:t>
      </w:r>
      <w:bookmarkEnd w:id="90"/>
    </w:p>
    <w:p>
      <w:pPr>
        <w:pStyle w:val="5"/>
      </w:pPr>
      <w:bookmarkStart w:id="91" w:name="_Toc211859906"/>
      <w:r>
        <w:t>6.</w:t>
      </w:r>
      <w:r>
        <w:rPr>
          <w:rFonts w:hint="eastAsia"/>
          <w:lang w:val="en-US" w:eastAsia="zh-CN"/>
        </w:rPr>
        <w:t>1.6</w:t>
      </w:r>
      <w:r>
        <w:t>.1</w:t>
      </w:r>
      <w:r>
        <w:tab/>
      </w:r>
      <w:r>
        <w:t>Introduction</w:t>
      </w:r>
      <w:bookmarkEnd w:id="91"/>
      <w:r>
        <w:t xml:space="preserve"> </w:t>
      </w:r>
    </w:p>
    <w:p>
      <w:r>
        <w:t>This solution addresses the potential authorization requirement of Key Issue #1: Security of authorization for sensing service invocation and revocation:</w:t>
      </w:r>
    </w:p>
    <w:p>
      <w:pPr>
        <w:ind w:left="284" w:firstLine="284"/>
      </w:pPr>
      <w:r>
        <w:t>“The 5G system shall be able to authorize sensing service request from a sensing service consumer..”</w:t>
      </w:r>
    </w:p>
    <w:p>
      <w:r>
        <w:t>It is proposed that the Sensing Function performs the authorization of the Sensing Request.</w:t>
      </w:r>
    </w:p>
    <w:p>
      <w:pPr>
        <w:pStyle w:val="5"/>
      </w:pPr>
      <w:bookmarkStart w:id="92" w:name="_Toc211859907"/>
      <w:r>
        <w:t>6.</w:t>
      </w:r>
      <w:r>
        <w:rPr>
          <w:rFonts w:hint="eastAsia"/>
          <w:lang w:val="en-US" w:eastAsia="zh-CN"/>
        </w:rPr>
        <w:t>1.6</w:t>
      </w:r>
      <w:r>
        <w:t>.2</w:t>
      </w:r>
      <w:r>
        <w:tab/>
      </w:r>
      <w:r>
        <w:t>Solution details</w:t>
      </w:r>
      <w:bookmarkEnd w:id="92"/>
    </w:p>
    <w:p>
      <w:pPr>
        <w:pStyle w:val="79"/>
        <w:keepNext/>
        <w:ind w:firstLine="400"/>
      </w:pPr>
      <w:r>
        <w:object>
          <v:shape id="_x0000_i1027" o:spt="75" type="#_x0000_t75" style="height:249.25pt;width:480.7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pPr>
        <w:pStyle w:val="19"/>
        <w:jc w:val="center"/>
      </w:pPr>
      <w:r>
        <w:t>Figure 6.</w:t>
      </w:r>
      <w:r>
        <w:rPr>
          <w:rFonts w:hint="eastAsia"/>
          <w:lang w:val="en-US" w:eastAsia="zh-CN"/>
        </w:rPr>
        <w:t>1.6</w:t>
      </w:r>
      <w:r>
        <w:t>.2-1: Sensing Service Authorization at the Sensing Function</w:t>
      </w:r>
    </w:p>
    <w:p>
      <w:r>
        <w:t>1.</w:t>
      </w:r>
      <w:r>
        <w:tab/>
      </w:r>
      <w:r>
        <w:t>It is assumed the Sensing Service Consumer (AF) and the NEF have a security association as described in 3GPP TS 33.501</w:t>
      </w:r>
      <w:r>
        <w:rPr>
          <w:rFonts w:hint="eastAsia"/>
          <w:lang w:val="en-US" w:eastAsia="zh-CN"/>
        </w:rPr>
        <w:t xml:space="preserve"> [5]</w:t>
      </w:r>
      <w:r>
        <w:t xml:space="preserve">, clause 12 “Security aspects of Network Exposure Function (NEF)”. The Sensing Service Consumer sends a Sensing Service Request to the NEF with the descriptive information e.g. sensing service type (object detection, object tracking, environment sensing, etc.), sensing service requirements (e.g. accuracy, latency, resolution, etc.) and time information when the sensing service is needed (e.g. time for sensing measurement, time for sensing report) etc. </w:t>
      </w:r>
    </w:p>
    <w:p>
      <w:r>
        <w:t>2.</w:t>
      </w:r>
      <w:r>
        <w:tab/>
      </w:r>
      <w:r>
        <w:t xml:space="preserve">The NEF selects a Sensing Function for invoking the Sensing Service and to authorize the request. The NEF sends a Nsf_Sensing _Authorization_Request including the AF ID and the sensing information received from the Sensing Service Consumer to the Sensing Function. </w:t>
      </w:r>
    </w:p>
    <w:p>
      <w:r>
        <w:t>3.</w:t>
      </w:r>
      <w:r>
        <w:tab/>
      </w:r>
      <w:r>
        <w:t>The Sensing Profiles are stored in the UDR and the Sensing Function sends a Nudr_Sensing_Profile_Request to the UDR including the AF ID.</w:t>
      </w:r>
    </w:p>
    <w:p>
      <w:pPr>
        <w:pStyle w:val="50"/>
      </w:pPr>
      <w:r>
        <w:t xml:space="preserve">Editor’s Note: it depends on SA2 decision whether the Sensing Profiles are stored in the UDR or the Sensing Function. </w:t>
      </w:r>
    </w:p>
    <w:p>
      <w:pPr>
        <w:pStyle w:val="50"/>
      </w:pPr>
      <w:r>
        <w:t>Editor’s Note: The details of the Sensing Profile are FFS</w:t>
      </w:r>
    </w:p>
    <w:p>
      <w:r>
        <w:t>4.</w:t>
      </w:r>
      <w:r>
        <w:tab/>
      </w:r>
      <w:r>
        <w:t>The UDR fetches Sensing Profile Information stored for the AF ID.</w:t>
      </w:r>
    </w:p>
    <w:p>
      <w:r>
        <w:t>5.</w:t>
      </w:r>
      <w:r>
        <w:tab/>
      </w:r>
      <w:r>
        <w:t xml:space="preserve">The UDR responds to the Sensing Function with the Sensing Profile Information of the AF. </w:t>
      </w:r>
    </w:p>
    <w:p>
      <w:r>
        <w:t xml:space="preserve">6. </w:t>
      </w:r>
      <w:r>
        <w:tab/>
      </w:r>
      <w:r>
        <w:t>The Sensing Function performs the authorization of the sensing request from the NEF by verifying whether the information from the Sensing Request matches the information stored in the Sensing Profile for the AF.</w:t>
      </w:r>
    </w:p>
    <w:p>
      <w:r>
        <w:t>If the sensing service authorization is successful, the Sensing Function initiates the sensing procedure with the corresponding NF. If the sensing service authorization fails, the Sensing Function responds the failure to the NEF.</w:t>
      </w:r>
    </w:p>
    <w:p>
      <w:r>
        <w:t>7.</w:t>
      </w:r>
      <w:r>
        <w:tab/>
      </w:r>
      <w:r>
        <w:t xml:space="preserve">The Sensing Function responds to the NEF either with the sensing information result from the sensing procedure, or with a successful authorization response or with an authorization failure response. </w:t>
      </w:r>
    </w:p>
    <w:p>
      <w:pPr>
        <w:pStyle w:val="50"/>
      </w:pPr>
      <w:r>
        <w:t>Editor’s Note: The messages in step 2 and step 7 need to be aligned with SA2.</w:t>
      </w:r>
    </w:p>
    <w:p>
      <w:r>
        <w:t>8.</w:t>
      </w:r>
      <w:r>
        <w:tab/>
      </w:r>
      <w:r>
        <w:t>The NEF forwards the message from the Sensing Function to the AF.</w:t>
      </w:r>
    </w:p>
    <w:p>
      <w:pPr>
        <w:pStyle w:val="5"/>
      </w:pPr>
      <w:bookmarkStart w:id="93" w:name="_Toc211859908"/>
      <w:r>
        <w:t>6.</w:t>
      </w:r>
      <w:r>
        <w:rPr>
          <w:rFonts w:hint="eastAsia"/>
          <w:lang w:val="en-US" w:eastAsia="zh-CN"/>
        </w:rPr>
        <w:t>1.6</w:t>
      </w:r>
      <w:r>
        <w:t>.3</w:t>
      </w:r>
      <w:r>
        <w:tab/>
      </w:r>
      <w:r>
        <w:t>Evaluation</w:t>
      </w:r>
      <w:bookmarkEnd w:id="93"/>
    </w:p>
    <w:p>
      <w:pPr>
        <w:pStyle w:val="50"/>
      </w:pPr>
      <w:r>
        <w:t>Editor’s Note: Each solution should motivate how the potential security requirements of the key issues being addressed are fulfilled.</w:t>
      </w:r>
    </w:p>
    <w:p>
      <w:pPr>
        <w:rPr>
          <w:rFonts w:eastAsia="Arial" w:cs="Arial"/>
          <w:szCs w:val="32"/>
        </w:rPr>
      </w:pPr>
    </w:p>
    <w:p>
      <w:pPr>
        <w:pStyle w:val="4"/>
      </w:pPr>
      <w:bookmarkStart w:id="94" w:name="_Toc211859909"/>
      <w:r>
        <w:rPr>
          <w:rFonts w:eastAsia="Arial" w:cs="Arial"/>
          <w:szCs w:val="28"/>
        </w:rPr>
        <w:t>6.</w:t>
      </w:r>
      <w:r>
        <w:rPr>
          <w:rFonts w:hint="eastAsia" w:eastAsia="宋体" w:cs="Arial"/>
          <w:szCs w:val="28"/>
          <w:lang w:val="en-US" w:eastAsia="zh-CN"/>
        </w:rPr>
        <w:t>1.7</w:t>
      </w:r>
      <w:r>
        <w:rPr>
          <w:rFonts w:eastAsia="Arial" w:cs="Arial"/>
          <w:szCs w:val="28"/>
        </w:rPr>
        <w:t xml:space="preserve"> </w:t>
      </w:r>
      <w:r>
        <w:tab/>
      </w:r>
      <w:r>
        <w:rPr>
          <w:rFonts w:eastAsia="Arial" w:cs="Arial"/>
          <w:szCs w:val="28"/>
        </w:rPr>
        <w:t>Solution #</w:t>
      </w:r>
      <w:r>
        <w:rPr>
          <w:rFonts w:hint="eastAsia" w:eastAsia="宋体" w:cs="Arial"/>
          <w:szCs w:val="28"/>
          <w:lang w:val="en-US" w:eastAsia="zh-CN"/>
        </w:rPr>
        <w:t>1.7</w:t>
      </w:r>
      <w:r>
        <w:rPr>
          <w:rFonts w:eastAsia="Arial" w:cs="Arial"/>
          <w:szCs w:val="28"/>
        </w:rPr>
        <w:t xml:space="preserve">: </w:t>
      </w:r>
      <w:r>
        <w:t>Reusing existing mechanism for security of authorization of sensing service</w:t>
      </w:r>
      <w:bookmarkEnd w:id="94"/>
      <w:r>
        <w:t xml:space="preserve"> </w:t>
      </w:r>
    </w:p>
    <w:p>
      <w:pPr>
        <w:pStyle w:val="5"/>
      </w:pPr>
      <w:bookmarkStart w:id="95" w:name="_Toc211859910"/>
      <w:r>
        <w:rPr>
          <w:rFonts w:eastAsia="Arial" w:cs="Arial"/>
          <w:szCs w:val="24"/>
        </w:rPr>
        <w:t>6.</w:t>
      </w:r>
      <w:r>
        <w:rPr>
          <w:rFonts w:hint="eastAsia" w:eastAsia="宋体" w:cs="Arial"/>
          <w:szCs w:val="24"/>
          <w:lang w:val="en-US" w:eastAsia="zh-CN"/>
        </w:rPr>
        <w:t>1.7</w:t>
      </w:r>
      <w:r>
        <w:rPr>
          <w:rFonts w:eastAsia="Arial" w:cs="Arial"/>
          <w:szCs w:val="24"/>
        </w:rPr>
        <w:t>.1</w:t>
      </w:r>
      <w:r>
        <w:tab/>
      </w:r>
      <w:r>
        <w:rPr>
          <w:rFonts w:eastAsia="Arial" w:cs="Arial"/>
          <w:szCs w:val="24"/>
        </w:rPr>
        <w:t>Introduction</w:t>
      </w:r>
      <w:bookmarkEnd w:id="95"/>
    </w:p>
    <w:p>
      <w:r>
        <w:t xml:space="preserve">This solution addresses the Key Issue #1 (security of authorization for sensing service invocation and revocation). Authentication, communication security, and authorization aspects for NEF and AF interaction have already been specified in Clause 12 of TS 33.501 [5]. The interface between the sensing service consumer acting as an AF and the NEF, is the same interface whose security is addressed in Clause 12 of TS 33.501 [5]. </w:t>
      </w:r>
    </w:p>
    <w:p>
      <w:pPr>
        <w:pStyle w:val="50"/>
      </w:pPr>
      <w:r>
        <w:t>Editor’s Note: The architecture and workflow needs to inline with SA2.</w:t>
      </w:r>
    </w:p>
    <w:p>
      <w:pPr>
        <w:pStyle w:val="5"/>
      </w:pPr>
      <w:bookmarkStart w:id="96" w:name="_Toc211859911"/>
      <w:r>
        <w:rPr>
          <w:rFonts w:eastAsia="Arial" w:cs="Arial"/>
          <w:szCs w:val="24"/>
        </w:rPr>
        <w:t>6.</w:t>
      </w:r>
      <w:r>
        <w:rPr>
          <w:rFonts w:hint="eastAsia" w:eastAsia="宋体" w:cs="Arial"/>
          <w:szCs w:val="24"/>
          <w:lang w:val="en-US" w:eastAsia="zh-CN"/>
        </w:rPr>
        <w:t>1.7</w:t>
      </w:r>
      <w:r>
        <w:rPr>
          <w:rFonts w:eastAsia="Arial" w:cs="Arial"/>
          <w:szCs w:val="24"/>
        </w:rPr>
        <w:t>.2</w:t>
      </w:r>
      <w:r>
        <w:tab/>
      </w:r>
      <w:r>
        <w:rPr>
          <w:rFonts w:eastAsia="Arial" w:cs="Arial"/>
          <w:szCs w:val="24"/>
        </w:rPr>
        <w:t>Solution details</w:t>
      </w:r>
      <w:bookmarkEnd w:id="96"/>
    </w:p>
    <w:p>
      <w:r>
        <w:t xml:space="preserve">The security mechanism, specified in Clause 12 of TS 33.501 [5], is reused to address the security requirements of mutual authentication, integrity protection, confidentiality protection, replay protection, authorization for the communication between sensing service consumer and NEF. </w:t>
      </w:r>
    </w:p>
    <w:p>
      <w:pPr>
        <w:pStyle w:val="50"/>
      </w:pPr>
      <w:r>
        <w:t>Editor’s Note: The authorization of the content of the Sensing Service Request is FFS</w:t>
      </w:r>
    </w:p>
    <w:p>
      <w:pPr>
        <w:pStyle w:val="5"/>
      </w:pPr>
      <w:bookmarkStart w:id="97" w:name="_Toc211859912"/>
      <w:r>
        <w:rPr>
          <w:rFonts w:eastAsia="Arial" w:cs="Arial"/>
          <w:szCs w:val="24"/>
        </w:rPr>
        <w:t>6.</w:t>
      </w:r>
      <w:r>
        <w:rPr>
          <w:rFonts w:hint="eastAsia" w:eastAsia="宋体" w:cs="Arial"/>
          <w:szCs w:val="24"/>
          <w:lang w:val="en-US" w:eastAsia="zh-CN"/>
        </w:rPr>
        <w:t>1.7</w:t>
      </w:r>
      <w:r>
        <w:rPr>
          <w:rFonts w:eastAsia="Arial" w:cs="Arial"/>
          <w:szCs w:val="24"/>
        </w:rPr>
        <w:t>.3</w:t>
      </w:r>
      <w:r>
        <w:tab/>
      </w:r>
      <w:r>
        <w:rPr>
          <w:rFonts w:eastAsia="Arial" w:cs="Arial"/>
          <w:szCs w:val="24"/>
        </w:rPr>
        <w:t>Evaluation</w:t>
      </w:r>
      <w:bookmarkEnd w:id="97"/>
    </w:p>
    <w:p>
      <w:r>
        <w:t>TBD</w:t>
      </w:r>
    </w:p>
    <w:p>
      <w:pPr>
        <w:pStyle w:val="3"/>
        <w:rPr>
          <w:rFonts w:cs="Arial"/>
          <w:sz w:val="28"/>
          <w:szCs w:val="28"/>
        </w:rPr>
      </w:pPr>
      <w:bookmarkStart w:id="98" w:name="_Toc211859913"/>
      <w:r>
        <w:t>6.2</w:t>
      </w:r>
      <w:r>
        <w:tab/>
      </w:r>
      <w:r>
        <w:t>Solutions to KI#2</w:t>
      </w:r>
      <w:bookmarkEnd w:id="98"/>
    </w:p>
    <w:p>
      <w:pPr>
        <w:pStyle w:val="4"/>
      </w:pPr>
      <w:bookmarkStart w:id="99" w:name="_Toc211859914"/>
      <w:r>
        <w:t>6.</w:t>
      </w:r>
      <w:r>
        <w:rPr>
          <w:rFonts w:hint="eastAsia"/>
          <w:lang w:val="en-US" w:eastAsia="zh-CN"/>
        </w:rPr>
        <w:t>2.1</w:t>
      </w:r>
      <w:r>
        <w:tab/>
      </w:r>
      <w:r>
        <w:t>Solution #</w:t>
      </w:r>
      <w:r>
        <w:rPr>
          <w:rFonts w:hint="eastAsia"/>
          <w:lang w:val="en-US" w:eastAsia="zh-CN"/>
        </w:rPr>
        <w:t>2.1</w:t>
      </w:r>
      <w:r>
        <w:t xml:space="preserve">: </w:t>
      </w:r>
      <w:r>
        <w:rPr>
          <w:rFonts w:hint="eastAsia"/>
          <w:lang w:val="en-US" w:eastAsia="zh-CN"/>
        </w:rPr>
        <w:t>Security for sensing service operation</w:t>
      </w:r>
      <w:bookmarkEnd w:id="99"/>
    </w:p>
    <w:p>
      <w:pPr>
        <w:pStyle w:val="5"/>
      </w:pPr>
      <w:bookmarkStart w:id="100" w:name="_Toc211859915"/>
      <w:r>
        <w:t>6.</w:t>
      </w:r>
      <w:r>
        <w:rPr>
          <w:rFonts w:hint="eastAsia"/>
          <w:lang w:val="en-US" w:eastAsia="zh-CN"/>
        </w:rPr>
        <w:t>2.1</w:t>
      </w:r>
      <w:r>
        <w:t>.1</w:t>
      </w:r>
      <w:r>
        <w:tab/>
      </w:r>
      <w:r>
        <w:t>Introduction</w:t>
      </w:r>
      <w:bookmarkEnd w:id="100"/>
    </w:p>
    <w:p>
      <w:pPr>
        <w:rPr>
          <w:lang w:val="en-US" w:eastAsia="zh-CN"/>
        </w:rPr>
      </w:pPr>
      <w:r>
        <w:rPr>
          <w:rFonts w:hint="eastAsia"/>
          <w:lang w:val="en-US" w:eastAsia="zh-CN"/>
        </w:rPr>
        <w:t xml:space="preserve">This solution addresses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w:t>
      </w:r>
    </w:p>
    <w:p>
      <w:pPr>
        <w:pStyle w:val="50"/>
        <w:ind w:left="0" w:firstLine="0"/>
        <w:rPr>
          <w:rFonts w:eastAsia="宋体"/>
          <w:lang w:val="en-US" w:eastAsia="zh-CN"/>
        </w:rPr>
      </w:pPr>
    </w:p>
    <w:p>
      <w:pPr>
        <w:pStyle w:val="5"/>
      </w:pPr>
      <w:bookmarkStart w:id="101" w:name="_Toc211859916"/>
      <w:r>
        <w:t>6.</w:t>
      </w:r>
      <w:r>
        <w:rPr>
          <w:rFonts w:hint="eastAsia"/>
          <w:lang w:val="en-US" w:eastAsia="zh-CN"/>
        </w:rPr>
        <w:t>2.1</w:t>
      </w:r>
      <w:r>
        <w:t>.2</w:t>
      </w:r>
      <w:r>
        <w:tab/>
      </w:r>
      <w:r>
        <w:t>Solution details</w:t>
      </w:r>
      <w:bookmarkEnd w:id="101"/>
    </w:p>
    <w:p>
      <w:pPr>
        <w:rPr>
          <w:lang w:val="en-US" w:eastAsia="zh-CN"/>
        </w:rPr>
      </w:pPr>
      <w:r>
        <w:rPr>
          <w:rFonts w:hint="eastAsia"/>
          <w:lang w:val="en-US" w:eastAsia="zh-CN"/>
        </w:rPr>
        <w:t xml:space="preserve">The solution proposes a security mechanism to secure </w:t>
      </w:r>
      <w:r>
        <w:rPr>
          <w:lang w:eastAsia="zh-CN"/>
        </w:rPr>
        <w:t xml:space="preserve">the connection </w:t>
      </w:r>
      <w:r>
        <w:rPr>
          <w:lang w:val="en-US" w:eastAsia="zh-CN"/>
        </w:rPr>
        <w:t xml:space="preserve">between </w:t>
      </w:r>
      <w:r>
        <w:rPr>
          <w:rFonts w:hint="eastAsia"/>
          <w:lang w:val="en-US" w:eastAsia="zh-CN"/>
        </w:rPr>
        <w:t xml:space="preserve">the </w:t>
      </w:r>
      <w:r>
        <w:rPr>
          <w:lang w:eastAsia="zh-CN"/>
        </w:rPr>
        <w:t xml:space="preserve">sensing entity and </w:t>
      </w:r>
      <w:r>
        <w:rPr>
          <w:rFonts w:hint="eastAsia"/>
          <w:lang w:eastAsia="zh-CN"/>
        </w:rPr>
        <w:t>SF</w:t>
      </w:r>
      <w:r>
        <w:rPr>
          <w:rFonts w:hint="eastAsia"/>
          <w:lang w:val="en-US" w:eastAsia="zh-CN"/>
        </w:rPr>
        <w:t>.</w:t>
      </w:r>
    </w:p>
    <w:p>
      <w:pPr>
        <w:rPr>
          <w:color w:val="0000FF"/>
          <w:lang w:val="en-US" w:eastAsia="zh-CN"/>
        </w:rPr>
      </w:pPr>
      <w:r>
        <w:rPr>
          <w:rFonts w:hint="eastAsia"/>
          <w:lang w:val="en-US" w:eastAsia="zh-CN"/>
        </w:rPr>
        <w:t xml:space="preserve">For the interface between the sensing entities and SF, the communication between the sensing entity and the SF is secured by </w:t>
      </w:r>
      <w:r>
        <w:t>the NDS/IP security procedures specified in TS 33.210</w:t>
      </w:r>
      <w:r>
        <w:rPr>
          <w:rFonts w:hint="eastAsia"/>
          <w:lang w:val="en-US" w:eastAsia="zh-CN"/>
        </w:rPr>
        <w:t xml:space="preserve"> [7].</w:t>
      </w:r>
    </w:p>
    <w:p>
      <w:pPr>
        <w:pStyle w:val="50"/>
        <w:rPr>
          <w:lang w:val="en-US" w:eastAsia="zh-CN"/>
        </w:rPr>
      </w:pPr>
      <w:r>
        <w:rPr>
          <w:rFonts w:hint="eastAsia"/>
          <w:lang w:val="en-US" w:eastAsia="zh-CN"/>
        </w:rPr>
        <w:t>Editor</w:t>
      </w:r>
      <w:r>
        <w:rPr>
          <w:lang w:val="en-US" w:eastAsia="zh-CN"/>
        </w:rPr>
        <w:t>’</w:t>
      </w:r>
      <w:r>
        <w:rPr>
          <w:rFonts w:hint="eastAsia"/>
          <w:lang w:val="en-US" w:eastAsia="zh-CN"/>
        </w:rPr>
        <w:t>s Note: Whether the SF is implemented as a single NF or is split into separate NFs is to be aligned with SA2.</w:t>
      </w:r>
    </w:p>
    <w:p>
      <w:pPr>
        <w:pStyle w:val="50"/>
        <w:rPr>
          <w:lang w:val="en-US" w:eastAsia="zh-CN"/>
        </w:rPr>
      </w:pPr>
      <w:r>
        <w:rPr>
          <w:rFonts w:hint="eastAsia"/>
          <w:lang w:val="en-US" w:eastAsia="zh-CN"/>
        </w:rPr>
        <w:t>Editor</w:t>
      </w:r>
      <w:r>
        <w:rPr>
          <w:lang w:val="en-US" w:eastAsia="zh-CN"/>
        </w:rPr>
        <w:t>’</w:t>
      </w:r>
      <w:r>
        <w:rPr>
          <w:rFonts w:hint="eastAsia"/>
          <w:lang w:val="en-US" w:eastAsia="zh-CN"/>
        </w:rPr>
        <w:t>s Note: W</w:t>
      </w:r>
      <w:r>
        <w:rPr>
          <w:lang w:val="en-US" w:eastAsia="zh-CN"/>
        </w:rPr>
        <w:t>hether using direct connection between sensing function and sensing entity for control sensing operation and report sensing data needs to align with SA WG2.</w:t>
      </w:r>
    </w:p>
    <w:p/>
    <w:p>
      <w:pPr>
        <w:pStyle w:val="5"/>
      </w:pPr>
      <w:bookmarkStart w:id="102" w:name="_Toc211859917"/>
      <w:r>
        <w:t>6.</w:t>
      </w:r>
      <w:r>
        <w:rPr>
          <w:rFonts w:hint="eastAsia"/>
          <w:lang w:val="en-US" w:eastAsia="zh-CN"/>
        </w:rPr>
        <w:t>2.1</w:t>
      </w:r>
      <w:r>
        <w:t>.3</w:t>
      </w:r>
      <w:r>
        <w:tab/>
      </w:r>
      <w:r>
        <w:t>Evaluation</w:t>
      </w:r>
      <w:bookmarkEnd w:id="102"/>
    </w:p>
    <w:p>
      <w:pPr>
        <w:rPr>
          <w:iCs/>
          <w:lang w:val="en-US" w:eastAsia="zh-CN"/>
        </w:rPr>
      </w:pPr>
      <w:r>
        <w:rPr>
          <w:rFonts w:hint="eastAsia"/>
          <w:iCs/>
          <w:lang w:val="en-US" w:eastAsia="zh-CN"/>
        </w:rPr>
        <w:t>TBD</w:t>
      </w:r>
    </w:p>
    <w:p>
      <w:pPr>
        <w:rPr>
          <w:iCs/>
          <w:lang w:val="en-US" w:eastAsia="zh-CN"/>
        </w:rPr>
      </w:pPr>
    </w:p>
    <w:p>
      <w:pPr>
        <w:pStyle w:val="4"/>
      </w:pPr>
      <w:bookmarkStart w:id="103" w:name="_Toc211859918"/>
      <w:r>
        <w:t>6.2.</w:t>
      </w:r>
      <w:r>
        <w:rPr>
          <w:rFonts w:hint="eastAsia"/>
          <w:lang w:val="en-US" w:eastAsia="zh-CN"/>
        </w:rPr>
        <w:t>2</w:t>
      </w:r>
      <w:r>
        <w:t xml:space="preserve"> </w:t>
      </w:r>
      <w:r>
        <w:tab/>
      </w:r>
      <w:r>
        <w:t>Solution</w:t>
      </w:r>
      <w:r>
        <w:rPr>
          <w:rFonts w:hint="eastAsia"/>
        </w:rPr>
        <w:t xml:space="preserve"> #</w:t>
      </w:r>
      <w:r>
        <w:t>2.</w:t>
      </w:r>
      <w:r>
        <w:rPr>
          <w:rFonts w:hint="eastAsia"/>
          <w:lang w:val="en-US" w:eastAsia="zh-CN"/>
        </w:rPr>
        <w:t>2</w:t>
      </w:r>
      <w:r>
        <w:t>: Security of the connection between Sensing Entity and SF</w:t>
      </w:r>
      <w:bookmarkEnd w:id="103"/>
    </w:p>
    <w:p>
      <w:pPr>
        <w:pStyle w:val="5"/>
      </w:pPr>
      <w:bookmarkStart w:id="104" w:name="_Toc211859919"/>
      <w:r>
        <w:t>6.2.</w:t>
      </w:r>
      <w:r>
        <w:rPr>
          <w:rFonts w:hint="eastAsia"/>
          <w:lang w:val="en-US" w:eastAsia="zh-CN"/>
        </w:rPr>
        <w:t>2</w:t>
      </w:r>
      <w:r>
        <w:t>.1</w:t>
      </w:r>
      <w:r>
        <w:tab/>
      </w:r>
      <w:r>
        <w:t>Introduction</w:t>
      </w:r>
      <w:bookmarkEnd w:id="104"/>
      <w:r>
        <w:t xml:space="preserve"> </w:t>
      </w:r>
    </w:p>
    <w:p>
      <w:pPr>
        <w:rPr>
          <w:i/>
          <w:lang w:val="en-US" w:eastAsia="zh-CN"/>
        </w:rPr>
      </w:pPr>
      <w:r>
        <w:rPr>
          <w:rFonts w:hint="eastAsia"/>
        </w:rPr>
        <w:t>T</w:t>
      </w:r>
      <w:r>
        <w:t>his solution aims to address Key Issue #2</w:t>
      </w:r>
      <w:r>
        <w:rPr>
          <w:lang w:val="en-US" w:eastAsia="zh-CN"/>
        </w:rPr>
        <w:t>.</w:t>
      </w:r>
    </w:p>
    <w:p>
      <w:r>
        <w:t>This solution to secure the connection between Sensing Entity and Sensing Function (SF). SF is responsible for to handle both sensing service control and sensing data processing.</w:t>
      </w:r>
    </w:p>
    <w:p>
      <w:pPr>
        <w:ind w:firstLine="284"/>
        <w:rPr>
          <w:i/>
          <w:color w:val="FF0000"/>
          <w:lang w:eastAsia="zh-CN"/>
        </w:rPr>
      </w:pPr>
      <w:r>
        <w:rPr>
          <w:color w:val="FF0000"/>
        </w:rPr>
        <w:t>Editor’s Note: the architecture of SF needs to further align with SA WG2.</w:t>
      </w:r>
    </w:p>
    <w:p>
      <w:pPr>
        <w:pStyle w:val="5"/>
      </w:pPr>
      <w:bookmarkStart w:id="105" w:name="_Toc211859920"/>
      <w:r>
        <w:t>6.2.</w:t>
      </w:r>
      <w:r>
        <w:rPr>
          <w:rFonts w:hint="eastAsia"/>
          <w:lang w:val="en-US" w:eastAsia="zh-CN"/>
        </w:rPr>
        <w:t>2</w:t>
      </w:r>
      <w:r>
        <w:t>.2</w:t>
      </w:r>
      <w:r>
        <w:tab/>
      </w:r>
      <w:r>
        <w:t>Solution details</w:t>
      </w:r>
      <w:bookmarkEnd w:id="105"/>
    </w:p>
    <w:p>
      <w:pPr>
        <w:rPr>
          <w:lang w:eastAsia="zh-CN"/>
        </w:rPr>
      </w:pPr>
      <w:r>
        <w:t>The SF supports a direct interface (e.g. Nx interface) to send the sensing service control signalling to sensing entity, and the sensing entity uses the same interface to reply the sensing data to the SF.</w:t>
      </w:r>
    </w:p>
    <w:p>
      <w:r>
        <w:rPr>
          <w:rFonts w:hint="eastAsia"/>
          <w:lang w:eastAsia="zh-CN"/>
        </w:rPr>
        <w:t>In</w:t>
      </w:r>
      <w:r>
        <w:t xml:space="preserve"> this architecture, the integrity protection, confidentiality protection and replay protection for the connection between sensing entity and SF </w:t>
      </w:r>
      <w:r>
        <w:rPr>
          <w:lang w:val="en-US"/>
        </w:rPr>
        <w:t>are offered by:</w:t>
      </w:r>
    </w:p>
    <w:p>
      <w:pPr>
        <w:pStyle w:val="79"/>
        <w:numPr>
          <w:ilvl w:val="0"/>
          <w:numId w:val="6"/>
        </w:numPr>
        <w:ind w:firstLineChars="0"/>
      </w:pPr>
      <w:r>
        <w:t>IPsec ESP and IKEv2 certificates-based authentication as specified in sub-clause 9.1.2 of [5]. IPsec is mandatory to implement on the Sensing Entity. On the SF side, a SEG may be used to terminate the IPsec tunnel.</w:t>
      </w:r>
    </w:p>
    <w:p>
      <w:pPr>
        <w:pStyle w:val="79"/>
        <w:numPr>
          <w:ilvl w:val="0"/>
          <w:numId w:val="6"/>
        </w:numPr>
        <w:ind w:firstLineChars="0"/>
        <w:rPr>
          <w:lang w:eastAsia="zh-CN"/>
        </w:rPr>
      </w:pPr>
      <w:r>
        <w:t>In addition to IPsec, D</w:t>
      </w:r>
      <w:r>
        <w:rPr>
          <w:lang w:eastAsia="zh-CN"/>
        </w:rPr>
        <w:t>TLS shall be supported as specified in RFC 6083 [</w:t>
      </w:r>
      <w:r>
        <w:rPr>
          <w:rFonts w:hint="eastAsia"/>
          <w:lang w:val="en-US" w:eastAsia="zh-CN"/>
        </w:rPr>
        <w:t>11</w:t>
      </w:r>
      <w:r>
        <w:rPr>
          <w:lang w:eastAsia="zh-CN"/>
        </w:rPr>
        <w:t xml:space="preserve">]. Security profiles for DTLS implementation and usage shall follow the TLS profile given in </w:t>
      </w:r>
      <w:r>
        <w:t>clause 6.2 of TS 33.210 [</w:t>
      </w:r>
      <w:r>
        <w:rPr>
          <w:rFonts w:hint="eastAsia"/>
          <w:lang w:val="en-US" w:eastAsia="zh-CN"/>
        </w:rPr>
        <w:t>7</w:t>
      </w:r>
      <w:r>
        <w:t>] and the certificate profile given in clause 6.1.3a of TS 33.310 [</w:t>
      </w:r>
      <w:r>
        <w:rPr>
          <w:rFonts w:hint="eastAsia"/>
          <w:lang w:val="en-US" w:eastAsia="zh-CN"/>
        </w:rPr>
        <w:t>6</w:t>
      </w:r>
      <w:r>
        <w:t>]</w:t>
      </w:r>
      <w:r>
        <w:rPr>
          <w:lang w:eastAsia="zh-CN"/>
        </w:rPr>
        <w:t>. The identities in the end entity certificates shall be used for authentication and policy checks.</w:t>
      </w:r>
    </w:p>
    <w:p>
      <w:pPr>
        <w:ind w:left="1418" w:leftChars="142" w:hanging="1134"/>
      </w:pPr>
      <w:r>
        <w:rPr>
          <w:color w:val="FF0000"/>
        </w:rPr>
        <w:t>Editor’s Note</w:t>
      </w:r>
      <w:r>
        <w:rPr>
          <w:rFonts w:hint="eastAsia"/>
          <w:color w:val="FF0000"/>
        </w:rPr>
        <w:t xml:space="preserve">: </w:t>
      </w:r>
      <w:r>
        <w:rPr>
          <w:color w:val="FF0000"/>
        </w:rPr>
        <w:t>W</w:t>
      </w:r>
      <w:r>
        <w:rPr>
          <w:rFonts w:hint="eastAsia"/>
          <w:color w:val="FF0000"/>
        </w:rPr>
        <w:t xml:space="preserve">hether using direct connection between </w:t>
      </w:r>
      <w:r>
        <w:rPr>
          <w:color w:val="FF0000"/>
        </w:rPr>
        <w:t>SF</w:t>
      </w:r>
      <w:r>
        <w:rPr>
          <w:rFonts w:hint="eastAsia"/>
          <w:color w:val="FF0000"/>
        </w:rPr>
        <w:t xml:space="preserve"> and sensing entity needs to align with SA WG2.</w:t>
      </w:r>
    </w:p>
    <w:p>
      <w:pPr>
        <w:ind w:firstLine="284"/>
        <w:rPr>
          <w:color w:val="FF0000"/>
        </w:rPr>
      </w:pPr>
      <w:r>
        <w:rPr>
          <w:color w:val="FF0000"/>
        </w:rPr>
        <w:t>Editor’s Note: the architecture of SF needs to further align with SA WG2 and the security is FFS.</w:t>
      </w:r>
    </w:p>
    <w:p>
      <w:pPr>
        <w:pStyle w:val="5"/>
      </w:pPr>
      <w:bookmarkStart w:id="106" w:name="_Toc211859921"/>
      <w:r>
        <w:t>6.2.</w:t>
      </w:r>
      <w:r>
        <w:rPr>
          <w:rFonts w:hint="eastAsia"/>
          <w:lang w:val="en-US" w:eastAsia="zh-CN"/>
        </w:rPr>
        <w:t>2</w:t>
      </w:r>
      <w:r>
        <w:t>.3</w:t>
      </w:r>
      <w:r>
        <w:tab/>
      </w:r>
      <w:r>
        <w:t>Evaluation</w:t>
      </w:r>
      <w:bookmarkEnd w:id="106"/>
    </w:p>
    <w:p>
      <w:r>
        <w:t>TBD.</w:t>
      </w:r>
    </w:p>
    <w:p>
      <w:pPr>
        <w:rPr>
          <w:rFonts w:cs="Arial"/>
          <w:sz w:val="28"/>
          <w:szCs w:val="28"/>
        </w:rPr>
      </w:pPr>
    </w:p>
    <w:p>
      <w:pPr>
        <w:pStyle w:val="4"/>
      </w:pPr>
      <w:bookmarkStart w:id="107" w:name="_Toc211859922"/>
      <w:r>
        <w:t>6.</w:t>
      </w:r>
      <w:r>
        <w:rPr>
          <w:rFonts w:hint="eastAsia"/>
          <w:lang w:val="en-US" w:eastAsia="zh-CN"/>
        </w:rPr>
        <w:t>2.3</w:t>
      </w:r>
      <w:r>
        <w:t xml:space="preserve"> </w:t>
      </w:r>
      <w:r>
        <w:tab/>
      </w:r>
      <w:r>
        <w:t>Solution</w:t>
      </w:r>
      <w:r>
        <w:rPr>
          <w:rFonts w:hint="eastAsia"/>
        </w:rPr>
        <w:t xml:space="preserve"> #</w:t>
      </w:r>
      <w:r>
        <w:t>2.</w:t>
      </w:r>
      <w:r>
        <w:rPr>
          <w:rFonts w:hint="eastAsia"/>
          <w:lang w:val="en-US" w:eastAsia="zh-CN"/>
        </w:rPr>
        <w:t>3</w:t>
      </w:r>
      <w:r>
        <w:t xml:space="preserve">: </w:t>
      </w:r>
      <w:r>
        <w:rPr>
          <w:rFonts w:cs="Arial"/>
          <w:b w:val="0"/>
          <w:bCs w:val="0"/>
        </w:rPr>
        <w:t>S</w:t>
      </w:r>
      <w:r>
        <w:rPr>
          <w:rFonts w:cs="Arial"/>
          <w:b w:val="0"/>
          <w:bCs w:val="0"/>
          <w:lang w:val="en-US"/>
        </w:rPr>
        <w:t>ecurity protection for sensing service operations between sensing entity and SF</w:t>
      </w:r>
      <w:bookmarkEnd w:id="107"/>
    </w:p>
    <w:p>
      <w:pPr>
        <w:pStyle w:val="5"/>
      </w:pPr>
      <w:bookmarkStart w:id="108" w:name="_Toc211859923"/>
      <w:r>
        <w:t>6.</w:t>
      </w:r>
      <w:r>
        <w:rPr>
          <w:rFonts w:hint="eastAsia"/>
          <w:lang w:val="en-US" w:eastAsia="zh-CN"/>
        </w:rPr>
        <w:t>2.3</w:t>
      </w:r>
      <w:r>
        <w:t>.1</w:t>
      </w:r>
      <w:r>
        <w:tab/>
      </w:r>
      <w:r>
        <w:t>Introduction</w:t>
      </w:r>
      <w:bookmarkEnd w:id="108"/>
      <w:r>
        <w:t xml:space="preserve"> </w:t>
      </w:r>
    </w:p>
    <w:p>
      <w:pPr>
        <w:pStyle w:val="50"/>
        <w:ind w:left="0" w:firstLine="0"/>
        <w:rPr>
          <w:color w:val="auto"/>
        </w:rPr>
      </w:pPr>
      <w:r>
        <w:rPr>
          <w:color w:val="auto"/>
        </w:rPr>
        <w:t>This solution is for security protection for sensing service operations between sensing entity and Sensing Function (SF) Security.</w:t>
      </w:r>
    </w:p>
    <w:p>
      <w:pPr>
        <w:pStyle w:val="50"/>
        <w:ind w:left="0" w:firstLine="0"/>
      </w:pPr>
    </w:p>
    <w:p>
      <w:pPr>
        <w:pStyle w:val="5"/>
      </w:pPr>
      <w:bookmarkStart w:id="109" w:name="_Toc211859924"/>
      <w:r>
        <w:t>6.</w:t>
      </w:r>
      <w:r>
        <w:rPr>
          <w:rFonts w:hint="eastAsia"/>
          <w:lang w:val="en-US" w:eastAsia="zh-CN"/>
        </w:rPr>
        <w:t>2.3</w:t>
      </w:r>
      <w:r>
        <w:t>.2</w:t>
      </w:r>
      <w:r>
        <w:tab/>
      </w:r>
      <w:r>
        <w:t>Solution details</w:t>
      </w:r>
      <w:bookmarkEnd w:id="109"/>
    </w:p>
    <w:p>
      <w:pPr>
        <w:pStyle w:val="50"/>
        <w:ind w:left="0" w:firstLine="0"/>
        <w:rPr>
          <w:color w:val="auto"/>
        </w:rPr>
      </w:pPr>
      <w:r>
        <w:rPr>
          <w:color w:val="auto"/>
        </w:rPr>
        <w:t xml:space="preserve">Security between SF (Sensing Function) and sensing entity is same as security procedures for non-service based interface security defined in clause 9 of 33.501 [5] using DTLS/IPsec. </w:t>
      </w:r>
    </w:p>
    <w:p>
      <w:pPr>
        <w:pStyle w:val="50"/>
        <w:ind w:left="0" w:firstLine="0"/>
        <w:rPr>
          <w:color w:val="auto"/>
        </w:rPr>
      </w:pPr>
      <w:r>
        <w:rPr>
          <w:color w:val="auto"/>
        </w:rPr>
        <w:t>Security profiles for DTLS implementation and usage shall follow the TLS profile given in clause 6.2 of TS 33.210 [6] and the certificate profile given in clause 6.1.3a of TS 33.310 [7].</w:t>
      </w:r>
    </w:p>
    <w:p>
      <w:pPr>
        <w:pStyle w:val="50"/>
      </w:pPr>
      <w:r>
        <w:t>Editor’s Note: This solution is under the assumption that deployment option is direct connection between sensing entity and SF. Need to update according to sensing architecture progress in TR 23.700-14.</w:t>
      </w:r>
    </w:p>
    <w:p>
      <w:pPr>
        <w:pStyle w:val="5"/>
      </w:pPr>
      <w:bookmarkStart w:id="110" w:name="_Toc211859925"/>
      <w:r>
        <w:t>6.</w:t>
      </w:r>
      <w:r>
        <w:rPr>
          <w:rFonts w:hint="eastAsia"/>
          <w:lang w:val="en-US" w:eastAsia="zh-CN"/>
        </w:rPr>
        <w:t>2.3</w:t>
      </w:r>
      <w:r>
        <w:t>.3</w:t>
      </w:r>
      <w:r>
        <w:tab/>
      </w:r>
      <w:r>
        <w:t>Evaluation</w:t>
      </w:r>
      <w:bookmarkEnd w:id="110"/>
    </w:p>
    <w:p>
      <w:pPr>
        <w:pStyle w:val="50"/>
      </w:pPr>
      <w:r>
        <w:t>Editor’s Note: Each solution should motivate how the potential security requirements of the key issues being addressed are fulfilled.</w:t>
      </w:r>
    </w:p>
    <w:p/>
    <w:p>
      <w:pPr>
        <w:pStyle w:val="3"/>
        <w:rPr>
          <w:rFonts w:cs="Arial"/>
          <w:sz w:val="28"/>
          <w:szCs w:val="28"/>
        </w:rPr>
      </w:pPr>
      <w:bookmarkStart w:id="111" w:name="_Toc211859926"/>
      <w:r>
        <w:t>6.X</w:t>
      </w:r>
      <w:r>
        <w:tab/>
      </w:r>
      <w:r>
        <w:t>Solutions to KI#</w:t>
      </w:r>
      <w:bookmarkEnd w:id="63"/>
      <w:r>
        <w:t>X</w:t>
      </w:r>
      <w:bookmarkEnd w:id="111"/>
    </w:p>
    <w:p>
      <w:pPr>
        <w:pStyle w:val="4"/>
      </w:pPr>
      <w:bookmarkStart w:id="112" w:name="_Toc205541432"/>
      <w:bookmarkStart w:id="113" w:name="_Toc204948592"/>
      <w:bookmarkStart w:id="114" w:name="_Toc204948719"/>
      <w:bookmarkStart w:id="115" w:name="_Toc211859927"/>
      <w:bookmarkStart w:id="116" w:name="_Toc107843137"/>
      <w:r>
        <w:t xml:space="preserve">6.X.Y </w:t>
      </w:r>
      <w:r>
        <w:tab/>
      </w:r>
      <w:r>
        <w:t>Solution</w:t>
      </w:r>
      <w:r>
        <w:rPr>
          <w:rFonts w:hint="eastAsia"/>
        </w:rPr>
        <w:t xml:space="preserve"> #</w:t>
      </w:r>
      <w:r>
        <w:t>X.Y: &lt;Solution Title&gt;</w:t>
      </w:r>
      <w:bookmarkEnd w:id="112"/>
      <w:bookmarkEnd w:id="113"/>
      <w:bookmarkEnd w:id="114"/>
      <w:bookmarkEnd w:id="115"/>
    </w:p>
    <w:p>
      <w:pPr>
        <w:pStyle w:val="5"/>
      </w:pPr>
      <w:bookmarkStart w:id="117" w:name="_Toc211859928"/>
      <w:r>
        <w:t>6.X.Y.1</w:t>
      </w:r>
      <w:r>
        <w:tab/>
      </w:r>
      <w:r>
        <w:t>Introduction</w:t>
      </w:r>
      <w:bookmarkEnd w:id="116"/>
      <w:bookmarkEnd w:id="117"/>
      <w:r>
        <w:t xml:space="preserve"> </w:t>
      </w:r>
    </w:p>
    <w:p>
      <w:pPr>
        <w:pStyle w:val="50"/>
      </w:pPr>
      <w:r>
        <w:t>Editor’s Note: Each solution should list the key issues being addressed.</w:t>
      </w:r>
    </w:p>
    <w:p/>
    <w:p>
      <w:pPr>
        <w:pStyle w:val="5"/>
      </w:pPr>
      <w:bookmarkStart w:id="118" w:name="_Toc107843138"/>
      <w:bookmarkStart w:id="119" w:name="_Toc211859929"/>
      <w:r>
        <w:t>6.X.Y.2</w:t>
      </w:r>
      <w:r>
        <w:tab/>
      </w:r>
      <w:r>
        <w:t>Solution details</w:t>
      </w:r>
      <w:bookmarkEnd w:id="118"/>
      <w:bookmarkEnd w:id="119"/>
    </w:p>
    <w:p/>
    <w:p>
      <w:pPr>
        <w:pStyle w:val="5"/>
      </w:pPr>
      <w:bookmarkStart w:id="120" w:name="_Toc211859930"/>
      <w:bookmarkStart w:id="121" w:name="_Toc107843139"/>
      <w:r>
        <w:t>6.X.Y.3</w:t>
      </w:r>
      <w:r>
        <w:tab/>
      </w:r>
      <w:r>
        <w:t>Evaluation</w:t>
      </w:r>
      <w:bookmarkEnd w:id="120"/>
      <w:bookmarkEnd w:id="121"/>
    </w:p>
    <w:p>
      <w:pPr>
        <w:pStyle w:val="50"/>
      </w:pPr>
      <w:r>
        <w:t>Editor’s Note: Each solution should motivate how the potential security requirements of the key issues being addressed are fulfilled.</w:t>
      </w:r>
    </w:p>
    <w:p/>
    <w:p>
      <w:pPr>
        <w:pStyle w:val="2"/>
      </w:pPr>
      <w:bookmarkStart w:id="122" w:name="_Toc107843140"/>
      <w:bookmarkStart w:id="123" w:name="_Toc211859931"/>
      <w:r>
        <w:t>7</w:t>
      </w:r>
      <w:r>
        <w:tab/>
      </w:r>
      <w:r>
        <w:t>Conclusions</w:t>
      </w:r>
      <w:bookmarkEnd w:id="122"/>
      <w:bookmarkEnd w:id="123"/>
    </w:p>
    <w:p>
      <w:pPr>
        <w:pStyle w:val="50"/>
      </w:pPr>
      <w:bookmarkStart w:id="124" w:name="startOfAnnexes"/>
      <w:bookmarkEnd w:id="124"/>
      <w:r>
        <w:t>Editor's Note: This clause contains the agreed conclusions that will form the basis for any normative work.</w:t>
      </w:r>
    </w:p>
    <w:p/>
    <w:p>
      <w:r>
        <w:br w:type="page"/>
      </w:r>
    </w:p>
    <w:p>
      <w:pPr>
        <w:pStyle w:val="11"/>
      </w:pPr>
      <w:bookmarkStart w:id="125" w:name="_Toc211859932"/>
      <w:bookmarkStart w:id="126" w:name="_Toc107843141"/>
      <w:r>
        <w:t>Annex X:</w:t>
      </w:r>
      <w:r>
        <w:br w:type="textWrapping"/>
      </w:r>
      <w:r>
        <w:t>Change history</w:t>
      </w:r>
      <w:bookmarkEnd w:id="125"/>
      <w:bookmarkEnd w:id="126"/>
      <w:bookmarkStart w:id="127" w:name="historyclause"/>
      <w:bookmarkEnd w:id="127"/>
    </w:p>
    <w:tbl>
      <w:tblPr>
        <w:tblStyle w:val="27"/>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2"/>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2"/>
              <w:rPr>
                <w:sz w:val="16"/>
                <w:szCs w:val="16"/>
              </w:rPr>
            </w:pPr>
            <w:r>
              <w:rPr>
                <w:sz w:val="16"/>
                <w:szCs w:val="16"/>
              </w:rPr>
              <w:t>Date</w:t>
            </w:r>
          </w:p>
        </w:tc>
        <w:tc>
          <w:tcPr>
            <w:tcW w:w="901" w:type="dxa"/>
            <w:shd w:val="pct10" w:color="auto" w:fill="FFFFFF"/>
          </w:tcPr>
          <w:p>
            <w:pPr>
              <w:pStyle w:val="42"/>
              <w:rPr>
                <w:sz w:val="16"/>
                <w:szCs w:val="16"/>
              </w:rPr>
            </w:pPr>
            <w:r>
              <w:rPr>
                <w:sz w:val="16"/>
                <w:szCs w:val="16"/>
              </w:rPr>
              <w:t>Meeting</w:t>
            </w:r>
          </w:p>
        </w:tc>
        <w:tc>
          <w:tcPr>
            <w:tcW w:w="1134" w:type="dxa"/>
            <w:shd w:val="pct10" w:color="auto" w:fill="FFFFFF"/>
          </w:tcPr>
          <w:p>
            <w:pPr>
              <w:pStyle w:val="42"/>
              <w:rPr>
                <w:sz w:val="16"/>
                <w:szCs w:val="16"/>
              </w:rPr>
            </w:pPr>
            <w:r>
              <w:rPr>
                <w:sz w:val="16"/>
                <w:szCs w:val="16"/>
              </w:rPr>
              <w:t>TDoc</w:t>
            </w:r>
          </w:p>
        </w:tc>
        <w:tc>
          <w:tcPr>
            <w:tcW w:w="567" w:type="dxa"/>
            <w:shd w:val="pct10" w:color="auto" w:fill="FFFFFF"/>
          </w:tcPr>
          <w:p>
            <w:pPr>
              <w:pStyle w:val="42"/>
              <w:rPr>
                <w:sz w:val="16"/>
                <w:szCs w:val="16"/>
              </w:rPr>
            </w:pPr>
            <w:r>
              <w:rPr>
                <w:sz w:val="16"/>
                <w:szCs w:val="16"/>
              </w:rPr>
              <w:t>CR</w:t>
            </w:r>
          </w:p>
        </w:tc>
        <w:tc>
          <w:tcPr>
            <w:tcW w:w="426" w:type="dxa"/>
            <w:shd w:val="pct10" w:color="auto" w:fill="FFFFFF"/>
          </w:tcPr>
          <w:p>
            <w:pPr>
              <w:pStyle w:val="42"/>
              <w:rPr>
                <w:sz w:val="16"/>
                <w:szCs w:val="16"/>
              </w:rPr>
            </w:pPr>
            <w:r>
              <w:rPr>
                <w:sz w:val="16"/>
                <w:szCs w:val="16"/>
              </w:rPr>
              <w:t>Rev</w:t>
            </w:r>
          </w:p>
        </w:tc>
        <w:tc>
          <w:tcPr>
            <w:tcW w:w="425" w:type="dxa"/>
            <w:shd w:val="pct10" w:color="auto" w:fill="FFFFFF"/>
          </w:tcPr>
          <w:p>
            <w:pPr>
              <w:pStyle w:val="42"/>
              <w:rPr>
                <w:sz w:val="16"/>
                <w:szCs w:val="16"/>
              </w:rPr>
            </w:pPr>
            <w:r>
              <w:rPr>
                <w:sz w:val="16"/>
                <w:szCs w:val="16"/>
              </w:rPr>
              <w:t>Cat</w:t>
            </w:r>
          </w:p>
        </w:tc>
        <w:tc>
          <w:tcPr>
            <w:tcW w:w="4678" w:type="dxa"/>
            <w:shd w:val="pct10" w:color="auto" w:fill="FFFFFF"/>
          </w:tcPr>
          <w:p>
            <w:pPr>
              <w:pStyle w:val="42"/>
              <w:rPr>
                <w:sz w:val="16"/>
                <w:szCs w:val="16"/>
              </w:rPr>
            </w:pPr>
            <w:r>
              <w:rPr>
                <w:sz w:val="16"/>
                <w:szCs w:val="16"/>
              </w:rPr>
              <w:t>Subject/Comment</w:t>
            </w:r>
          </w:p>
        </w:tc>
        <w:tc>
          <w:tcPr>
            <w:tcW w:w="708" w:type="dxa"/>
            <w:shd w:val="pct10" w:color="auto" w:fill="FFFFFF"/>
          </w:tcPr>
          <w:p>
            <w:pPr>
              <w:pStyle w:val="42"/>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pPr>
              <w:pStyle w:val="43"/>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pPr>
              <w:pStyle w:val="43"/>
              <w:rPr>
                <w:sz w:val="16"/>
                <w:szCs w:val="16"/>
              </w:rPr>
            </w:pPr>
            <w:r>
              <w:rPr>
                <w:sz w:val="16"/>
                <w:szCs w:val="16"/>
              </w:rPr>
              <w:t>S3-252869</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keleton for ISAC Security TR</w:t>
            </w:r>
          </w:p>
        </w:tc>
        <w:tc>
          <w:tcPr>
            <w:tcW w:w="708" w:type="dxa"/>
            <w:shd w:val="solid" w:color="FFFFFF" w:fill="auto"/>
          </w:tcPr>
          <w:p>
            <w:pPr>
              <w:pStyle w:val="43"/>
              <w:rPr>
                <w:sz w:val="16"/>
                <w:szCs w:val="16"/>
                <w:lang w:eastAsia="zh-CN"/>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eastAsia="zh-CN"/>
              </w:rPr>
            </w:pPr>
            <w:r>
              <w:rPr>
                <w:rFonts w:hint="eastAsia"/>
                <w:sz w:val="16"/>
                <w:szCs w:val="16"/>
                <w:lang w:eastAsia="zh-CN"/>
              </w:rPr>
              <w:t>2</w:t>
            </w:r>
            <w:r>
              <w:rPr>
                <w:sz w:val="16"/>
                <w:szCs w:val="16"/>
                <w:lang w:eastAsia="zh-CN"/>
              </w:rPr>
              <w:t>025-09</w:t>
            </w:r>
          </w:p>
        </w:tc>
        <w:tc>
          <w:tcPr>
            <w:tcW w:w="901" w:type="dxa"/>
            <w:shd w:val="solid" w:color="FFFFFF" w:fill="auto"/>
          </w:tcPr>
          <w:p>
            <w:pPr>
              <w:pStyle w:val="43"/>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pPr>
              <w:pStyle w:val="43"/>
              <w:rPr>
                <w:sz w:val="16"/>
                <w:szCs w:val="16"/>
              </w:rPr>
            </w:pPr>
            <w:r>
              <w:rPr>
                <w:sz w:val="16"/>
                <w:szCs w:val="16"/>
              </w:rPr>
              <w:t>S3-253011</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rPr>
            </w:pPr>
            <w:r>
              <w:rPr>
                <w:sz w:val="16"/>
                <w:szCs w:val="16"/>
              </w:rPr>
              <w:t>Implemented S3-252693,</w:t>
            </w:r>
            <w:r>
              <w:rPr>
                <w:sz w:val="16"/>
                <w:szCs w:val="16"/>
                <w:lang w:eastAsia="zh-CN"/>
              </w:rPr>
              <w:t xml:space="preserve"> S3-253012, S3-253013 and S3-253014</w:t>
            </w:r>
          </w:p>
        </w:tc>
        <w:tc>
          <w:tcPr>
            <w:tcW w:w="708" w:type="dxa"/>
            <w:shd w:val="solid" w:color="FFFFFF" w:fill="auto"/>
          </w:tcPr>
          <w:p>
            <w:pPr>
              <w:pStyle w:val="43"/>
              <w:rPr>
                <w:sz w:val="16"/>
                <w:szCs w:val="16"/>
                <w:lang w:eastAsia="zh-CN"/>
              </w:rPr>
            </w:pPr>
            <w:r>
              <w:rPr>
                <w:rFonts w:hint="eastAsia"/>
                <w:sz w:val="16"/>
                <w:szCs w:val="16"/>
                <w:lang w:eastAsia="zh-CN"/>
              </w:rPr>
              <w:t>0</w:t>
            </w:r>
            <w:r>
              <w:rPr>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2025-10</w:t>
            </w:r>
          </w:p>
        </w:tc>
        <w:tc>
          <w:tcPr>
            <w:tcW w:w="901" w:type="dxa"/>
            <w:shd w:val="solid" w:color="FFFFFF" w:fill="auto"/>
          </w:tcPr>
          <w:p>
            <w:pPr>
              <w:pStyle w:val="43"/>
              <w:rPr>
                <w:sz w:val="16"/>
                <w:szCs w:val="16"/>
                <w:lang w:val="en-US" w:eastAsia="zh-CN"/>
              </w:rPr>
            </w:pPr>
            <w:r>
              <w:rPr>
                <w:rFonts w:hint="eastAsia"/>
                <w:sz w:val="16"/>
                <w:szCs w:val="16"/>
                <w:lang w:val="en-US" w:eastAsia="zh-CN"/>
              </w:rPr>
              <w:t>SA3#124</w:t>
            </w:r>
          </w:p>
        </w:tc>
        <w:tc>
          <w:tcPr>
            <w:tcW w:w="1134" w:type="dxa"/>
            <w:shd w:val="solid" w:color="FFFFFF" w:fill="auto"/>
          </w:tcPr>
          <w:p>
            <w:pPr>
              <w:pStyle w:val="43"/>
              <w:rPr>
                <w:sz w:val="16"/>
                <w:szCs w:val="16"/>
                <w:lang w:val="en-US" w:eastAsia="zh-CN"/>
              </w:rPr>
            </w:pPr>
            <w:r>
              <w:rPr>
                <w:rFonts w:hint="eastAsia"/>
                <w:sz w:val="16"/>
                <w:szCs w:val="16"/>
                <w:lang w:val="en-US" w:eastAsia="zh-CN"/>
              </w:rPr>
              <w:t>S3-253728</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S3-253744, S3 253856, S3-253849, S3-253850. S3-253746, S3-253747, S3-253748, S3-253851,S3-253751, S3-251750, S3-253852, S3-253357</w:t>
            </w:r>
          </w:p>
        </w:tc>
        <w:tc>
          <w:tcPr>
            <w:tcW w:w="708" w:type="dxa"/>
            <w:shd w:val="solid" w:color="FFFFFF" w:fill="auto"/>
          </w:tcPr>
          <w:p>
            <w:pPr>
              <w:pStyle w:val="43"/>
              <w:rPr>
                <w:sz w:val="16"/>
                <w:szCs w:val="16"/>
                <w:lang w:val="en-US" w:eastAsia="zh-CN"/>
              </w:rPr>
            </w:pPr>
            <w:r>
              <w:rPr>
                <w:rFonts w:hint="eastAsia"/>
                <w:sz w:val="16"/>
                <w:szCs w:val="16"/>
                <w:lang w:val="en-US" w:eastAsia="zh-CN"/>
              </w:rPr>
              <w:t>0.2.0</w:t>
            </w:r>
          </w:p>
        </w:tc>
      </w:tr>
    </w:tbl>
    <w:p/>
    <w:p>
      <w:pPr>
        <w:pStyle w:val="67"/>
      </w:pPr>
      <w:r>
        <w:t xml:space="preserve"> </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33.777 V0.2.0 (2025-10)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44FBF"/>
    <w:multiLevelType w:val="multilevel"/>
    <w:tmpl w:val="0F444FB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16376415"/>
    <w:multiLevelType w:val="multilevel"/>
    <w:tmpl w:val="16376415"/>
    <w:lvl w:ilvl="0" w:tentative="0">
      <w:start w:val="6"/>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B1FD541"/>
    <w:multiLevelType w:val="multilevel"/>
    <w:tmpl w:val="3B1FD541"/>
    <w:lvl w:ilvl="0" w:tentative="0">
      <w:start w:val="8"/>
      <w:numFmt w:val="decimal"/>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
    <w:nsid w:val="3F252487"/>
    <w:multiLevelType w:val="multilevel"/>
    <w:tmpl w:val="3F252487"/>
    <w:lvl w:ilvl="0" w:tentative="0">
      <w:start w:val="8"/>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C242031"/>
    <w:multiLevelType w:val="singleLevel"/>
    <w:tmpl w:val="5C242031"/>
    <w:lvl w:ilvl="0" w:tentative="0">
      <w:start w:val="1"/>
      <w:numFmt w:val="decimal"/>
      <w:suff w:val="space"/>
      <w:lvlText w:val="%1."/>
      <w:lvlJc w:val="left"/>
    </w:lvl>
  </w:abstractNum>
  <w:abstractNum w:abstractNumId="5">
    <w:nsid w:val="71965C49"/>
    <w:multiLevelType w:val="multilevel"/>
    <w:tmpl w:val="71965C4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7B4"/>
    <w:rsid w:val="00033397"/>
    <w:rsid w:val="00040095"/>
    <w:rsid w:val="00051834"/>
    <w:rsid w:val="00054A22"/>
    <w:rsid w:val="00062023"/>
    <w:rsid w:val="000624AE"/>
    <w:rsid w:val="0006452E"/>
    <w:rsid w:val="000655A6"/>
    <w:rsid w:val="00080512"/>
    <w:rsid w:val="00087280"/>
    <w:rsid w:val="00094B9B"/>
    <w:rsid w:val="00096591"/>
    <w:rsid w:val="000A7EE0"/>
    <w:rsid w:val="000C00E7"/>
    <w:rsid w:val="000C0297"/>
    <w:rsid w:val="000C47C3"/>
    <w:rsid w:val="000D58AB"/>
    <w:rsid w:val="001046E0"/>
    <w:rsid w:val="00106E46"/>
    <w:rsid w:val="00107FD0"/>
    <w:rsid w:val="00133525"/>
    <w:rsid w:val="00135EBB"/>
    <w:rsid w:val="0013734C"/>
    <w:rsid w:val="00151EEB"/>
    <w:rsid w:val="00166AEE"/>
    <w:rsid w:val="00172A27"/>
    <w:rsid w:val="00181181"/>
    <w:rsid w:val="00187F20"/>
    <w:rsid w:val="001910D3"/>
    <w:rsid w:val="001A4C42"/>
    <w:rsid w:val="001A7420"/>
    <w:rsid w:val="001A77F5"/>
    <w:rsid w:val="001B61CD"/>
    <w:rsid w:val="001B6637"/>
    <w:rsid w:val="001C21C3"/>
    <w:rsid w:val="001D02C2"/>
    <w:rsid w:val="001D2060"/>
    <w:rsid w:val="001F0C1D"/>
    <w:rsid w:val="001F1132"/>
    <w:rsid w:val="001F168B"/>
    <w:rsid w:val="001F2832"/>
    <w:rsid w:val="002347A2"/>
    <w:rsid w:val="002423B2"/>
    <w:rsid w:val="002470A7"/>
    <w:rsid w:val="002675F0"/>
    <w:rsid w:val="00273BDD"/>
    <w:rsid w:val="002760EE"/>
    <w:rsid w:val="0028395C"/>
    <w:rsid w:val="002B6339"/>
    <w:rsid w:val="002C4A18"/>
    <w:rsid w:val="002E00EE"/>
    <w:rsid w:val="002E36BB"/>
    <w:rsid w:val="002F1750"/>
    <w:rsid w:val="003148C6"/>
    <w:rsid w:val="003172DC"/>
    <w:rsid w:val="0035280A"/>
    <w:rsid w:val="0035462D"/>
    <w:rsid w:val="00356555"/>
    <w:rsid w:val="00363581"/>
    <w:rsid w:val="00365201"/>
    <w:rsid w:val="00370157"/>
    <w:rsid w:val="003765B8"/>
    <w:rsid w:val="003A1BAB"/>
    <w:rsid w:val="003A7539"/>
    <w:rsid w:val="003C3971"/>
    <w:rsid w:val="003C4D9F"/>
    <w:rsid w:val="003D6720"/>
    <w:rsid w:val="003F00AB"/>
    <w:rsid w:val="00411BD3"/>
    <w:rsid w:val="004164E2"/>
    <w:rsid w:val="00423334"/>
    <w:rsid w:val="004345EC"/>
    <w:rsid w:val="00435AE2"/>
    <w:rsid w:val="00454F1B"/>
    <w:rsid w:val="004578D5"/>
    <w:rsid w:val="00465515"/>
    <w:rsid w:val="004834AB"/>
    <w:rsid w:val="00485496"/>
    <w:rsid w:val="0049751D"/>
    <w:rsid w:val="004A77C9"/>
    <w:rsid w:val="004C30AC"/>
    <w:rsid w:val="004D3578"/>
    <w:rsid w:val="004D3A54"/>
    <w:rsid w:val="004D740E"/>
    <w:rsid w:val="004E213A"/>
    <w:rsid w:val="004F0988"/>
    <w:rsid w:val="004F3340"/>
    <w:rsid w:val="005316B9"/>
    <w:rsid w:val="0053388B"/>
    <w:rsid w:val="00535773"/>
    <w:rsid w:val="00543E6C"/>
    <w:rsid w:val="0055710C"/>
    <w:rsid w:val="00565087"/>
    <w:rsid w:val="005959C5"/>
    <w:rsid w:val="00597B11"/>
    <w:rsid w:val="005A7A1E"/>
    <w:rsid w:val="005D2E01"/>
    <w:rsid w:val="005D7526"/>
    <w:rsid w:val="005E4BB2"/>
    <w:rsid w:val="005F788A"/>
    <w:rsid w:val="00602AEA"/>
    <w:rsid w:val="00606DE9"/>
    <w:rsid w:val="00614FDF"/>
    <w:rsid w:val="0063543D"/>
    <w:rsid w:val="00647114"/>
    <w:rsid w:val="00663677"/>
    <w:rsid w:val="00674364"/>
    <w:rsid w:val="006912E9"/>
    <w:rsid w:val="006A323F"/>
    <w:rsid w:val="006B17D5"/>
    <w:rsid w:val="006B30D0"/>
    <w:rsid w:val="006C3D95"/>
    <w:rsid w:val="006E5C86"/>
    <w:rsid w:val="00701116"/>
    <w:rsid w:val="00705F49"/>
    <w:rsid w:val="00710858"/>
    <w:rsid w:val="0071174C"/>
    <w:rsid w:val="00713C44"/>
    <w:rsid w:val="00734A5B"/>
    <w:rsid w:val="0074026F"/>
    <w:rsid w:val="007429F6"/>
    <w:rsid w:val="00743A6D"/>
    <w:rsid w:val="00744E76"/>
    <w:rsid w:val="00754C9D"/>
    <w:rsid w:val="00765EA3"/>
    <w:rsid w:val="0076669A"/>
    <w:rsid w:val="00774DA4"/>
    <w:rsid w:val="00781F0F"/>
    <w:rsid w:val="007B5E71"/>
    <w:rsid w:val="007B600E"/>
    <w:rsid w:val="007C2B04"/>
    <w:rsid w:val="007D7E01"/>
    <w:rsid w:val="007F0F4A"/>
    <w:rsid w:val="007F26D2"/>
    <w:rsid w:val="008028A4"/>
    <w:rsid w:val="00807EF4"/>
    <w:rsid w:val="008306F3"/>
    <w:rsid w:val="00830747"/>
    <w:rsid w:val="00874775"/>
    <w:rsid w:val="008768CA"/>
    <w:rsid w:val="00885D69"/>
    <w:rsid w:val="008A0109"/>
    <w:rsid w:val="008A1119"/>
    <w:rsid w:val="008C384C"/>
    <w:rsid w:val="008C3CC4"/>
    <w:rsid w:val="008D2906"/>
    <w:rsid w:val="008E2D68"/>
    <w:rsid w:val="008E6756"/>
    <w:rsid w:val="008E77AB"/>
    <w:rsid w:val="0090271F"/>
    <w:rsid w:val="00902E23"/>
    <w:rsid w:val="009114D7"/>
    <w:rsid w:val="0091348E"/>
    <w:rsid w:val="00917CCB"/>
    <w:rsid w:val="00933DBE"/>
    <w:rsid w:val="00933FB0"/>
    <w:rsid w:val="00942EC2"/>
    <w:rsid w:val="009D6FCD"/>
    <w:rsid w:val="009E5DEE"/>
    <w:rsid w:val="009F37B7"/>
    <w:rsid w:val="00A01C22"/>
    <w:rsid w:val="00A10F02"/>
    <w:rsid w:val="00A164B4"/>
    <w:rsid w:val="00A20302"/>
    <w:rsid w:val="00A26956"/>
    <w:rsid w:val="00A27486"/>
    <w:rsid w:val="00A40FC4"/>
    <w:rsid w:val="00A53724"/>
    <w:rsid w:val="00A56066"/>
    <w:rsid w:val="00A73129"/>
    <w:rsid w:val="00A82346"/>
    <w:rsid w:val="00A92BA1"/>
    <w:rsid w:val="00A95A32"/>
    <w:rsid w:val="00AA2404"/>
    <w:rsid w:val="00AB0480"/>
    <w:rsid w:val="00AB4A5D"/>
    <w:rsid w:val="00AC3224"/>
    <w:rsid w:val="00AC6BC6"/>
    <w:rsid w:val="00AE2DAF"/>
    <w:rsid w:val="00AE65E2"/>
    <w:rsid w:val="00AE7728"/>
    <w:rsid w:val="00AF1460"/>
    <w:rsid w:val="00AF74B7"/>
    <w:rsid w:val="00B15449"/>
    <w:rsid w:val="00B24D72"/>
    <w:rsid w:val="00B42118"/>
    <w:rsid w:val="00B8667F"/>
    <w:rsid w:val="00B93086"/>
    <w:rsid w:val="00BA19ED"/>
    <w:rsid w:val="00BA4B8D"/>
    <w:rsid w:val="00BA5170"/>
    <w:rsid w:val="00BB35DD"/>
    <w:rsid w:val="00BC0F7D"/>
    <w:rsid w:val="00BD7D31"/>
    <w:rsid w:val="00BE2675"/>
    <w:rsid w:val="00BE3255"/>
    <w:rsid w:val="00BF128E"/>
    <w:rsid w:val="00BF4A02"/>
    <w:rsid w:val="00C07284"/>
    <w:rsid w:val="00C074DD"/>
    <w:rsid w:val="00C1496A"/>
    <w:rsid w:val="00C17B0E"/>
    <w:rsid w:val="00C26881"/>
    <w:rsid w:val="00C33079"/>
    <w:rsid w:val="00C34128"/>
    <w:rsid w:val="00C45231"/>
    <w:rsid w:val="00C4581E"/>
    <w:rsid w:val="00C47D50"/>
    <w:rsid w:val="00C551FF"/>
    <w:rsid w:val="00C72833"/>
    <w:rsid w:val="00C7757A"/>
    <w:rsid w:val="00C80F1D"/>
    <w:rsid w:val="00C81C15"/>
    <w:rsid w:val="00C91962"/>
    <w:rsid w:val="00C93F40"/>
    <w:rsid w:val="00C97077"/>
    <w:rsid w:val="00CA3D0C"/>
    <w:rsid w:val="00CA561D"/>
    <w:rsid w:val="00CB26A2"/>
    <w:rsid w:val="00CF7336"/>
    <w:rsid w:val="00D57972"/>
    <w:rsid w:val="00D675A9"/>
    <w:rsid w:val="00D71836"/>
    <w:rsid w:val="00D738D6"/>
    <w:rsid w:val="00D753CF"/>
    <w:rsid w:val="00D7543E"/>
    <w:rsid w:val="00D755EB"/>
    <w:rsid w:val="00D76048"/>
    <w:rsid w:val="00D82E6F"/>
    <w:rsid w:val="00D83960"/>
    <w:rsid w:val="00D87E00"/>
    <w:rsid w:val="00D9134D"/>
    <w:rsid w:val="00D973C2"/>
    <w:rsid w:val="00DA7A03"/>
    <w:rsid w:val="00DB1818"/>
    <w:rsid w:val="00DC309B"/>
    <w:rsid w:val="00DC4DA2"/>
    <w:rsid w:val="00DD4C17"/>
    <w:rsid w:val="00DD74A5"/>
    <w:rsid w:val="00DF2B1F"/>
    <w:rsid w:val="00DF62CD"/>
    <w:rsid w:val="00E00082"/>
    <w:rsid w:val="00E16509"/>
    <w:rsid w:val="00E31B4B"/>
    <w:rsid w:val="00E44582"/>
    <w:rsid w:val="00E622B1"/>
    <w:rsid w:val="00E6353F"/>
    <w:rsid w:val="00E77645"/>
    <w:rsid w:val="00E95BBD"/>
    <w:rsid w:val="00EA15B0"/>
    <w:rsid w:val="00EA5586"/>
    <w:rsid w:val="00EA5EA7"/>
    <w:rsid w:val="00EB2B7A"/>
    <w:rsid w:val="00EB3A7F"/>
    <w:rsid w:val="00EB44A3"/>
    <w:rsid w:val="00EC4A25"/>
    <w:rsid w:val="00EE25BE"/>
    <w:rsid w:val="00EE42A6"/>
    <w:rsid w:val="00EF50B7"/>
    <w:rsid w:val="00EF608C"/>
    <w:rsid w:val="00F025A2"/>
    <w:rsid w:val="00F04712"/>
    <w:rsid w:val="00F13360"/>
    <w:rsid w:val="00F162ED"/>
    <w:rsid w:val="00F22EC7"/>
    <w:rsid w:val="00F325C8"/>
    <w:rsid w:val="00F55E9E"/>
    <w:rsid w:val="00F63F13"/>
    <w:rsid w:val="00F653B8"/>
    <w:rsid w:val="00F85CB1"/>
    <w:rsid w:val="00F9008D"/>
    <w:rsid w:val="00F91D5F"/>
    <w:rsid w:val="00FA1266"/>
    <w:rsid w:val="00FA6828"/>
    <w:rsid w:val="00FC1192"/>
    <w:rsid w:val="055A2941"/>
    <w:rsid w:val="2CA666D8"/>
    <w:rsid w:val="2CCB5EB6"/>
    <w:rsid w:val="671F1F3C"/>
    <w:rsid w:val="7D0B66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caption"/>
    <w:basedOn w:val="1"/>
    <w:next w:val="1"/>
    <w:unhideWhenUsed/>
    <w:qFormat/>
    <w:uiPriority w:val="99"/>
    <w:rPr>
      <w:b/>
      <w:bCs/>
    </w:rPr>
  </w:style>
  <w:style w:type="paragraph" w:styleId="20">
    <w:name w:val="List Bullet"/>
    <w:basedOn w:val="21"/>
    <w:qFormat/>
    <w:uiPriority w:val="0"/>
    <w:pPr>
      <w:ind w:left="568" w:hanging="284" w:firstLineChars="0"/>
      <w:contextualSpacing w:val="0"/>
    </w:pPr>
    <w:rPr>
      <w:rFonts w:eastAsia="宋体"/>
    </w:rPr>
  </w:style>
  <w:style w:type="paragraph" w:styleId="21">
    <w:name w:val="List"/>
    <w:basedOn w:val="1"/>
    <w:qFormat/>
    <w:uiPriority w:val="0"/>
    <w:pPr>
      <w:ind w:left="200" w:hanging="200" w:hangingChars="200"/>
      <w:contextualSpacing/>
    </w:pPr>
  </w:style>
  <w:style w:type="paragraph" w:styleId="22">
    <w:name w:val="toc 8"/>
    <w:basedOn w:val="18"/>
    <w:next w:val="1"/>
    <w:qFormat/>
    <w:uiPriority w:val="39"/>
    <w:pPr>
      <w:spacing w:before="180"/>
      <w:ind w:left="2693" w:hanging="2693"/>
    </w:pPr>
    <w:rPr>
      <w:b/>
    </w:rPr>
  </w:style>
  <w:style w:type="paragraph" w:styleId="23">
    <w:name w:val="Balloon Text"/>
    <w:basedOn w:val="1"/>
    <w:link w:val="32"/>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customStyle="1" w:styleId="32">
    <w:name w:val="批注框文本 Char"/>
    <w:link w:val="23"/>
    <w:qFormat/>
    <w:uiPriority w:val="0"/>
    <w:rPr>
      <w:rFonts w:ascii="Segoe UI" w:hAnsi="Segoe UI" w:cs="Segoe UI"/>
      <w:sz w:val="18"/>
      <w:szCs w:val="18"/>
      <w:lang w:eastAsia="en-US"/>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link w:val="75"/>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link w:val="77"/>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link w:val="72"/>
    <w:qFormat/>
    <w:uiPriority w:val="0"/>
    <w:pPr>
      <w:ind w:left="568" w:hanging="284"/>
    </w:pPr>
  </w:style>
  <w:style w:type="paragraph" w:customStyle="1" w:styleId="50">
    <w:name w:val="Editor's Note"/>
    <w:basedOn w:val="38"/>
    <w:link w:val="69"/>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link w:val="73"/>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未处理的提及1"/>
    <w:semiHidden/>
    <w:unhideWhenUsed/>
    <w:qFormat/>
    <w:uiPriority w:val="99"/>
    <w:rPr>
      <w:color w:val="605E5C"/>
      <w:shd w:val="clear" w:color="auto" w:fill="E1DFDD"/>
    </w:rPr>
  </w:style>
  <w:style w:type="character" w:customStyle="1" w:styleId="69">
    <w:name w:val="EN Char"/>
    <w:link w:val="50"/>
    <w:qFormat/>
    <w:locked/>
    <w:uiPriority w:val="0"/>
    <w:rPr>
      <w:color w:val="FF0000"/>
      <w:lang w:val="en-GB" w:eastAsia="en-US"/>
    </w:rPr>
  </w:style>
  <w:style w:type="character" w:customStyle="1" w:styleId="70">
    <w:name w:val="Editor's Note Char Char"/>
    <w:qFormat/>
    <w:uiPriority w:val="0"/>
    <w:rPr>
      <w:color w:val="FF0000"/>
      <w:lang w:eastAsia="en-US"/>
    </w:rPr>
  </w:style>
  <w:style w:type="character" w:customStyle="1" w:styleId="71">
    <w:name w:val="标题 1 Char"/>
    <w:basedOn w:val="29"/>
    <w:link w:val="2"/>
    <w:qFormat/>
    <w:uiPriority w:val="0"/>
    <w:rPr>
      <w:rFonts w:ascii="Arial" w:hAnsi="Arial"/>
      <w:sz w:val="36"/>
      <w:lang w:val="en-GB" w:eastAsia="en-US"/>
    </w:rPr>
  </w:style>
  <w:style w:type="character" w:customStyle="1" w:styleId="72">
    <w:name w:val="B1 Char"/>
    <w:link w:val="49"/>
    <w:qFormat/>
    <w:uiPriority w:val="0"/>
    <w:rPr>
      <w:lang w:val="en-GB" w:eastAsia="en-US"/>
    </w:rPr>
  </w:style>
  <w:style w:type="character" w:customStyle="1" w:styleId="73">
    <w:name w:val="TF Char"/>
    <w:link w:val="58"/>
    <w:qFormat/>
    <w:uiPriority w:val="0"/>
    <w:rPr>
      <w:rFonts w:ascii="Arial" w:hAnsi="Arial"/>
      <w:b/>
      <w:lang w:val="en-GB" w:eastAsia="en-US"/>
    </w:rPr>
  </w:style>
  <w:style w:type="paragraph" w:customStyle="1" w:styleId="74">
    <w:name w:val="Reference"/>
    <w:basedOn w:val="1"/>
    <w:qFormat/>
    <w:uiPriority w:val="0"/>
    <w:pPr>
      <w:tabs>
        <w:tab w:val="left" w:pos="851"/>
      </w:tabs>
      <w:ind w:left="851" w:hanging="851"/>
    </w:pPr>
    <w:rPr>
      <w:rFonts w:eastAsia="宋体"/>
    </w:rPr>
  </w:style>
  <w:style w:type="character" w:customStyle="1" w:styleId="75">
    <w:name w:val="TAL Char"/>
    <w:link w:val="41"/>
    <w:qFormat/>
    <w:locked/>
    <w:uiPriority w:val="0"/>
    <w:rPr>
      <w:rFonts w:ascii="Arial" w:hAnsi="Arial"/>
      <w:sz w:val="18"/>
      <w:lang w:val="en-GB" w:eastAsia="en-US"/>
    </w:rPr>
  </w:style>
  <w:style w:type="character" w:customStyle="1" w:styleId="76">
    <w:name w:val="标题 3 Char"/>
    <w:link w:val="4"/>
    <w:qFormat/>
    <w:uiPriority w:val="0"/>
    <w:rPr>
      <w:rFonts w:ascii="Arial" w:hAnsi="Arial"/>
      <w:sz w:val="28"/>
      <w:lang w:val="en-GB" w:eastAsia="en-US"/>
    </w:rPr>
  </w:style>
  <w:style w:type="character" w:customStyle="1" w:styleId="77">
    <w:name w:val="EX Char"/>
    <w:link w:val="45"/>
    <w:qFormat/>
    <w:locked/>
    <w:uiPriority w:val="0"/>
    <w:rPr>
      <w:lang w:val="en-GB" w:eastAsia="en-US"/>
    </w:rPr>
  </w:style>
  <w:style w:type="character" w:customStyle="1" w:styleId="78">
    <w:name w:val="B1 Char1"/>
    <w:qFormat/>
    <w:locked/>
    <w:uiPriority w:val="0"/>
    <w:rPr>
      <w:rFonts w:ascii="Times New Roman" w:hAnsi="Times New Roman"/>
      <w:lang w:val="en-GB" w:eastAsia="en-US"/>
    </w:rPr>
  </w:style>
  <w:style w:type="paragraph" w:styleId="79">
    <w:name w:val="List Paragraph"/>
    <w:basedOn w:val="1"/>
    <w:qFormat/>
    <w:uiPriority w:val="34"/>
    <w:pPr>
      <w:ind w:firstLine="420" w:firstLineChars="200"/>
    </w:pPr>
  </w:style>
  <w:style w:type="character" w:customStyle="1" w:styleId="80">
    <w:name w:val="eop"/>
    <w:basedOn w:val="29"/>
    <w:qFormat/>
    <w:uiPriority w:val="0"/>
  </w:style>
  <w:style w:type="paragraph" w:customStyle="1" w:styleId="81">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6.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6.emf"/><Relationship Id="rId14" Type="http://schemas.openxmlformats.org/officeDocument/2006/relationships/package" Target="embeddings/Microsoft_Visio___3.vsdx"/><Relationship Id="rId13" Type="http://schemas.openxmlformats.org/officeDocument/2006/relationships/image" Target="media/image5.emf"/><Relationship Id="rId12" Type="http://schemas.openxmlformats.org/officeDocument/2006/relationships/package" Target="embeddings/Microsoft_Visio___2.vsdx"/><Relationship Id="rId11" Type="http://schemas.openxmlformats.org/officeDocument/2006/relationships/image" Target="media/image4.png"/><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Props1.xml><?xml version="1.0" encoding="utf-8"?>
<ds:datastoreItem xmlns:ds="http://schemas.openxmlformats.org/officeDocument/2006/customXml" ds:itemID="{0A45B3DB-0023-4ADB-97D4-77BECADF182F}">
  <ds:schemaRefs/>
</ds:datastoreItem>
</file>

<file path=customXml/itemProps2.xml><?xml version="1.0" encoding="utf-8"?>
<ds:datastoreItem xmlns:ds="http://schemas.openxmlformats.org/officeDocument/2006/customXml" ds:itemID="{8D146D7D-9965-45F8-876F-D71AD27E3788}">
  <ds:schemaRefs/>
</ds:datastoreItem>
</file>

<file path=customXml/itemProps3.xml><?xml version="1.0" encoding="utf-8"?>
<ds:datastoreItem xmlns:ds="http://schemas.openxmlformats.org/officeDocument/2006/customXml" ds:itemID="{92E1C970-C924-4CDC-B233-1B08D81FDFB8}">
  <ds:schemaRefs/>
</ds:datastoreItem>
</file>

<file path=customXml/itemProps4.xml><?xml version="1.0" encoding="utf-8"?>
<ds:datastoreItem xmlns:ds="http://schemas.openxmlformats.org/officeDocument/2006/customXml" ds:itemID="{E5F85683-9655-49C1-8EA6-76AFAFA17348}">
  <ds:schemaRefs/>
</ds:datastoreItem>
</file>

<file path=customXml/itemProps5.xml><?xml version="1.0" encoding="utf-8"?>
<ds:datastoreItem xmlns:ds="http://schemas.openxmlformats.org/officeDocument/2006/customXml" ds:itemID="{E9CD1324-49CC-4A85-8DA1-3F4E0782E70C}">
  <ds:schemaRefs/>
</ds:datastoreItem>
</file>

<file path=customXml/itemProps6.xml><?xml version="1.0" encoding="utf-8"?>
<ds:datastoreItem xmlns:ds="http://schemas.openxmlformats.org/officeDocument/2006/customXml" ds:itemID="{DE0AD5FF-8BB5-444F-84EA-9F7FB46C6953}">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19</Pages>
  <Words>5700</Words>
  <Characters>32495</Characters>
  <Lines>270</Lines>
  <Paragraphs>76</Paragraphs>
  <TotalTime>34</TotalTime>
  <ScaleCrop>false</ScaleCrop>
  <LinksUpToDate>false</LinksUpToDate>
  <CharactersWithSpaces>38119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2025-09-04T13:39:00Z</dcterms:created>
  <dc:creator>MCC Support</dc:creator>
  <cp:keywords>&lt;keyword[, keyword, ]&gt;</cp:keywords>
  <cp:lastModifiedBy>ZTE-Leyi</cp:lastModifiedBy>
  <cp:lastPrinted>2019-02-25T14:05:00Z</cp:lastPrinted>
  <dcterms:modified xsi:type="dcterms:W3CDTF">2025-10-23T02:18:13Z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y fmtid="{D5CDD505-2E9C-101B-9397-08002B2CF9AE}" pid="15" name="KSOProductBuildVer">
    <vt:lpwstr>2052-11.8.2.12085</vt:lpwstr>
  </property>
  <property fmtid="{D5CDD505-2E9C-101B-9397-08002B2CF9AE}" pid="16" name="ICV">
    <vt:lpwstr>8A890FB1E95D49D9A809C1A49AD7EDC4</vt:lpwstr>
  </property>
</Properties>
</file>