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47A000">
      <w:pPr>
        <w:pStyle w:val="130"/>
        <w:tabs>
          <w:tab w:val="right" w:pos="9638"/>
        </w:tabs>
        <w:spacing w:after="0"/>
        <w:rPr>
          <w:rFonts w:hint="default" w:eastAsia="宋体" w:cs="Arial"/>
          <w:b/>
          <w:sz w:val="24"/>
          <w:lang w:val="en-US" w:eastAsia="zh-CN"/>
        </w:rPr>
      </w:pPr>
      <w:r>
        <w:rPr>
          <w:rFonts w:cs="Arial"/>
          <w:b/>
          <w:sz w:val="24"/>
        </w:rPr>
        <w:t>SA WG2 Meeting #S2-172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>S2-25</w:t>
      </w:r>
      <w:r>
        <w:rPr>
          <w:rFonts w:hint="eastAsia" w:cs="Arial"/>
          <w:b/>
          <w:sz w:val="24"/>
          <w:lang w:val="en-US" w:eastAsia="zh-CN"/>
        </w:rPr>
        <w:t>10025</w:t>
      </w:r>
    </w:p>
    <w:p w14:paraId="09465D17">
      <w:pPr>
        <w:pBdr>
          <w:bottom w:val="single" w:color="auto" w:sz="4" w:space="0"/>
        </w:pBdr>
        <w:tabs>
          <w:tab w:val="right" w:pos="9638"/>
        </w:tabs>
        <w:rPr>
          <w:rFonts w:cs="Arial"/>
          <w:b/>
          <w:color w:val="3333FF"/>
        </w:rPr>
      </w:pPr>
      <w:r>
        <w:rPr>
          <w:rFonts w:ascii="Arial" w:hAnsi="Arial" w:eastAsia="宋体" w:cs="Arial"/>
          <w:b/>
          <w:sz w:val="24"/>
          <w:lang w:val="en-GB" w:eastAsia="en-US" w:bidi="ar-SA"/>
        </w:rPr>
        <w:t>17 - 21 November, 2025, Dallas, USA</w:t>
      </w:r>
      <w:r>
        <w:rPr>
          <w:rFonts w:cs="Arial"/>
          <w:b/>
          <w:color w:val="3333FF"/>
        </w:rPr>
        <w:tab/>
      </w:r>
    </w:p>
    <w:p w14:paraId="6B6DF7AC">
      <w:pPr>
        <w:ind w:left="2127" w:hanging="2127"/>
        <w:rPr>
          <w:rFonts w:ascii="Arial" w:hAnsi="Arial" w:eastAsia="MS Mincho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China Mobile</w:t>
      </w:r>
    </w:p>
    <w:p w14:paraId="58EFDB87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[WT#4] </w:t>
      </w:r>
      <w:r>
        <w:rPr>
          <w:rFonts w:ascii="Arial" w:hAnsi="Arial" w:cs="Arial"/>
          <w:b/>
          <w:bCs/>
        </w:rPr>
        <w:t xml:space="preserve">WT </w:t>
      </w:r>
      <w:r>
        <w:rPr>
          <w:rFonts w:hint="eastAsia" w:ascii="Arial" w:hAnsi="Arial" w:cs="Arial"/>
          <w:b/>
          <w:bCs/>
          <w:lang w:val="en-US" w:eastAsia="zh-CN"/>
        </w:rPr>
        <w:t xml:space="preserve">and KI update </w:t>
      </w:r>
      <w:r>
        <w:rPr>
          <w:rFonts w:ascii="Arial" w:hAnsi="Arial" w:cs="Arial"/>
          <w:b/>
          <w:bCs/>
        </w:rPr>
        <w:t>for Integrated Sensing and Communication</w:t>
      </w:r>
    </w:p>
    <w:p w14:paraId="06D8223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2CA545C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bookmarkStart w:id="0" w:name="_Hlk202950229"/>
      <w:r>
        <w:rPr>
          <w:rFonts w:ascii="Arial" w:hAnsi="Arial" w:cs="Arial"/>
          <w:b/>
        </w:rPr>
        <w:t>20.6.</w:t>
      </w:r>
      <w:bookmarkEnd w:id="0"/>
      <w:r>
        <w:rPr>
          <w:rFonts w:ascii="Arial" w:hAnsi="Arial" w:cs="Arial"/>
          <w:b/>
        </w:rPr>
        <w:t>4</w:t>
      </w:r>
    </w:p>
    <w:p w14:paraId="5B72230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FS_6G_ARC/Rel-20</w:t>
      </w:r>
    </w:p>
    <w:p w14:paraId="1C344AF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WT#4 and KI </w:t>
      </w:r>
      <w:r>
        <w:rPr>
          <w:rFonts w:hint="eastAsia" w:ascii="Arial" w:hAnsi="Arial" w:cs="Arial"/>
          <w:i/>
          <w:lang w:val="en-US" w:eastAsia="zh-CN"/>
        </w:rPr>
        <w:t>update</w:t>
      </w:r>
      <w:r>
        <w:rPr>
          <w:rFonts w:ascii="Arial" w:hAnsi="Arial" w:cs="Arial"/>
          <w:i/>
        </w:rPr>
        <w:t xml:space="preserve"> on ISAC based on S2-250</w:t>
      </w:r>
      <w:r>
        <w:rPr>
          <w:rFonts w:hint="eastAsia" w:ascii="Arial" w:hAnsi="Arial" w:cs="Arial"/>
          <w:i/>
          <w:lang w:val="en-US" w:eastAsia="zh-CN"/>
        </w:rPr>
        <w:t>9793</w:t>
      </w:r>
      <w:r>
        <w:rPr>
          <w:rFonts w:ascii="Arial" w:hAnsi="Arial" w:cs="Arial"/>
          <w:i/>
        </w:rPr>
        <w:t xml:space="preserve"> at SA2#17</w:t>
      </w:r>
      <w:r>
        <w:rPr>
          <w:rFonts w:hint="eastAsia" w:ascii="Arial" w:hAnsi="Arial" w:cs="Arial"/>
          <w:i/>
          <w:lang w:val="en-US" w:eastAsia="zh-CN"/>
        </w:rPr>
        <w:t>1</w:t>
      </w:r>
      <w:r>
        <w:rPr>
          <w:rFonts w:ascii="Arial" w:hAnsi="Arial" w:cs="Arial"/>
          <w:i/>
        </w:rPr>
        <w:t>.</w:t>
      </w:r>
    </w:p>
    <w:p w14:paraId="0B224D7B">
      <w:pPr>
        <w:pStyle w:val="3"/>
        <w:rPr>
          <w:rFonts w:cs="Arial"/>
          <w:szCs w:val="36"/>
        </w:rPr>
      </w:pPr>
      <w:r>
        <w:rPr>
          <w:rFonts w:cs="Arial"/>
          <w:szCs w:val="36"/>
        </w:rPr>
        <w:t>1.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 xml:space="preserve">Discussion </w:t>
      </w:r>
    </w:p>
    <w:p w14:paraId="1EF2FBCD">
      <w:pPr>
        <w:rPr>
          <w:rFonts w:eastAsia="Malgun Gothic"/>
          <w:lang w:eastAsia="ko-KR"/>
        </w:rPr>
      </w:pPr>
      <w:bookmarkStart w:id="1" w:name="_Hlk87257355"/>
      <w:r>
        <w:rPr>
          <w:rFonts w:eastAsia="Malgun Gothic"/>
          <w:lang w:eastAsia="ko-KR"/>
        </w:rPr>
        <w:t xml:space="preserve">This paper proposes WT#4 and KI </w:t>
      </w:r>
      <w:r>
        <w:rPr>
          <w:rFonts w:hint="eastAsia" w:eastAsia="Malgun Gothic"/>
          <w:lang w:val="en-US" w:eastAsia="ko-KR"/>
        </w:rPr>
        <w:t>update</w:t>
      </w:r>
      <w:r>
        <w:rPr>
          <w:rFonts w:eastAsia="Malgun Gothic"/>
          <w:lang w:eastAsia="ko-KR"/>
        </w:rPr>
        <w:t xml:space="preserve"> on ISAC based on S2-250</w:t>
      </w:r>
      <w:r>
        <w:rPr>
          <w:rFonts w:hint="eastAsia" w:eastAsia="Malgun Gothic"/>
          <w:lang w:val="en-US" w:eastAsia="ko-KR"/>
        </w:rPr>
        <w:t>9793</w:t>
      </w:r>
      <w:r>
        <w:rPr>
          <w:rFonts w:eastAsia="Malgun Gothic"/>
          <w:lang w:eastAsia="ko-KR"/>
        </w:rPr>
        <w:t xml:space="preserve"> at SA2#17</w:t>
      </w:r>
      <w:r>
        <w:rPr>
          <w:rFonts w:hint="eastAsia" w:eastAsia="Malgun Gothic"/>
          <w:lang w:val="en-US" w:eastAsia="ko-KR"/>
        </w:rPr>
        <w:t>1</w:t>
      </w:r>
      <w:r>
        <w:rPr>
          <w:rFonts w:eastAsia="Malgun Gothic"/>
          <w:lang w:eastAsia="ko-KR"/>
        </w:rPr>
        <w:t>.</w:t>
      </w:r>
    </w:p>
    <w:bookmarkEnd w:id="1"/>
    <w:p w14:paraId="518D2E0E">
      <w:pPr>
        <w:pStyle w:val="105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Firstly, to meet the requirements of wide-area sensing, the sensing continuity should be supported in consideration of mobility of target objects.</w:t>
      </w:r>
    </w:p>
    <w:p w14:paraId="127467AA">
      <w:pPr>
        <w:pStyle w:val="105"/>
        <w:ind w:left="0" w:leftChars="0" w:firstLine="0" w:firstLineChars="0"/>
        <w:rPr>
          <w:rFonts w:eastAsiaTheme="minorEastAsia"/>
        </w:rPr>
      </w:pPr>
      <w:r>
        <w:rPr>
          <w:rFonts w:hint="eastAsia"/>
          <w:lang w:val="en-US" w:eastAsia="zh-CN"/>
        </w:rPr>
        <w:t>Secondly, c</w:t>
      </w:r>
      <w:r>
        <w:t>oordination with</w:t>
      </w:r>
      <w:r>
        <w:rPr>
          <w:rFonts w:hint="eastAsia"/>
          <w:lang w:val="en-US" w:eastAsia="zh-CN"/>
        </w:rPr>
        <w:t xml:space="preserve"> </w:t>
      </w:r>
      <w:r>
        <w:t xml:space="preserve">SA5 for </w:t>
      </w:r>
      <w:r>
        <w:rPr>
          <w:rFonts w:hint="eastAsia"/>
          <w:lang w:val="en-US" w:eastAsia="zh-CN"/>
        </w:rPr>
        <w:t>charging</w:t>
      </w:r>
      <w:r>
        <w:t xml:space="preserve"> aspect </w:t>
      </w:r>
      <w:r>
        <w:rPr>
          <w:rFonts w:hint="eastAsia"/>
          <w:lang w:val="en-US" w:eastAsia="zh-CN"/>
        </w:rPr>
        <w:t>will</w:t>
      </w:r>
      <w:r>
        <w:t xml:space="preserve"> be needed</w:t>
      </w:r>
      <w:r>
        <w:rPr>
          <w:rFonts w:hint="eastAsia"/>
          <w:lang w:val="en-US" w:eastAsia="zh-CN"/>
        </w:rPr>
        <w:t>.</w:t>
      </w:r>
    </w:p>
    <w:p w14:paraId="7DCFC3F5">
      <w:pPr>
        <w:pStyle w:val="3"/>
        <w:rPr>
          <w:rFonts w:cs="Arial"/>
          <w:szCs w:val="36"/>
        </w:rPr>
      </w:pPr>
      <w:r>
        <w:rPr>
          <w:rFonts w:cs="Arial"/>
          <w:szCs w:val="36"/>
        </w:rPr>
        <w:t>2.</w:t>
      </w:r>
      <w:r>
        <w:rPr>
          <w:rFonts w:cs="Arial"/>
          <w:szCs w:val="36"/>
        </w:rPr>
        <w:tab/>
      </w:r>
      <w:r>
        <w:rPr>
          <w:rFonts w:cs="Arial"/>
          <w:szCs w:val="36"/>
        </w:rPr>
        <w:t xml:space="preserve">Proposal </w:t>
      </w:r>
    </w:p>
    <w:p w14:paraId="3D0C7EFD">
      <w:pPr>
        <w:rPr>
          <w:rFonts w:ascii="Arial" w:hAnsi="Arial" w:cs="Arial"/>
          <w:color w:val="FF0000"/>
          <w:sz w:val="36"/>
          <w:szCs w:val="36"/>
        </w:rPr>
      </w:pPr>
      <w:r>
        <w:rPr>
          <w:rFonts w:eastAsia="Malgun Gothic"/>
          <w:lang w:eastAsia="ko-KR"/>
        </w:rPr>
        <w:t>It is proposed to agree the following changes in TR 23.801-01.</w:t>
      </w:r>
    </w:p>
    <w:p w14:paraId="2CDA9986">
      <w:pPr>
        <w:pStyle w:val="105"/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 xml:space="preserve">**** First Change (based on </w:t>
      </w:r>
      <w:bookmarkStart w:id="2" w:name="S2-2509793"/>
      <w:r>
        <w:rPr>
          <w:rFonts w:ascii="Arial" w:hAnsi="Arial" w:cs="Arial"/>
          <w:color w:val="FF0000"/>
          <w:sz w:val="36"/>
          <w:szCs w:val="36"/>
        </w:rPr>
        <w:fldChar w:fldCharType="begin"/>
      </w:r>
      <w:r>
        <w:rPr>
          <w:rFonts w:ascii="Arial" w:hAnsi="Arial" w:cs="Arial"/>
          <w:color w:val="FF0000"/>
          <w:sz w:val="36"/>
          <w:szCs w:val="36"/>
        </w:rPr>
        <w:instrText xml:space="preserve">HYPERLINK "Docs\\S2-2509793.zip" \t "_blank"</w:instrText>
      </w:r>
      <w:r>
        <w:rPr>
          <w:rFonts w:ascii="Arial" w:hAnsi="Arial" w:cs="Arial"/>
          <w:color w:val="FF0000"/>
          <w:sz w:val="36"/>
          <w:szCs w:val="36"/>
        </w:rPr>
        <w:fldChar w:fldCharType="separate"/>
      </w:r>
      <w:r>
        <w:rPr>
          <w:rFonts w:ascii="Arial" w:hAnsi="Arial" w:cs="Arial"/>
          <w:color w:val="FF0000"/>
          <w:sz w:val="36"/>
          <w:szCs w:val="36"/>
        </w:rPr>
        <w:t>S2-2509793</w:t>
      </w:r>
      <w:r>
        <w:rPr>
          <w:rFonts w:ascii="Arial" w:hAnsi="Arial" w:cs="Arial"/>
          <w:color w:val="FF0000"/>
          <w:sz w:val="36"/>
          <w:szCs w:val="36"/>
        </w:rPr>
        <w:fldChar w:fldCharType="end"/>
      </w:r>
      <w:bookmarkEnd w:id="2"/>
      <w:r>
        <w:rPr>
          <w:rFonts w:ascii="Arial" w:hAnsi="Arial" w:cs="Arial"/>
          <w:color w:val="FF0000"/>
          <w:sz w:val="36"/>
          <w:szCs w:val="36"/>
        </w:rPr>
        <w:t>) ****</w:t>
      </w:r>
    </w:p>
    <w:p w14:paraId="5D0A04DF">
      <w:pPr>
        <w:pStyle w:val="3"/>
        <w:ind w:left="0" w:firstLine="0"/>
      </w:pPr>
      <w:r>
        <w:t xml:space="preserve">Annex A.X. WT#4 Scope </w:t>
      </w:r>
    </w:p>
    <w:p w14:paraId="6469B600">
      <w:pPr>
        <w:rPr>
          <w:shd w:val="clear" w:color="auto" w:fill="FFFFFF" w:themeFill="background1"/>
        </w:rPr>
      </w:pPr>
      <w:r>
        <w:rPr>
          <w:b/>
          <w:shd w:val="clear" w:color="auto" w:fill="FFFFFF" w:themeFill="background1"/>
        </w:rPr>
        <w:t>WT#4:</w:t>
      </w:r>
      <w:r>
        <w:rPr>
          <w:shd w:val="clear" w:color="auto" w:fill="FFFFFF" w:themeFill="background1"/>
        </w:rPr>
        <w:t xml:space="preserve"> Study the integration of Sensing and Communication over 3GPP access</w:t>
      </w:r>
      <w:r>
        <w:rPr>
          <w:rFonts w:eastAsia="等线"/>
          <w:shd w:val="clear" w:color="auto" w:fill="FFFFFF" w:themeFill="background1"/>
          <w:lang w:eastAsia="zh-CN"/>
        </w:rPr>
        <w:t xml:space="preserve">, considering all </w:t>
      </w:r>
      <w:r>
        <w:rPr>
          <w:shd w:val="clear" w:color="auto" w:fill="FFFFFF" w:themeFill="background1"/>
        </w:rPr>
        <w:t xml:space="preserve">sensing modes and multiple sources of sensing data. </w:t>
      </w:r>
    </w:p>
    <w:p w14:paraId="467819C8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The following aspects will be studied:</w:t>
      </w:r>
    </w:p>
    <w:p w14:paraId="0881EA32">
      <w:pPr>
        <w:pStyle w:val="124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 xml:space="preserve">Architecture and functional support for </w:t>
      </w:r>
      <w:r>
        <w:t>ISAC</w:t>
      </w:r>
      <w:r>
        <w:rPr>
          <w:shd w:val="clear" w:color="auto" w:fill="FFFFFF" w:themeFill="background1"/>
        </w:rPr>
        <w:t>, including:</w:t>
      </w:r>
    </w:p>
    <w:p w14:paraId="7B024026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a.1)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Service authorization and revocation.</w:t>
      </w:r>
    </w:p>
    <w:p w14:paraId="2063F6A8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a.2)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Discovery and (re-)selection of Sensing function and Sensing Entities (</w:t>
      </w:r>
      <w:r>
        <w:rPr>
          <w:rFonts w:hint="eastAsia" w:eastAsia="Malgun Gothic"/>
          <w:lang w:eastAsia="ko-KR"/>
        </w:rPr>
        <w:t>i.e. RAN nodes, UEs</w:t>
      </w:r>
      <w:r>
        <w:rPr>
          <w:shd w:val="clear" w:color="auto" w:fill="FFFFFF" w:themeFill="background1"/>
        </w:rPr>
        <w:t>),</w:t>
      </w:r>
      <w:r>
        <w:rPr>
          <w:szCs w:val="24"/>
          <w:shd w:val="clear" w:color="auto" w:fill="FFFFFF"/>
        </w:rPr>
        <w:t xml:space="preserve"> </w:t>
      </w:r>
      <w:r>
        <w:rPr>
          <w:rFonts w:eastAsia="Times New Roman"/>
          <w:szCs w:val="24"/>
          <w:lang w:val="en-US"/>
        </w:rPr>
        <w:t>including sensing modes selection</w:t>
      </w:r>
      <w:r>
        <w:rPr>
          <w:shd w:val="clear" w:color="auto" w:fill="FFFFFF" w:themeFill="background1"/>
        </w:rPr>
        <w:t>.</w:t>
      </w:r>
    </w:p>
    <w:p w14:paraId="35FA4075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a.3)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Configuration parameters and policy provisioning to support sensing service, e.g., to the selected Sensing Entities, Sensing function, etc.</w:t>
      </w:r>
    </w:p>
    <w:p w14:paraId="5C878F89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a.4)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Collection and transport of sensing related data.</w:t>
      </w:r>
    </w:p>
    <w:p w14:paraId="579A5C1A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a.5)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Exposure framework of sensing result to the Sensing service consumer (</w:t>
      </w:r>
      <w:r>
        <w:rPr>
          <w:rFonts w:hint="eastAsia" w:eastAsia="Malgun Gothic"/>
          <w:lang w:eastAsia="ko-KR"/>
        </w:rPr>
        <w:t>i.e. AFs, UEs, Core NFs</w:t>
      </w:r>
      <w:r>
        <w:rPr>
          <w:shd w:val="clear" w:color="auto" w:fill="FFFFFF" w:themeFill="background1"/>
        </w:rPr>
        <w:t>).</w:t>
      </w:r>
    </w:p>
    <w:p w14:paraId="335281A9">
      <w:pPr>
        <w:pStyle w:val="105"/>
        <w:ind w:hanging="283"/>
        <w:rPr>
          <w:shd w:val="clear" w:color="auto" w:fill="FFFFFF" w:themeFill="background1"/>
        </w:rPr>
      </w:pPr>
      <w:r>
        <w:rPr>
          <w:highlight w:val="none"/>
          <w:shd w:val="clear" w:color="auto" w:fill="FFFFFF" w:themeFill="background1"/>
        </w:rPr>
        <w:t>NOTE 1:</w:t>
      </w:r>
      <w:r>
        <w:rPr>
          <w:highlight w:val="none"/>
          <w:shd w:val="clear" w:color="auto" w:fill="FFFFFF" w:themeFill="background1"/>
        </w:rPr>
        <w:tab/>
      </w:r>
      <w:r>
        <w:rPr>
          <w:highlight w:val="none"/>
          <w:shd w:val="clear" w:color="auto" w:fill="FFFFFF" w:themeFill="background1"/>
        </w:rPr>
        <w:t>How the Core NFs make use the sensing results is not part of 6G sensing.</w:t>
      </w:r>
    </w:p>
    <w:p w14:paraId="542E70CF">
      <w:pPr>
        <w:pStyle w:val="124"/>
        <w:rPr>
          <w:shd w:val="clear" w:color="auto" w:fill="FFFFFF" w:themeFill="background1"/>
        </w:rPr>
        <w:pPrChange w:id="0" w:author="CMCC" w:date="2025-11-04T14:54:58Z">
          <w:pPr>
            <w:pStyle w:val="105"/>
            <w:ind w:hanging="283"/>
          </w:pPr>
        </w:pPrChange>
      </w:pPr>
      <w:r>
        <w:rPr>
          <w:shd w:val="clear" w:color="auto" w:fill="FFFFFF" w:themeFill="background1"/>
        </w:rPr>
        <w:t>b)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Whether and how to support sensing in consideration of the mobility of the UE as sensing entity</w:t>
      </w:r>
      <w:ins w:id="1" w:author="CMCC" w:date="2025-11-04T14:58:24Z">
        <w:r>
          <w:rPr>
            <w:rFonts w:hint="eastAsia"/>
            <w:shd w:val="clear" w:color="auto" w:fill="FFFFFF" w:themeFill="background1"/>
            <w:lang w:val="en-US" w:eastAsia="zh-CN"/>
          </w:rPr>
          <w:t>,</w:t>
        </w:r>
      </w:ins>
      <w:ins w:id="2" w:author="CMCC" w:date="2025-11-04T14:58:30Z">
        <w:r>
          <w:rPr>
            <w:rFonts w:hint="eastAsia"/>
            <w:shd w:val="clear" w:color="auto" w:fill="FFFFFF" w:themeFill="background1"/>
            <w:lang w:val="en-US" w:eastAsia="zh-CN"/>
          </w:rPr>
          <w:t xml:space="preserve"> </w:t>
        </w:r>
      </w:ins>
      <w:ins w:id="3" w:author="CMCC" w:date="2025-11-04T14:58:24Z">
        <w:r>
          <w:rPr>
            <w:rFonts w:hint="eastAsia"/>
            <w:shd w:val="clear" w:color="auto" w:fill="FFFFFF" w:themeFill="background1"/>
            <w:lang w:val="en-US" w:eastAsia="zh-CN"/>
          </w:rPr>
          <w:t>and</w:t>
        </w:r>
      </w:ins>
      <w:ins w:id="4" w:author="CMCC" w:date="2025-11-04T14:58:24Z">
        <w:r>
          <w:rPr>
            <w:shd w:val="clear" w:color="auto" w:fill="FFFFFF" w:themeFill="background1"/>
          </w:rPr>
          <w:t xml:space="preserve"> </w:t>
        </w:r>
      </w:ins>
      <w:ins w:id="5" w:author="CMCC" w:date="2025-11-04T14:58:24Z">
        <w:r>
          <w:rPr>
            <w:rFonts w:hint="eastAsia"/>
            <w:shd w:val="clear" w:color="auto" w:fill="FFFFFF" w:themeFill="background1"/>
            <w:lang w:val="en-US" w:eastAsia="zh-CN"/>
          </w:rPr>
          <w:t>s</w:t>
        </w:r>
      </w:ins>
      <w:ins w:id="6" w:author="CMCC" w:date="2025-11-04T14:58:24Z">
        <w:r>
          <w:rPr>
            <w:rFonts w:ascii="Times New Roman" w:hAnsi="Times New Roman" w:cs="Times New Roman"/>
            <w:highlight w:val="none"/>
            <w:shd w:val="clear" w:color="auto" w:fill="FFFFFF" w:themeFill="background1"/>
            <w:lang w:val="en-GB"/>
          </w:rPr>
          <w:t xml:space="preserve">ensing continuity </w:t>
        </w:r>
      </w:ins>
      <w:ins w:id="7" w:author="CMCC" w:date="2025-11-04T14:58:24Z">
        <w:r>
          <w:rPr>
            <w:rFonts w:hint="eastAsia" w:ascii="Times New Roman" w:hAnsi="Times New Roman" w:cs="Times New Roman"/>
            <w:highlight w:val="none"/>
            <w:shd w:val="clear" w:color="auto" w:fill="FFFFFF" w:themeFill="background1"/>
            <w:lang w:eastAsia="ko-KR"/>
          </w:rPr>
          <w:t xml:space="preserve">in </w:t>
        </w:r>
      </w:ins>
      <w:ins w:id="8" w:author="CMCC" w:date="2025-11-04T14:58:24Z">
        <w:r>
          <w:rPr>
            <w:rFonts w:ascii="Times New Roman" w:hAnsi="Times New Roman" w:cs="Times New Roman"/>
            <w:highlight w:val="none"/>
            <w:shd w:val="clear" w:color="auto" w:fill="FFFFFF" w:themeFill="background1"/>
            <w:lang w:eastAsia="ko-KR"/>
          </w:rPr>
          <w:t>consideration</w:t>
        </w:r>
      </w:ins>
      <w:ins w:id="9" w:author="CMCC" w:date="2025-11-04T14:58:24Z">
        <w:r>
          <w:rPr>
            <w:rFonts w:hint="eastAsia" w:ascii="Times New Roman" w:hAnsi="Times New Roman" w:cs="Times New Roman"/>
            <w:highlight w:val="none"/>
            <w:shd w:val="clear" w:color="auto" w:fill="FFFFFF" w:themeFill="background1"/>
            <w:lang w:eastAsia="ko-KR"/>
          </w:rPr>
          <w:t xml:space="preserve"> of mobility of target objects</w:t>
        </w:r>
      </w:ins>
      <w:del w:id="10" w:author="CMCC" w:date="2025-11-04T14:56:26Z">
        <w:r>
          <w:rPr>
            <w:shd w:val="clear" w:color="auto" w:fill="FFFFFF" w:themeFill="background1"/>
          </w:rPr>
          <w:delText>.</w:delText>
        </w:r>
      </w:del>
    </w:p>
    <w:p w14:paraId="68029AC9">
      <w:pPr>
        <w:pStyle w:val="124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c)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Whether and how to support providing sensing data, which is not obtained from 3GPP radio signals, to the Sensing Function for sensing result generation.</w:t>
      </w:r>
    </w:p>
    <w:p w14:paraId="134FAE99">
      <w:pPr>
        <w:pStyle w:val="105"/>
        <w:ind w:left="1560" w:hanging="708"/>
      </w:pPr>
      <w:r>
        <w:t>NOTE 2:</w:t>
      </w:r>
      <w:r>
        <w:tab/>
      </w:r>
      <w:r>
        <w:t>This includes sensing data obtained using technologies that are different from 3GPP defined ISAC mechanisms, such as sensing based on IEEE 802.11, camera, sonar, lidar, etc.</w:t>
      </w:r>
    </w:p>
    <w:p w14:paraId="03512323">
      <w:pPr>
        <w:pStyle w:val="105"/>
      </w:pPr>
      <w:r>
        <w:t>NOTE 3:</w:t>
      </w:r>
      <w:r>
        <w:tab/>
      </w:r>
      <w:r>
        <w:t>The scope of WT#4 includes the study of all sensing modes and their selection, where sensing entities involve RAN node and UE.</w:t>
      </w:r>
    </w:p>
    <w:p w14:paraId="5ABDA658">
      <w:pPr>
        <w:pStyle w:val="105"/>
      </w:pPr>
      <w:r>
        <w:t>NOTE 4:</w:t>
      </w:r>
      <w:r>
        <w:tab/>
      </w:r>
      <w:r>
        <w:t xml:space="preserve">WT#4 can involve coordination with WT#5. </w:t>
      </w:r>
    </w:p>
    <w:p w14:paraId="38A35364">
      <w:pPr>
        <w:pStyle w:val="105"/>
      </w:pPr>
      <w:r>
        <w:t>NOTE 5:</w:t>
      </w:r>
      <w:r>
        <w:tab/>
      </w:r>
      <w:r>
        <w:t xml:space="preserve">Coordination with RAN WG for RAN aspects, SA3 for privacy and user consent aspects, and SA5 for </w:t>
      </w:r>
      <w:ins w:id="11" w:author="CMCC" w:date="2025-11-04T14:41:28Z">
        <w:r>
          <w:rPr>
            <w:rFonts w:hint="eastAsia"/>
            <w:lang w:val="en-US" w:eastAsia="zh-CN"/>
          </w:rPr>
          <w:t>cha</w:t>
        </w:r>
      </w:ins>
      <w:ins w:id="12" w:author="CMCC" w:date="2025-11-04T14:41:29Z">
        <w:r>
          <w:rPr>
            <w:rFonts w:hint="eastAsia"/>
            <w:lang w:val="en-US" w:eastAsia="zh-CN"/>
          </w:rPr>
          <w:t>r</w:t>
        </w:r>
      </w:ins>
      <w:ins w:id="13" w:author="CMCC" w:date="2025-11-04T14:41:30Z">
        <w:r>
          <w:rPr>
            <w:rFonts w:hint="eastAsia"/>
            <w:lang w:val="en-US" w:eastAsia="zh-CN"/>
          </w:rPr>
          <w:t>g</w:t>
        </w:r>
      </w:ins>
      <w:ins w:id="14" w:author="CMCC" w:date="2025-11-04T14:41:31Z">
        <w:r>
          <w:rPr>
            <w:rFonts w:hint="eastAsia"/>
            <w:lang w:val="en-US" w:eastAsia="zh-CN"/>
          </w:rPr>
          <w:t xml:space="preserve">ing </w:t>
        </w:r>
      </w:ins>
      <w:ins w:id="15" w:author="CMCC" w:date="2025-11-04T14:41:32Z">
        <w:bookmarkStart w:id="3" w:name="_GoBack"/>
        <w:bookmarkEnd w:id="3"/>
        <w:r>
          <w:rPr>
            <w:rFonts w:hint="eastAsia"/>
            <w:lang w:val="en-US" w:eastAsia="zh-CN"/>
          </w:rPr>
          <w:t xml:space="preserve">and </w:t>
        </w:r>
      </w:ins>
      <w:r>
        <w:t>OAM aspects will be needed.</w:t>
      </w:r>
    </w:p>
    <w:p w14:paraId="162B6EBB">
      <w:pPr>
        <w:pStyle w:val="105"/>
        <w:rPr>
          <w:rFonts w:eastAsiaTheme="minorEastAsia"/>
        </w:rPr>
      </w:pPr>
      <w:r>
        <w:t>NOTE 6:</w:t>
      </w:r>
      <w:r>
        <w:tab/>
      </w:r>
      <w:r>
        <w:t xml:space="preserve">The scope of WT#4 will be aligned with RAN for 6G in Q1 2026. </w:t>
      </w:r>
      <w:r>
        <w:rPr>
          <w:rFonts w:eastAsiaTheme="minorEastAsia"/>
        </w:rPr>
        <w:t xml:space="preserve">A checkpoint is set for Q1 2026 to revisit WT/KI descriptions and </w:t>
      </w:r>
      <w:r>
        <w:rPr>
          <w:rFonts w:eastAsiaTheme="minorEastAsia"/>
          <w:highlight w:val="none"/>
        </w:rPr>
        <w:t>determine if solutions can be discussed</w:t>
      </w:r>
      <w:r>
        <w:rPr>
          <w:rFonts w:eastAsiaTheme="minorEastAsia"/>
        </w:rPr>
        <w:t xml:space="preserve"> in Q2 2026. </w:t>
      </w:r>
    </w:p>
    <w:p w14:paraId="11AB443D">
      <w:pPr>
        <w:pStyle w:val="105"/>
        <w:jc w:val="center"/>
        <w:rPr>
          <w:rFonts w:ascii="Arial" w:hAnsi="Arial" w:cs="Arial"/>
          <w:color w:val="FF0000"/>
          <w:sz w:val="36"/>
          <w:szCs w:val="36"/>
        </w:rPr>
      </w:pPr>
    </w:p>
    <w:p w14:paraId="69E3DE07">
      <w:pPr>
        <w:pStyle w:val="105"/>
        <w:jc w:val="center"/>
      </w:pPr>
      <w:r>
        <w:rPr>
          <w:rFonts w:ascii="Arial" w:hAnsi="Arial" w:cs="Arial"/>
          <w:color w:val="FF0000"/>
          <w:sz w:val="36"/>
          <w:szCs w:val="36"/>
        </w:rPr>
        <w:t xml:space="preserve">**** Second Change (based on </w:t>
      </w:r>
      <w:r>
        <w:rPr>
          <w:rFonts w:ascii="Arial" w:hAnsi="Arial" w:cs="Arial"/>
          <w:color w:val="FF0000"/>
          <w:sz w:val="36"/>
          <w:szCs w:val="36"/>
        </w:rPr>
        <w:fldChar w:fldCharType="begin"/>
      </w:r>
      <w:r>
        <w:rPr>
          <w:rFonts w:ascii="Arial" w:hAnsi="Arial" w:cs="Arial"/>
          <w:color w:val="FF0000"/>
          <w:sz w:val="36"/>
          <w:szCs w:val="36"/>
        </w:rPr>
        <w:instrText xml:space="preserve">HYPERLINK "Docs\\S2-2509793.zip" \t "_blank"</w:instrText>
      </w:r>
      <w:r>
        <w:rPr>
          <w:rFonts w:ascii="Arial" w:hAnsi="Arial" w:cs="Arial"/>
          <w:color w:val="FF0000"/>
          <w:sz w:val="36"/>
          <w:szCs w:val="36"/>
        </w:rPr>
        <w:fldChar w:fldCharType="separate"/>
      </w:r>
      <w:r>
        <w:rPr>
          <w:rFonts w:ascii="Arial" w:hAnsi="Arial" w:cs="Arial"/>
          <w:color w:val="FF0000"/>
          <w:sz w:val="36"/>
          <w:szCs w:val="36"/>
        </w:rPr>
        <w:t>S2-2509793</w:t>
      </w:r>
      <w:r>
        <w:rPr>
          <w:rFonts w:ascii="Arial" w:hAnsi="Arial" w:cs="Arial"/>
          <w:color w:val="FF0000"/>
          <w:sz w:val="36"/>
          <w:szCs w:val="36"/>
        </w:rPr>
        <w:fldChar w:fldCharType="end"/>
      </w:r>
      <w:r>
        <w:rPr>
          <w:rFonts w:ascii="Arial" w:hAnsi="Arial" w:cs="Arial"/>
          <w:color w:val="FF0000"/>
          <w:sz w:val="36"/>
          <w:szCs w:val="36"/>
        </w:rPr>
        <w:t>) ****</w:t>
      </w:r>
    </w:p>
    <w:p w14:paraId="74764690">
      <w:pPr>
        <w:pStyle w:val="4"/>
        <w:rPr>
          <w:lang w:val="en-US" w:eastAsia="zh-CN"/>
        </w:rPr>
      </w:pPr>
      <w:r>
        <w:rPr>
          <w:rFonts w:cs="Arial"/>
          <w:szCs w:val="36"/>
        </w:rPr>
        <w:t>5.X.</w:t>
      </w:r>
      <w:r>
        <w:rPr>
          <w:rFonts w:cs="Arial"/>
          <w:szCs w:val="18"/>
        </w:rPr>
        <w:tab/>
      </w:r>
      <w:r>
        <w:t>Key Issue #X: Support of Integrated Sensing and Communication</w:t>
      </w:r>
    </w:p>
    <w:p w14:paraId="45D36096">
      <w:pPr>
        <w:pStyle w:val="5"/>
      </w:pPr>
      <w:r>
        <w:t>5.X.1</w:t>
      </w:r>
      <w:r>
        <w:tab/>
      </w:r>
      <w:r>
        <w:t>Description</w:t>
      </w:r>
    </w:p>
    <w:p w14:paraId="40C80064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Study the integration of Sensing and Communication over 3GPP access</w:t>
      </w:r>
      <w:r>
        <w:rPr>
          <w:rFonts w:eastAsia="等线"/>
          <w:shd w:val="clear" w:color="auto" w:fill="FFFFFF" w:themeFill="background1"/>
          <w:lang w:eastAsia="zh-CN"/>
        </w:rPr>
        <w:t xml:space="preserve">, considering all </w:t>
      </w:r>
      <w:r>
        <w:rPr>
          <w:shd w:val="clear" w:color="auto" w:fill="FFFFFF" w:themeFill="background1"/>
        </w:rPr>
        <w:t xml:space="preserve">sensing modes and multiple sources of sensing data. </w:t>
      </w:r>
    </w:p>
    <w:p w14:paraId="53C3D1F8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The following aspects will be studied:</w:t>
      </w:r>
    </w:p>
    <w:p w14:paraId="1A5B088A">
      <w:pPr>
        <w:pStyle w:val="124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 xml:space="preserve">Architecture and functional support for </w:t>
      </w:r>
      <w:r>
        <w:t>ISAC,</w:t>
      </w:r>
      <w:r>
        <w:rPr>
          <w:shd w:val="clear" w:color="auto" w:fill="FFFFFF" w:themeFill="background1"/>
        </w:rPr>
        <w:t xml:space="preserve"> including:</w:t>
      </w:r>
    </w:p>
    <w:p w14:paraId="316349C2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a.1)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Service authorization and revocation.</w:t>
      </w:r>
    </w:p>
    <w:p w14:paraId="49117716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a.2)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Discovery and (re-)selection of Sensing function and Sensing Entities (</w:t>
      </w:r>
      <w:r>
        <w:rPr>
          <w:rFonts w:hint="eastAsia" w:eastAsia="Malgun Gothic"/>
          <w:lang w:eastAsia="ko-KR"/>
        </w:rPr>
        <w:t>i.e. RAN nodes, UEs</w:t>
      </w:r>
      <w:r>
        <w:rPr>
          <w:shd w:val="clear" w:color="auto" w:fill="FFFFFF" w:themeFill="background1"/>
        </w:rPr>
        <w:t>),</w:t>
      </w:r>
      <w:r>
        <w:rPr>
          <w:szCs w:val="24"/>
          <w:shd w:val="clear" w:color="auto" w:fill="FFFFFF"/>
        </w:rPr>
        <w:t xml:space="preserve"> </w:t>
      </w:r>
      <w:r>
        <w:rPr>
          <w:rFonts w:eastAsia="Times New Roman"/>
          <w:szCs w:val="24"/>
          <w:lang w:val="en-US"/>
        </w:rPr>
        <w:t>including sensing modes selection</w:t>
      </w:r>
      <w:r>
        <w:rPr>
          <w:shd w:val="clear" w:color="auto" w:fill="FFFFFF" w:themeFill="background1"/>
        </w:rPr>
        <w:t>.</w:t>
      </w:r>
    </w:p>
    <w:p w14:paraId="3E125824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a.3)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Configuration parameters and policy provisioning to support sensing service, e.g., to the selected Sensing Entities, Sensing function, etc.</w:t>
      </w:r>
    </w:p>
    <w:p w14:paraId="60CC2C0D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a.4)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Collection and transport of sensing related data.</w:t>
      </w:r>
    </w:p>
    <w:p w14:paraId="13C2D9CC">
      <w:pPr>
        <w:pStyle w:val="124"/>
        <w:ind w:left="852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a.5)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Exposure framework of sensing result to the Sensing service consumer (</w:t>
      </w:r>
      <w:r>
        <w:rPr>
          <w:rFonts w:hint="eastAsia" w:eastAsia="Malgun Gothic"/>
          <w:lang w:eastAsia="ko-KR"/>
        </w:rPr>
        <w:t>i.e. AFs, UEs, Core NFs</w:t>
      </w:r>
      <w:r>
        <w:rPr>
          <w:shd w:val="clear" w:color="auto" w:fill="FFFFFF" w:themeFill="background1"/>
        </w:rPr>
        <w:t>).</w:t>
      </w:r>
    </w:p>
    <w:p w14:paraId="352A303E">
      <w:pPr>
        <w:pStyle w:val="105"/>
        <w:ind w:hanging="283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NOTE 1: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How the Core NFs make use the sensing results is not part of 6G sensing.</w:t>
      </w:r>
    </w:p>
    <w:p w14:paraId="2E8978CA">
      <w:pPr>
        <w:pStyle w:val="124"/>
        <w:rPr>
          <w:strike/>
          <w:shd w:val="clear" w:color="auto" w:fill="FFFFFF" w:themeFill="background1"/>
        </w:rPr>
      </w:pPr>
      <w:r>
        <w:rPr>
          <w:shd w:val="clear" w:color="auto" w:fill="FFFFFF" w:themeFill="background1"/>
        </w:rPr>
        <w:t>b)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Whether and how to support sensing in consideration of the mobility of the UE as sensing entity</w:t>
      </w:r>
      <w:ins w:id="16" w:author="CMCC" w:date="2025-11-04T14:57:38Z">
        <w:r>
          <w:rPr>
            <w:rFonts w:hint="eastAsia"/>
            <w:shd w:val="clear" w:color="auto" w:fill="FFFFFF" w:themeFill="background1"/>
            <w:lang w:val="en-US" w:eastAsia="zh-CN"/>
          </w:rPr>
          <w:t>,</w:t>
        </w:r>
      </w:ins>
      <w:ins w:id="17" w:author="CMCC" w:date="2025-11-04T14:58:37Z">
        <w:r>
          <w:rPr>
            <w:rFonts w:hint="eastAsia"/>
            <w:shd w:val="clear" w:color="auto" w:fill="FFFFFF" w:themeFill="background1"/>
            <w:lang w:val="en-US" w:eastAsia="zh-CN"/>
          </w:rPr>
          <w:t xml:space="preserve"> </w:t>
        </w:r>
      </w:ins>
      <w:ins w:id="18" w:author="CMCC" w:date="2025-11-04T14:57:36Z">
        <w:r>
          <w:rPr>
            <w:rFonts w:hint="eastAsia"/>
            <w:shd w:val="clear" w:color="auto" w:fill="FFFFFF" w:themeFill="background1"/>
            <w:lang w:val="en-US" w:eastAsia="zh-CN"/>
          </w:rPr>
          <w:t>and</w:t>
        </w:r>
      </w:ins>
      <w:ins w:id="19" w:author="CMCC" w:date="2025-11-04T14:57:36Z">
        <w:r>
          <w:rPr>
            <w:shd w:val="clear" w:color="auto" w:fill="FFFFFF" w:themeFill="background1"/>
          </w:rPr>
          <w:t xml:space="preserve"> </w:t>
        </w:r>
      </w:ins>
      <w:ins w:id="20" w:author="CMCC" w:date="2025-11-04T14:57:36Z">
        <w:r>
          <w:rPr>
            <w:rFonts w:hint="eastAsia"/>
            <w:shd w:val="clear" w:color="auto" w:fill="FFFFFF" w:themeFill="background1"/>
            <w:lang w:val="en-US" w:eastAsia="zh-CN"/>
          </w:rPr>
          <w:t>s</w:t>
        </w:r>
      </w:ins>
      <w:ins w:id="21" w:author="CMCC" w:date="2025-11-04T14:57:36Z">
        <w:r>
          <w:rPr>
            <w:rFonts w:ascii="Times New Roman" w:hAnsi="Times New Roman" w:cs="Times New Roman"/>
            <w:highlight w:val="none"/>
            <w:shd w:val="clear" w:color="auto" w:fill="FFFFFF" w:themeFill="background1"/>
            <w:lang w:val="en-GB"/>
          </w:rPr>
          <w:t xml:space="preserve">ensing continuity </w:t>
        </w:r>
      </w:ins>
      <w:ins w:id="22" w:author="CMCC" w:date="2025-11-04T14:57:36Z">
        <w:r>
          <w:rPr>
            <w:rFonts w:hint="eastAsia" w:ascii="Times New Roman" w:hAnsi="Times New Roman" w:cs="Times New Roman"/>
            <w:highlight w:val="none"/>
            <w:shd w:val="clear" w:color="auto" w:fill="FFFFFF" w:themeFill="background1"/>
            <w:lang w:eastAsia="ko-KR"/>
          </w:rPr>
          <w:t xml:space="preserve">in </w:t>
        </w:r>
      </w:ins>
      <w:ins w:id="23" w:author="CMCC" w:date="2025-11-04T14:57:36Z">
        <w:r>
          <w:rPr>
            <w:rFonts w:ascii="Times New Roman" w:hAnsi="Times New Roman" w:cs="Times New Roman"/>
            <w:highlight w:val="none"/>
            <w:shd w:val="clear" w:color="auto" w:fill="FFFFFF" w:themeFill="background1"/>
            <w:lang w:eastAsia="ko-KR"/>
          </w:rPr>
          <w:t>consideration</w:t>
        </w:r>
      </w:ins>
      <w:ins w:id="24" w:author="CMCC" w:date="2025-11-04T14:57:36Z">
        <w:r>
          <w:rPr>
            <w:rFonts w:hint="eastAsia" w:ascii="Times New Roman" w:hAnsi="Times New Roman" w:cs="Times New Roman"/>
            <w:highlight w:val="none"/>
            <w:shd w:val="clear" w:color="auto" w:fill="FFFFFF" w:themeFill="background1"/>
            <w:lang w:eastAsia="ko-KR"/>
          </w:rPr>
          <w:t xml:space="preserve"> of mobility of target objects</w:t>
        </w:r>
      </w:ins>
      <w:r>
        <w:rPr>
          <w:shd w:val="clear" w:color="auto" w:fill="FFFFFF" w:themeFill="background1"/>
        </w:rPr>
        <w:t>.</w:t>
      </w:r>
    </w:p>
    <w:p w14:paraId="6AEBB50C">
      <w:pPr>
        <w:pStyle w:val="124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c)</w:t>
      </w:r>
      <w:r>
        <w:rPr>
          <w:shd w:val="clear" w:color="auto" w:fill="FFFFFF" w:themeFill="background1"/>
        </w:rPr>
        <w:tab/>
      </w:r>
      <w:r>
        <w:rPr>
          <w:shd w:val="clear" w:color="auto" w:fill="FFFFFF" w:themeFill="background1"/>
        </w:rPr>
        <w:t>Whether and how to support providing sensing data, which is not obtained from 3GPP radio signals, to the Sensing Function for sensing result generation.</w:t>
      </w:r>
    </w:p>
    <w:p w14:paraId="21B97EE0">
      <w:pPr>
        <w:pStyle w:val="105"/>
        <w:ind w:left="1560" w:hanging="708"/>
      </w:pPr>
      <w:r>
        <w:t>NOTE 2:</w:t>
      </w:r>
      <w:r>
        <w:tab/>
      </w:r>
      <w:r>
        <w:t>This includes sensing data obtained using technologies that are different from 3GPP defined ISAC mechanisms, such as sensing based on IEEE 802.11, camera, sonar, lidar, etc.</w:t>
      </w:r>
    </w:p>
    <w:p w14:paraId="644521C7">
      <w:pPr>
        <w:pStyle w:val="105"/>
      </w:pPr>
      <w:r>
        <w:t>NOTE 3:</w:t>
      </w:r>
      <w:r>
        <w:tab/>
      </w:r>
      <w:r>
        <w:t>The scope of WT#4 includes the study of all sensing modes and their selection, where sensing entities involve RAN node and UE.</w:t>
      </w:r>
    </w:p>
    <w:p w14:paraId="4B2DB74B">
      <w:pPr>
        <w:pStyle w:val="105"/>
      </w:pPr>
      <w:r>
        <w:t>NOTE 4:</w:t>
      </w:r>
      <w:r>
        <w:tab/>
      </w:r>
      <w:r>
        <w:t xml:space="preserve">WT#4 can involve coordination with WT#5. </w:t>
      </w:r>
    </w:p>
    <w:p w14:paraId="33DD9695">
      <w:pPr>
        <w:pStyle w:val="105"/>
      </w:pPr>
      <w:r>
        <w:t>NOTE 5:</w:t>
      </w:r>
      <w:r>
        <w:tab/>
      </w:r>
      <w:r>
        <w:t xml:space="preserve">Coordination with RAN WG for RAN aspects, SA3 for privacy and user consent aspects, and SA5 for </w:t>
      </w:r>
      <w:ins w:id="25" w:author="CMCC" w:date="2025-11-04T14:58:51Z">
        <w:r>
          <w:rPr>
            <w:rFonts w:hint="eastAsia"/>
            <w:lang w:val="en-US" w:eastAsia="zh-CN"/>
          </w:rPr>
          <w:t xml:space="preserve">charging and </w:t>
        </w:r>
      </w:ins>
      <w:r>
        <w:t>OAM aspects will be needed.</w:t>
      </w:r>
    </w:p>
    <w:p w14:paraId="56E69FE7">
      <w:pPr>
        <w:pStyle w:val="105"/>
        <w:rPr>
          <w:rFonts w:eastAsiaTheme="minorEastAsia"/>
        </w:rPr>
      </w:pPr>
      <w:r>
        <w:t>NOTE 6:</w:t>
      </w:r>
      <w:r>
        <w:tab/>
      </w:r>
      <w:r>
        <w:t xml:space="preserve">The scope of WT#4 will be aligned with RAN for 6G in Q1 2026. </w:t>
      </w:r>
      <w:r>
        <w:rPr>
          <w:rFonts w:eastAsiaTheme="minorEastAsia"/>
        </w:rPr>
        <w:t xml:space="preserve">A checkpoint is set for Q1 2026 to revisit WT/KI descriptions and determine if solutions can be discussed in Q2 2026. </w:t>
      </w:r>
    </w:p>
    <w:p w14:paraId="1BEB7599">
      <w:pPr>
        <w:pStyle w:val="124"/>
        <w:ind w:left="0" w:firstLine="0"/>
        <w:rPr>
          <w:i/>
          <w:iCs/>
        </w:rPr>
      </w:pPr>
    </w:p>
    <w:p w14:paraId="68B7A854">
      <w:pPr>
        <w:jc w:val="center"/>
        <w:rPr>
          <w:rFonts w:ascii="Arial" w:hAnsi="Arial" w:cs="Arial"/>
          <w:color w:val="FF0000"/>
          <w:sz w:val="36"/>
          <w:szCs w:val="36"/>
        </w:rPr>
      </w:pPr>
      <w:r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30B87405">
      <w:pPr>
        <w:jc w:val="center"/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40C"/>
    <w:rsid w:val="00001174"/>
    <w:rsid w:val="0000349A"/>
    <w:rsid w:val="00003E14"/>
    <w:rsid w:val="000044B1"/>
    <w:rsid w:val="00004F11"/>
    <w:rsid w:val="000052C3"/>
    <w:rsid w:val="000052F4"/>
    <w:rsid w:val="0000777B"/>
    <w:rsid w:val="00007CDF"/>
    <w:rsid w:val="000102E0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5CD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0C5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9D3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18D"/>
    <w:rsid w:val="00092B14"/>
    <w:rsid w:val="000934A6"/>
    <w:rsid w:val="00095E32"/>
    <w:rsid w:val="0009618B"/>
    <w:rsid w:val="000A0E35"/>
    <w:rsid w:val="000A1EDD"/>
    <w:rsid w:val="000A2307"/>
    <w:rsid w:val="000A2C6C"/>
    <w:rsid w:val="000A34B5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E7B69"/>
    <w:rsid w:val="000F0D2E"/>
    <w:rsid w:val="000F1C15"/>
    <w:rsid w:val="000F291D"/>
    <w:rsid w:val="000F2D3B"/>
    <w:rsid w:val="000F3086"/>
    <w:rsid w:val="000F32E2"/>
    <w:rsid w:val="000F3EE1"/>
    <w:rsid w:val="000F47DC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06B09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47186"/>
    <w:rsid w:val="00150303"/>
    <w:rsid w:val="00150B2D"/>
    <w:rsid w:val="001522D5"/>
    <w:rsid w:val="001531B2"/>
    <w:rsid w:val="001532CE"/>
    <w:rsid w:val="00153A42"/>
    <w:rsid w:val="00153B94"/>
    <w:rsid w:val="00153DBC"/>
    <w:rsid w:val="00154E0B"/>
    <w:rsid w:val="00155102"/>
    <w:rsid w:val="00155618"/>
    <w:rsid w:val="001556BB"/>
    <w:rsid w:val="0015690A"/>
    <w:rsid w:val="001613E9"/>
    <w:rsid w:val="00161556"/>
    <w:rsid w:val="00163091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776A3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75A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DA4"/>
    <w:rsid w:val="001C1FFB"/>
    <w:rsid w:val="001C21F4"/>
    <w:rsid w:val="001C3EC8"/>
    <w:rsid w:val="001C4A45"/>
    <w:rsid w:val="001C4EF9"/>
    <w:rsid w:val="001C4F96"/>
    <w:rsid w:val="001C5C79"/>
    <w:rsid w:val="001C77FB"/>
    <w:rsid w:val="001D05D8"/>
    <w:rsid w:val="001D0770"/>
    <w:rsid w:val="001D2596"/>
    <w:rsid w:val="001D2BD4"/>
    <w:rsid w:val="001D2F0F"/>
    <w:rsid w:val="001D4258"/>
    <w:rsid w:val="001D43C1"/>
    <w:rsid w:val="001D50D8"/>
    <w:rsid w:val="001D6911"/>
    <w:rsid w:val="001D777C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75B"/>
    <w:rsid w:val="00204DC9"/>
    <w:rsid w:val="002062C0"/>
    <w:rsid w:val="00206B1F"/>
    <w:rsid w:val="00207497"/>
    <w:rsid w:val="00207E55"/>
    <w:rsid w:val="00210ED0"/>
    <w:rsid w:val="00212E5F"/>
    <w:rsid w:val="00213083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2A23"/>
    <w:rsid w:val="0022302A"/>
    <w:rsid w:val="00223D7E"/>
    <w:rsid w:val="00224062"/>
    <w:rsid w:val="00224A07"/>
    <w:rsid w:val="00224E7C"/>
    <w:rsid w:val="00225B30"/>
    <w:rsid w:val="0022714C"/>
    <w:rsid w:val="002279FD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48C0"/>
    <w:rsid w:val="00266700"/>
    <w:rsid w:val="00267E46"/>
    <w:rsid w:val="00270087"/>
    <w:rsid w:val="002717FD"/>
    <w:rsid w:val="00271D47"/>
    <w:rsid w:val="0027208E"/>
    <w:rsid w:val="00272F7A"/>
    <w:rsid w:val="0027502E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1112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E70A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B8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3D26"/>
    <w:rsid w:val="0033415E"/>
    <w:rsid w:val="00334E4F"/>
    <w:rsid w:val="00335E70"/>
    <w:rsid w:val="003366BD"/>
    <w:rsid w:val="00340611"/>
    <w:rsid w:val="00340A71"/>
    <w:rsid w:val="003410E4"/>
    <w:rsid w:val="003419FB"/>
    <w:rsid w:val="00342321"/>
    <w:rsid w:val="0034298A"/>
    <w:rsid w:val="00343E71"/>
    <w:rsid w:val="0034453A"/>
    <w:rsid w:val="0034515B"/>
    <w:rsid w:val="00345223"/>
    <w:rsid w:val="003456E2"/>
    <w:rsid w:val="00345C1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67493"/>
    <w:rsid w:val="0037090A"/>
    <w:rsid w:val="00370C18"/>
    <w:rsid w:val="00371032"/>
    <w:rsid w:val="00371B44"/>
    <w:rsid w:val="00371D04"/>
    <w:rsid w:val="003722D5"/>
    <w:rsid w:val="00372400"/>
    <w:rsid w:val="00373E7B"/>
    <w:rsid w:val="003745F7"/>
    <w:rsid w:val="00374D40"/>
    <w:rsid w:val="00375DEB"/>
    <w:rsid w:val="003768F1"/>
    <w:rsid w:val="00377186"/>
    <w:rsid w:val="00377563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5"/>
    <w:rsid w:val="00397B0C"/>
    <w:rsid w:val="00397BD6"/>
    <w:rsid w:val="003A1F3F"/>
    <w:rsid w:val="003A3642"/>
    <w:rsid w:val="003A4361"/>
    <w:rsid w:val="003A45FA"/>
    <w:rsid w:val="003A4659"/>
    <w:rsid w:val="003A5801"/>
    <w:rsid w:val="003A612C"/>
    <w:rsid w:val="003A62FD"/>
    <w:rsid w:val="003B2B9C"/>
    <w:rsid w:val="003B4948"/>
    <w:rsid w:val="003B569E"/>
    <w:rsid w:val="003B78C9"/>
    <w:rsid w:val="003B7926"/>
    <w:rsid w:val="003B7F86"/>
    <w:rsid w:val="003C11CB"/>
    <w:rsid w:val="003C122B"/>
    <w:rsid w:val="003C168A"/>
    <w:rsid w:val="003C1F68"/>
    <w:rsid w:val="003C28A6"/>
    <w:rsid w:val="003C509E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6FC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0DDF"/>
    <w:rsid w:val="003F1330"/>
    <w:rsid w:val="003F168C"/>
    <w:rsid w:val="003F1EC9"/>
    <w:rsid w:val="003F2943"/>
    <w:rsid w:val="003F3A32"/>
    <w:rsid w:val="003F3E17"/>
    <w:rsid w:val="003F52B2"/>
    <w:rsid w:val="003F672A"/>
    <w:rsid w:val="003F6C89"/>
    <w:rsid w:val="004012E5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6C6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27654"/>
    <w:rsid w:val="00431DF3"/>
    <w:rsid w:val="00433519"/>
    <w:rsid w:val="00433A23"/>
    <w:rsid w:val="00434FB3"/>
    <w:rsid w:val="004357D2"/>
    <w:rsid w:val="00437870"/>
    <w:rsid w:val="00440414"/>
    <w:rsid w:val="0044056D"/>
    <w:rsid w:val="00440652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59B5"/>
    <w:rsid w:val="0044693F"/>
    <w:rsid w:val="00446F0B"/>
    <w:rsid w:val="00450642"/>
    <w:rsid w:val="00450AE7"/>
    <w:rsid w:val="00451E96"/>
    <w:rsid w:val="00454677"/>
    <w:rsid w:val="00454D73"/>
    <w:rsid w:val="004558E9"/>
    <w:rsid w:val="0045777E"/>
    <w:rsid w:val="00460744"/>
    <w:rsid w:val="00460926"/>
    <w:rsid w:val="00460DC6"/>
    <w:rsid w:val="004610FD"/>
    <w:rsid w:val="00461AE1"/>
    <w:rsid w:val="00463B81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C78"/>
    <w:rsid w:val="00481F40"/>
    <w:rsid w:val="00481FB2"/>
    <w:rsid w:val="0048258B"/>
    <w:rsid w:val="0048343D"/>
    <w:rsid w:val="004836C9"/>
    <w:rsid w:val="00483E85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734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0FDA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E7C92"/>
    <w:rsid w:val="004F02FD"/>
    <w:rsid w:val="004F1663"/>
    <w:rsid w:val="004F1725"/>
    <w:rsid w:val="004F2FEA"/>
    <w:rsid w:val="004F4025"/>
    <w:rsid w:val="004F4E2F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0B9C"/>
    <w:rsid w:val="00521131"/>
    <w:rsid w:val="00521F27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A02"/>
    <w:rsid w:val="00531D98"/>
    <w:rsid w:val="0053586B"/>
    <w:rsid w:val="00537456"/>
    <w:rsid w:val="0054020A"/>
    <w:rsid w:val="00540CAC"/>
    <w:rsid w:val="005410F6"/>
    <w:rsid w:val="0054191D"/>
    <w:rsid w:val="00541F74"/>
    <w:rsid w:val="005420B5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1062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7FAE"/>
    <w:rsid w:val="005A10A2"/>
    <w:rsid w:val="005A3753"/>
    <w:rsid w:val="005A440F"/>
    <w:rsid w:val="005A44A8"/>
    <w:rsid w:val="005A65B3"/>
    <w:rsid w:val="005A70F1"/>
    <w:rsid w:val="005B01AC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6C3C"/>
    <w:rsid w:val="005B795D"/>
    <w:rsid w:val="005C00CA"/>
    <w:rsid w:val="005C0265"/>
    <w:rsid w:val="005C0CD3"/>
    <w:rsid w:val="005C1A15"/>
    <w:rsid w:val="005C389D"/>
    <w:rsid w:val="005C390B"/>
    <w:rsid w:val="005C3A8D"/>
    <w:rsid w:val="005C4101"/>
    <w:rsid w:val="005C518D"/>
    <w:rsid w:val="005C51F5"/>
    <w:rsid w:val="005C58F0"/>
    <w:rsid w:val="005C66E5"/>
    <w:rsid w:val="005C67E4"/>
    <w:rsid w:val="005C6F25"/>
    <w:rsid w:val="005C7096"/>
    <w:rsid w:val="005C761B"/>
    <w:rsid w:val="005D1A67"/>
    <w:rsid w:val="005D213F"/>
    <w:rsid w:val="005D385F"/>
    <w:rsid w:val="005D3A73"/>
    <w:rsid w:val="005D5101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14F5"/>
    <w:rsid w:val="005F28C9"/>
    <w:rsid w:val="005F44B0"/>
    <w:rsid w:val="005F6CA6"/>
    <w:rsid w:val="005F7046"/>
    <w:rsid w:val="005F73D9"/>
    <w:rsid w:val="00602200"/>
    <w:rsid w:val="00602389"/>
    <w:rsid w:val="00602F74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0888"/>
    <w:rsid w:val="00651540"/>
    <w:rsid w:val="00651D78"/>
    <w:rsid w:val="006520C2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4BC3"/>
    <w:rsid w:val="006A7F4E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1B90"/>
    <w:rsid w:val="006C2449"/>
    <w:rsid w:val="006C44D4"/>
    <w:rsid w:val="006C47EF"/>
    <w:rsid w:val="006C4B22"/>
    <w:rsid w:val="006C6555"/>
    <w:rsid w:val="006C6B92"/>
    <w:rsid w:val="006C77B0"/>
    <w:rsid w:val="006D0BAF"/>
    <w:rsid w:val="006D100B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1DCB"/>
    <w:rsid w:val="006E3AD1"/>
    <w:rsid w:val="006E3BC6"/>
    <w:rsid w:val="006E4176"/>
    <w:rsid w:val="006E7BE7"/>
    <w:rsid w:val="006E7EE7"/>
    <w:rsid w:val="006F0351"/>
    <w:rsid w:val="006F1CD3"/>
    <w:rsid w:val="006F2320"/>
    <w:rsid w:val="006F2C11"/>
    <w:rsid w:val="006F4930"/>
    <w:rsid w:val="006F4A97"/>
    <w:rsid w:val="006F4D0A"/>
    <w:rsid w:val="006F5A24"/>
    <w:rsid w:val="006F6260"/>
    <w:rsid w:val="006F6984"/>
    <w:rsid w:val="006F6D13"/>
    <w:rsid w:val="006F74B1"/>
    <w:rsid w:val="00700E33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5EA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1E9E"/>
    <w:rsid w:val="00733B0D"/>
    <w:rsid w:val="00734765"/>
    <w:rsid w:val="00735251"/>
    <w:rsid w:val="00735EFB"/>
    <w:rsid w:val="007366E8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460"/>
    <w:rsid w:val="00773672"/>
    <w:rsid w:val="00773924"/>
    <w:rsid w:val="007740E0"/>
    <w:rsid w:val="00774420"/>
    <w:rsid w:val="007769F5"/>
    <w:rsid w:val="00777227"/>
    <w:rsid w:val="00777303"/>
    <w:rsid w:val="007814A6"/>
    <w:rsid w:val="007823B7"/>
    <w:rsid w:val="00784593"/>
    <w:rsid w:val="00785255"/>
    <w:rsid w:val="00785F89"/>
    <w:rsid w:val="00787B0B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5C2"/>
    <w:rsid w:val="007B395A"/>
    <w:rsid w:val="007B3C94"/>
    <w:rsid w:val="007B3E2E"/>
    <w:rsid w:val="007B4B7C"/>
    <w:rsid w:val="007B5A10"/>
    <w:rsid w:val="007B5A40"/>
    <w:rsid w:val="007B601E"/>
    <w:rsid w:val="007B7D58"/>
    <w:rsid w:val="007B7EA7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E7F9B"/>
    <w:rsid w:val="007F19C8"/>
    <w:rsid w:val="007F2603"/>
    <w:rsid w:val="007F300B"/>
    <w:rsid w:val="007F4978"/>
    <w:rsid w:val="007F4AE2"/>
    <w:rsid w:val="007F62B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6D5B"/>
    <w:rsid w:val="00807C1B"/>
    <w:rsid w:val="00810377"/>
    <w:rsid w:val="00810507"/>
    <w:rsid w:val="00810D2A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3B0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0C7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2DB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3F2"/>
    <w:rsid w:val="00884D2D"/>
    <w:rsid w:val="00886520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56F2"/>
    <w:rsid w:val="008A6B7D"/>
    <w:rsid w:val="008B0248"/>
    <w:rsid w:val="008B2B16"/>
    <w:rsid w:val="008B4130"/>
    <w:rsid w:val="008B4820"/>
    <w:rsid w:val="008B5F26"/>
    <w:rsid w:val="008B720D"/>
    <w:rsid w:val="008B7B91"/>
    <w:rsid w:val="008C0541"/>
    <w:rsid w:val="008C2BE3"/>
    <w:rsid w:val="008C3A1C"/>
    <w:rsid w:val="008C48A9"/>
    <w:rsid w:val="008C4E70"/>
    <w:rsid w:val="008C71B0"/>
    <w:rsid w:val="008C72EB"/>
    <w:rsid w:val="008D0F36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37C1"/>
    <w:rsid w:val="009041BD"/>
    <w:rsid w:val="0090561B"/>
    <w:rsid w:val="00910155"/>
    <w:rsid w:val="0091025E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6212"/>
    <w:rsid w:val="009373FC"/>
    <w:rsid w:val="009412B0"/>
    <w:rsid w:val="009426D1"/>
    <w:rsid w:val="00942B50"/>
    <w:rsid w:val="009436FE"/>
    <w:rsid w:val="00943DE5"/>
    <w:rsid w:val="00944A33"/>
    <w:rsid w:val="0094581E"/>
    <w:rsid w:val="009462F3"/>
    <w:rsid w:val="00947907"/>
    <w:rsid w:val="00947F4E"/>
    <w:rsid w:val="009511A0"/>
    <w:rsid w:val="00951312"/>
    <w:rsid w:val="009518E2"/>
    <w:rsid w:val="00951DD6"/>
    <w:rsid w:val="00952C43"/>
    <w:rsid w:val="00953623"/>
    <w:rsid w:val="00955118"/>
    <w:rsid w:val="0095615A"/>
    <w:rsid w:val="009615EA"/>
    <w:rsid w:val="00963BFA"/>
    <w:rsid w:val="0096482F"/>
    <w:rsid w:val="009666BC"/>
    <w:rsid w:val="00966D47"/>
    <w:rsid w:val="00967CC1"/>
    <w:rsid w:val="00967E17"/>
    <w:rsid w:val="0097089A"/>
    <w:rsid w:val="00970FE2"/>
    <w:rsid w:val="009712CA"/>
    <w:rsid w:val="00973EBC"/>
    <w:rsid w:val="009745E1"/>
    <w:rsid w:val="0097486B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21D"/>
    <w:rsid w:val="009D2B0E"/>
    <w:rsid w:val="009D3102"/>
    <w:rsid w:val="009D3B09"/>
    <w:rsid w:val="009D5394"/>
    <w:rsid w:val="009D5B2F"/>
    <w:rsid w:val="009D61D2"/>
    <w:rsid w:val="009D7E43"/>
    <w:rsid w:val="009E008F"/>
    <w:rsid w:val="009E1181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3B90"/>
    <w:rsid w:val="009F3BB8"/>
    <w:rsid w:val="009F4115"/>
    <w:rsid w:val="009F5762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5E7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37CF"/>
    <w:rsid w:val="00A141D5"/>
    <w:rsid w:val="00A146C6"/>
    <w:rsid w:val="00A14B22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3F27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205C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E8F"/>
    <w:rsid w:val="00AA5D7C"/>
    <w:rsid w:val="00AA7F74"/>
    <w:rsid w:val="00AB1960"/>
    <w:rsid w:val="00AB1D74"/>
    <w:rsid w:val="00AB2144"/>
    <w:rsid w:val="00AB21AE"/>
    <w:rsid w:val="00AB24FA"/>
    <w:rsid w:val="00AB28DD"/>
    <w:rsid w:val="00AB3219"/>
    <w:rsid w:val="00AB3B5A"/>
    <w:rsid w:val="00AB3EF6"/>
    <w:rsid w:val="00AB435F"/>
    <w:rsid w:val="00AB4EFC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5E85"/>
    <w:rsid w:val="00AD70C2"/>
    <w:rsid w:val="00AD71AF"/>
    <w:rsid w:val="00AE0618"/>
    <w:rsid w:val="00AE0BAF"/>
    <w:rsid w:val="00AE125D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04B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E7E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138"/>
    <w:rsid w:val="00B25DF5"/>
    <w:rsid w:val="00B27E39"/>
    <w:rsid w:val="00B30B4C"/>
    <w:rsid w:val="00B30BEE"/>
    <w:rsid w:val="00B315AC"/>
    <w:rsid w:val="00B3258F"/>
    <w:rsid w:val="00B32FE9"/>
    <w:rsid w:val="00B333E1"/>
    <w:rsid w:val="00B350D8"/>
    <w:rsid w:val="00B3513C"/>
    <w:rsid w:val="00B36C97"/>
    <w:rsid w:val="00B36CE9"/>
    <w:rsid w:val="00B37DE1"/>
    <w:rsid w:val="00B40857"/>
    <w:rsid w:val="00B43181"/>
    <w:rsid w:val="00B431E4"/>
    <w:rsid w:val="00B43A6C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5AEE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2777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4C7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5F05"/>
    <w:rsid w:val="00BB65B6"/>
    <w:rsid w:val="00BB7024"/>
    <w:rsid w:val="00BB7984"/>
    <w:rsid w:val="00BC13BA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4647"/>
    <w:rsid w:val="00BE56DB"/>
    <w:rsid w:val="00BE5BDC"/>
    <w:rsid w:val="00BF12A5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029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3D08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09ED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BF7"/>
    <w:rsid w:val="00CB15E3"/>
    <w:rsid w:val="00CB3DBA"/>
    <w:rsid w:val="00CB44DA"/>
    <w:rsid w:val="00CB4CCA"/>
    <w:rsid w:val="00CB6D74"/>
    <w:rsid w:val="00CC0492"/>
    <w:rsid w:val="00CC0796"/>
    <w:rsid w:val="00CC092E"/>
    <w:rsid w:val="00CC0B32"/>
    <w:rsid w:val="00CC0B6A"/>
    <w:rsid w:val="00CC0E24"/>
    <w:rsid w:val="00CC16E6"/>
    <w:rsid w:val="00CC4DF3"/>
    <w:rsid w:val="00CC4E0C"/>
    <w:rsid w:val="00CC73FB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C05"/>
    <w:rsid w:val="00CF4E34"/>
    <w:rsid w:val="00CF56D5"/>
    <w:rsid w:val="00CF574E"/>
    <w:rsid w:val="00CF6645"/>
    <w:rsid w:val="00CF7543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2719C"/>
    <w:rsid w:val="00D30812"/>
    <w:rsid w:val="00D30FFB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4B53"/>
    <w:rsid w:val="00D45413"/>
    <w:rsid w:val="00D45EAA"/>
    <w:rsid w:val="00D467AF"/>
    <w:rsid w:val="00D46C3C"/>
    <w:rsid w:val="00D47006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1D9"/>
    <w:rsid w:val="00D66352"/>
    <w:rsid w:val="00D66488"/>
    <w:rsid w:val="00D702E2"/>
    <w:rsid w:val="00D71178"/>
    <w:rsid w:val="00D7191A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02DC"/>
    <w:rsid w:val="00DA0AAC"/>
    <w:rsid w:val="00DA1C40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4F8F"/>
    <w:rsid w:val="00DA603F"/>
    <w:rsid w:val="00DA64F0"/>
    <w:rsid w:val="00DA6639"/>
    <w:rsid w:val="00DA7E51"/>
    <w:rsid w:val="00DB016D"/>
    <w:rsid w:val="00DB01D2"/>
    <w:rsid w:val="00DB0237"/>
    <w:rsid w:val="00DB0688"/>
    <w:rsid w:val="00DB0842"/>
    <w:rsid w:val="00DB1936"/>
    <w:rsid w:val="00DB2C84"/>
    <w:rsid w:val="00DB4B56"/>
    <w:rsid w:val="00DB7B19"/>
    <w:rsid w:val="00DC1055"/>
    <w:rsid w:val="00DC14C7"/>
    <w:rsid w:val="00DC1D96"/>
    <w:rsid w:val="00DC3080"/>
    <w:rsid w:val="00DC46AE"/>
    <w:rsid w:val="00DC50EF"/>
    <w:rsid w:val="00DC5477"/>
    <w:rsid w:val="00DC5C68"/>
    <w:rsid w:val="00DC5D42"/>
    <w:rsid w:val="00DC68C0"/>
    <w:rsid w:val="00DC6A9F"/>
    <w:rsid w:val="00DC709D"/>
    <w:rsid w:val="00DD0017"/>
    <w:rsid w:val="00DD0C6B"/>
    <w:rsid w:val="00DD14F2"/>
    <w:rsid w:val="00DD3A09"/>
    <w:rsid w:val="00DD3D6C"/>
    <w:rsid w:val="00DD432F"/>
    <w:rsid w:val="00DD4B42"/>
    <w:rsid w:val="00DD4B67"/>
    <w:rsid w:val="00DD4BF8"/>
    <w:rsid w:val="00DD5D98"/>
    <w:rsid w:val="00DD5EE5"/>
    <w:rsid w:val="00DD7A0E"/>
    <w:rsid w:val="00DE0405"/>
    <w:rsid w:val="00DE1332"/>
    <w:rsid w:val="00DE23DC"/>
    <w:rsid w:val="00DE2A5A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5BA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2DC3"/>
    <w:rsid w:val="00E230B4"/>
    <w:rsid w:val="00E24BC4"/>
    <w:rsid w:val="00E24C8A"/>
    <w:rsid w:val="00E268B2"/>
    <w:rsid w:val="00E26B98"/>
    <w:rsid w:val="00E26F73"/>
    <w:rsid w:val="00E27394"/>
    <w:rsid w:val="00E276B9"/>
    <w:rsid w:val="00E27745"/>
    <w:rsid w:val="00E277CC"/>
    <w:rsid w:val="00E30155"/>
    <w:rsid w:val="00E32917"/>
    <w:rsid w:val="00E32FEB"/>
    <w:rsid w:val="00E33752"/>
    <w:rsid w:val="00E33963"/>
    <w:rsid w:val="00E34710"/>
    <w:rsid w:val="00E34878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0C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77901"/>
    <w:rsid w:val="00E80519"/>
    <w:rsid w:val="00E81821"/>
    <w:rsid w:val="00E823E2"/>
    <w:rsid w:val="00E8328E"/>
    <w:rsid w:val="00E8494A"/>
    <w:rsid w:val="00E84AD9"/>
    <w:rsid w:val="00E85B1D"/>
    <w:rsid w:val="00E866B5"/>
    <w:rsid w:val="00E87F78"/>
    <w:rsid w:val="00E904CF"/>
    <w:rsid w:val="00E915B3"/>
    <w:rsid w:val="00E9183E"/>
    <w:rsid w:val="00E91FE1"/>
    <w:rsid w:val="00E92946"/>
    <w:rsid w:val="00E92ADB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D7E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A33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4CB2"/>
    <w:rsid w:val="00EC6134"/>
    <w:rsid w:val="00EC698A"/>
    <w:rsid w:val="00EC6E93"/>
    <w:rsid w:val="00EC77BC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EF7C87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4FFD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3C28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6345"/>
    <w:rsid w:val="00F37007"/>
    <w:rsid w:val="00F37FFE"/>
    <w:rsid w:val="00F40150"/>
    <w:rsid w:val="00F42116"/>
    <w:rsid w:val="00F42206"/>
    <w:rsid w:val="00F440FA"/>
    <w:rsid w:val="00F445E9"/>
    <w:rsid w:val="00F45325"/>
    <w:rsid w:val="00F4568F"/>
    <w:rsid w:val="00F458E3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2487"/>
    <w:rsid w:val="00F62CFD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CE8"/>
    <w:rsid w:val="00F7649E"/>
    <w:rsid w:val="00F76DAA"/>
    <w:rsid w:val="00F77513"/>
    <w:rsid w:val="00F7777F"/>
    <w:rsid w:val="00F80CFE"/>
    <w:rsid w:val="00F825F5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0F1B"/>
    <w:rsid w:val="00F92952"/>
    <w:rsid w:val="00F93099"/>
    <w:rsid w:val="00F939C0"/>
    <w:rsid w:val="00F943E3"/>
    <w:rsid w:val="00F9558A"/>
    <w:rsid w:val="00F95D77"/>
    <w:rsid w:val="00F966D3"/>
    <w:rsid w:val="00FA06CB"/>
    <w:rsid w:val="00FA0CAE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4643"/>
    <w:rsid w:val="00FB5035"/>
    <w:rsid w:val="00FB54C9"/>
    <w:rsid w:val="00FB5775"/>
    <w:rsid w:val="00FB7A41"/>
    <w:rsid w:val="00FC249C"/>
    <w:rsid w:val="00FC269E"/>
    <w:rsid w:val="00FC2851"/>
    <w:rsid w:val="00FC3429"/>
    <w:rsid w:val="00FC4DE1"/>
    <w:rsid w:val="00FC6F05"/>
    <w:rsid w:val="00FC729B"/>
    <w:rsid w:val="00FC77AD"/>
    <w:rsid w:val="00FC7D0A"/>
    <w:rsid w:val="00FD07C6"/>
    <w:rsid w:val="00FD3055"/>
    <w:rsid w:val="00FD384D"/>
    <w:rsid w:val="00FD47C3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5501"/>
    <w:rsid w:val="00FE6078"/>
    <w:rsid w:val="00FE661D"/>
    <w:rsid w:val="00FE6F70"/>
    <w:rsid w:val="00FE7191"/>
    <w:rsid w:val="00FE787A"/>
    <w:rsid w:val="00FE7975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4FAF"/>
    <w:rsid w:val="00FF6D69"/>
    <w:rsid w:val="00FF730E"/>
    <w:rsid w:val="00FF7403"/>
    <w:rsid w:val="00FF748F"/>
    <w:rsid w:val="01FFCD45"/>
    <w:rsid w:val="02B20EB6"/>
    <w:rsid w:val="06052371"/>
    <w:rsid w:val="12D14FCA"/>
    <w:rsid w:val="16B7A36B"/>
    <w:rsid w:val="20315F91"/>
    <w:rsid w:val="23B92199"/>
    <w:rsid w:val="33827DC9"/>
    <w:rsid w:val="3841F605"/>
    <w:rsid w:val="3BB377C4"/>
    <w:rsid w:val="3C691481"/>
    <w:rsid w:val="426C40A1"/>
    <w:rsid w:val="4439267C"/>
    <w:rsid w:val="47BB6ED3"/>
    <w:rsid w:val="498375C6"/>
    <w:rsid w:val="4CDDBD09"/>
    <w:rsid w:val="4D2A89DB"/>
    <w:rsid w:val="4F898C3A"/>
    <w:rsid w:val="53761BA5"/>
    <w:rsid w:val="58C170AD"/>
    <w:rsid w:val="5C686CCC"/>
    <w:rsid w:val="5DCA0185"/>
    <w:rsid w:val="6079FE8C"/>
    <w:rsid w:val="628616D7"/>
    <w:rsid w:val="64248836"/>
    <w:rsid w:val="6786A242"/>
    <w:rsid w:val="687D32B1"/>
    <w:rsid w:val="6E1A6EE0"/>
    <w:rsid w:val="6E915728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60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50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6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4"/>
    <w:qFormat/>
    <w:uiPriority w:val="0"/>
  </w:style>
  <w:style w:type="paragraph" w:styleId="42">
    <w:name w:val="Body Text 3"/>
    <w:basedOn w:val="1"/>
    <w:link w:val="139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5"/>
    <w:qFormat/>
    <w:uiPriority w:val="0"/>
    <w:pPr>
      <w:ind w:left="4252"/>
    </w:pPr>
  </w:style>
  <w:style w:type="paragraph" w:styleId="44">
    <w:name w:val="Body Text"/>
    <w:basedOn w:val="1"/>
    <w:link w:val="137"/>
    <w:qFormat/>
    <w:uiPriority w:val="0"/>
    <w:pPr>
      <w:spacing w:after="120"/>
    </w:pPr>
  </w:style>
  <w:style w:type="paragraph" w:styleId="45">
    <w:name w:val="Body Text Indent"/>
    <w:basedOn w:val="1"/>
    <w:link w:val="141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2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61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8"/>
    <w:qFormat/>
    <w:uiPriority w:val="0"/>
  </w:style>
  <w:style w:type="paragraph" w:styleId="57">
    <w:name w:val="Body Text Indent 2"/>
    <w:basedOn w:val="1"/>
    <w:link w:val="143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51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9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5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5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4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8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8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3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99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7"/>
    <w:qFormat/>
    <w:uiPriority w:val="0"/>
    <w:rPr>
      <w:b/>
      <w:bCs/>
    </w:rPr>
  </w:style>
  <w:style w:type="paragraph" w:styleId="87">
    <w:name w:val="Body Text First Indent"/>
    <w:basedOn w:val="44"/>
    <w:link w:val="140"/>
    <w:qFormat/>
    <w:uiPriority w:val="0"/>
    <w:pPr>
      <w:ind w:firstLine="210"/>
    </w:pPr>
  </w:style>
  <w:style w:type="paragraph" w:styleId="88">
    <w:name w:val="Body Text First Indent 2"/>
    <w:basedOn w:val="45"/>
    <w:link w:val="142"/>
    <w:qFormat/>
    <w:uiPriority w:val="0"/>
    <w:pPr>
      <w:ind w:firstLine="210"/>
    </w:pPr>
  </w:style>
  <w:style w:type="table" w:styleId="90">
    <w:name w:val="Table Grid"/>
    <w:basedOn w:val="8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qFormat/>
    <w:uiPriority w:val="22"/>
    <w:rPr>
      <w:b/>
      <w:bCs/>
    </w:rPr>
  </w:style>
  <w:style w:type="character" w:styleId="93">
    <w:name w:val="FollowedHyperlink"/>
    <w:qFormat/>
    <w:uiPriority w:val="0"/>
    <w:rPr>
      <w:color w:val="800080"/>
      <w:u w:val="single"/>
    </w:rPr>
  </w:style>
  <w:style w:type="character" w:styleId="94">
    <w:name w:val="Hyperlink"/>
    <w:qFormat/>
    <w:uiPriority w:val="99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semiHidden/>
    <w:qFormat/>
    <w:uiPriority w:val="0"/>
    <w:rPr>
      <w:b/>
      <w:position w:val="6"/>
      <w:sz w:val="16"/>
    </w:rPr>
  </w:style>
  <w:style w:type="paragraph" w:customStyle="1" w:styleId="9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3"/>
    <w:next w:val="1"/>
    <w:qFormat/>
    <w:uiPriority w:val="0"/>
    <w:pPr>
      <w:outlineLvl w:val="9"/>
    </w:pPr>
  </w:style>
  <w:style w:type="paragraph" w:customStyle="1" w:styleId="100">
    <w:name w:val="TAH"/>
    <w:basedOn w:val="101"/>
    <w:link w:val="191"/>
    <w:qFormat/>
    <w:uiPriority w:val="0"/>
    <w:rPr>
      <w:b/>
    </w:rPr>
  </w:style>
  <w:style w:type="paragraph" w:customStyle="1" w:styleId="101">
    <w:name w:val="TAC"/>
    <w:basedOn w:val="102"/>
    <w:link w:val="190"/>
    <w:qFormat/>
    <w:uiPriority w:val="0"/>
    <w:pPr>
      <w:jc w:val="center"/>
    </w:pPr>
  </w:style>
  <w:style w:type="paragraph" w:customStyle="1" w:styleId="102">
    <w:name w:val="TAL"/>
    <w:basedOn w:val="1"/>
    <w:link w:val="1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link w:val="186"/>
    <w:qFormat/>
    <w:uiPriority w:val="0"/>
    <w:pPr>
      <w:keepNext w:val="0"/>
      <w:spacing w:before="0" w:after="240"/>
    </w:pPr>
  </w:style>
  <w:style w:type="paragraph" w:customStyle="1" w:styleId="104">
    <w:name w:val="TH"/>
    <w:basedOn w:val="1"/>
    <w:link w:val="1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link w:val="183"/>
    <w:qFormat/>
    <w:uiPriority w:val="0"/>
    <w:pPr>
      <w:keepLines/>
      <w:ind w:left="1135" w:hanging="851"/>
    </w:pPr>
  </w:style>
  <w:style w:type="paragraph" w:customStyle="1" w:styleId="106">
    <w:name w:val="EX"/>
    <w:basedOn w:val="1"/>
    <w:link w:val="189"/>
    <w:qFormat/>
    <w:uiPriority w:val="0"/>
    <w:pPr>
      <w:keepLines/>
      <w:ind w:left="1702" w:hanging="1418"/>
    </w:pPr>
  </w:style>
  <w:style w:type="paragraph" w:customStyle="1" w:styleId="107">
    <w:name w:val="FP"/>
    <w:basedOn w:val="1"/>
    <w:qFormat/>
    <w:uiPriority w:val="0"/>
    <w:pPr>
      <w:spacing w:after="0"/>
    </w:pPr>
  </w:style>
  <w:style w:type="paragraph" w:customStyle="1" w:styleId="10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qFormat/>
    <w:uiPriority w:val="0"/>
    <w:pPr>
      <w:spacing w:after="0"/>
    </w:pPr>
  </w:style>
  <w:style w:type="paragraph" w:customStyle="1" w:styleId="110">
    <w:name w:val="EW"/>
    <w:basedOn w:val="106"/>
    <w:qFormat/>
    <w:uiPriority w:val="0"/>
    <w:pPr>
      <w:spacing w:after="0"/>
    </w:pPr>
  </w:style>
  <w:style w:type="paragraph" w:customStyle="1" w:styleId="11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qFormat/>
    <w:uiPriority w:val="0"/>
    <w:pPr>
      <w:jc w:val="right"/>
    </w:pPr>
  </w:style>
  <w:style w:type="paragraph" w:customStyle="1" w:styleId="115">
    <w:name w:val="TAN"/>
    <w:basedOn w:val="102"/>
    <w:qFormat/>
    <w:uiPriority w:val="0"/>
    <w:pPr>
      <w:ind w:left="851" w:hanging="851"/>
    </w:p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qFormat/>
    <w:uiPriority w:val="0"/>
    <w:pPr>
      <w:framePr w:y="16161"/>
    </w:pPr>
  </w:style>
  <w:style w:type="character" w:customStyle="1" w:styleId="121">
    <w:name w:val="ZGSM"/>
    <w:qFormat/>
    <w:uiPriority w:val="0"/>
  </w:style>
  <w:style w:type="paragraph" w:customStyle="1" w:styleId="12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82"/>
    <w:qFormat/>
    <w:uiPriority w:val="0"/>
    <w:rPr>
      <w:color w:val="FF0000"/>
    </w:rPr>
  </w:style>
  <w:style w:type="paragraph" w:customStyle="1" w:styleId="124">
    <w:name w:val="B1"/>
    <w:basedOn w:val="15"/>
    <w:link w:val="176"/>
    <w:qFormat/>
    <w:uiPriority w:val="0"/>
  </w:style>
  <w:style w:type="paragraph" w:customStyle="1" w:styleId="125">
    <w:name w:val="B2"/>
    <w:basedOn w:val="14"/>
    <w:link w:val="177"/>
    <w:qFormat/>
    <w:uiPriority w:val="0"/>
  </w:style>
  <w:style w:type="paragraph" w:customStyle="1" w:styleId="126">
    <w:name w:val="B3"/>
    <w:basedOn w:val="13"/>
    <w:qFormat/>
    <w:uiPriority w:val="0"/>
  </w:style>
  <w:style w:type="paragraph" w:customStyle="1" w:styleId="127">
    <w:name w:val="B4"/>
    <w:basedOn w:val="72"/>
    <w:qFormat/>
    <w:uiPriority w:val="0"/>
  </w:style>
  <w:style w:type="paragraph" w:customStyle="1" w:styleId="128">
    <w:name w:val="B5"/>
    <w:basedOn w:val="71"/>
    <w:qFormat/>
    <w:uiPriority w:val="0"/>
  </w:style>
  <w:style w:type="paragraph" w:customStyle="1" w:styleId="129">
    <w:name w:val="ZTD"/>
    <w:basedOn w:val="117"/>
    <w:qFormat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91"/>
    <w:qFormat/>
    <w:uiPriority w:val="0"/>
  </w:style>
  <w:style w:type="paragraph" w:customStyle="1" w:styleId="13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"/>
    <w:basedOn w:val="1"/>
    <w:next w:val="1"/>
    <w:semiHidden/>
    <w:unhideWhenUsed/>
    <w:qFormat/>
    <w:uiPriority w:val="37"/>
  </w:style>
  <w:style w:type="character" w:customStyle="1" w:styleId="137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link w:val="87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39"/>
    <w:qFormat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link w:val="170"/>
    <w:qFormat/>
    <w:uiPriority w:val="34"/>
    <w:pPr>
      <w:ind w:left="720"/>
    </w:pPr>
  </w:style>
  <w:style w:type="character" w:customStyle="1" w:styleId="157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70">
    <w:name w:val="List Paragraph Char"/>
    <w:link w:val="156"/>
    <w:qFormat/>
    <w:uiPriority w:val="34"/>
    <w:rPr>
      <w:rFonts w:ascii="Times New Roman" w:hAnsi="Times New Roman"/>
      <w:lang w:val="en-GB"/>
    </w:rPr>
  </w:style>
  <w:style w:type="character" w:customStyle="1" w:styleId="171">
    <w:name w:val="normaltextrun"/>
    <w:basedOn w:val="91"/>
    <w:qFormat/>
    <w:uiPriority w:val="0"/>
  </w:style>
  <w:style w:type="paragraph" w:customStyle="1" w:styleId="172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3">
    <w:name w:val="eop"/>
    <w:basedOn w:val="91"/>
    <w:qFormat/>
    <w:uiPriority w:val="0"/>
  </w:style>
  <w:style w:type="character" w:customStyle="1" w:styleId="174">
    <w:name w:val="advancedproofingissuezoomed"/>
    <w:basedOn w:val="91"/>
    <w:qFormat/>
    <w:uiPriority w:val="0"/>
  </w:style>
  <w:style w:type="character" w:customStyle="1" w:styleId="175">
    <w:name w:val="bcx8"/>
    <w:basedOn w:val="91"/>
    <w:qFormat/>
    <w:uiPriority w:val="0"/>
  </w:style>
  <w:style w:type="character" w:customStyle="1" w:styleId="176">
    <w:name w:val="B1 Char"/>
    <w:link w:val="124"/>
    <w:qFormat/>
    <w:uiPriority w:val="0"/>
    <w:rPr>
      <w:rFonts w:ascii="Times New Roman" w:hAnsi="Times New Roman"/>
      <w:lang w:val="en-GB"/>
    </w:rPr>
  </w:style>
  <w:style w:type="character" w:customStyle="1" w:styleId="177">
    <w:name w:val="B2 Char"/>
    <w:link w:val="125"/>
    <w:qFormat/>
    <w:uiPriority w:val="0"/>
    <w:rPr>
      <w:rFonts w:ascii="Times New Roman" w:hAnsi="Times New Roman"/>
      <w:lang w:val="en-GB"/>
    </w:rPr>
  </w:style>
  <w:style w:type="paragraph" w:customStyle="1" w:styleId="178">
    <w:name w:val="pf0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179">
    <w:name w:val="cf0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80">
    <w:name w:val="cf11"/>
    <w:qFormat/>
    <w:uiPriority w:val="0"/>
    <w:rPr>
      <w:rFonts w:hint="default" w:ascii="Segoe UI" w:hAnsi="Segoe UI" w:cs="Segoe UI"/>
      <w:sz w:val="18"/>
      <w:szCs w:val="18"/>
      <w:shd w:val="clear" w:color="auto" w:fill="FFFF00"/>
    </w:rPr>
  </w:style>
  <w:style w:type="paragraph" w:customStyle="1" w:styleId="18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2">
    <w:name w:val="Editor's Note Char"/>
    <w:link w:val="123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183">
    <w:name w:val="NO Zchn"/>
    <w:link w:val="105"/>
    <w:qFormat/>
    <w:uiPriority w:val="0"/>
    <w:rPr>
      <w:rFonts w:ascii="Times New Roman" w:hAnsi="Times New Roman"/>
      <w:lang w:eastAsia="en-US"/>
    </w:rPr>
  </w:style>
  <w:style w:type="character" w:customStyle="1" w:styleId="184">
    <w:name w:val="B1 (文字)"/>
    <w:qFormat/>
    <w:uiPriority w:val="0"/>
    <w:rPr>
      <w:lang w:eastAsia="en-US"/>
    </w:rPr>
  </w:style>
  <w:style w:type="character" w:customStyle="1" w:styleId="185">
    <w:name w:val="TH Char"/>
    <w:link w:val="104"/>
    <w:qFormat/>
    <w:uiPriority w:val="0"/>
    <w:rPr>
      <w:rFonts w:ascii="Arial" w:hAnsi="Arial"/>
      <w:b/>
      <w:lang w:eastAsia="en-US"/>
    </w:rPr>
  </w:style>
  <w:style w:type="character" w:customStyle="1" w:styleId="186">
    <w:name w:val="TF Char"/>
    <w:link w:val="103"/>
    <w:qFormat/>
    <w:uiPriority w:val="0"/>
    <w:rPr>
      <w:rFonts w:ascii="Arial" w:hAnsi="Arial"/>
      <w:b/>
      <w:lang w:eastAsia="en-US"/>
    </w:rPr>
  </w:style>
  <w:style w:type="character" w:customStyle="1" w:styleId="187">
    <w:name w:val="NO Char"/>
    <w:qFormat/>
    <w:uiPriority w:val="0"/>
    <w:rPr>
      <w:lang w:val="en-GB" w:eastAsia="en-US"/>
    </w:rPr>
  </w:style>
  <w:style w:type="character" w:customStyle="1" w:styleId="188">
    <w:name w:val="未处理的提及1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9">
    <w:name w:val="EX Char"/>
    <w:link w:val="106"/>
    <w:qFormat/>
    <w:locked/>
    <w:uiPriority w:val="0"/>
    <w:rPr>
      <w:rFonts w:ascii="Times New Roman" w:hAnsi="Times New Roman"/>
      <w:lang w:eastAsia="en-US"/>
    </w:rPr>
  </w:style>
  <w:style w:type="character" w:customStyle="1" w:styleId="190">
    <w:name w:val="TAC Char"/>
    <w:link w:val="101"/>
    <w:qFormat/>
    <w:locked/>
    <w:uiPriority w:val="0"/>
    <w:rPr>
      <w:rFonts w:ascii="Arial" w:hAnsi="Arial"/>
      <w:sz w:val="18"/>
      <w:lang w:eastAsia="en-US"/>
    </w:rPr>
  </w:style>
  <w:style w:type="character" w:customStyle="1" w:styleId="191">
    <w:name w:val="TAH Car"/>
    <w:link w:val="100"/>
    <w:qFormat/>
    <w:uiPriority w:val="0"/>
    <w:rPr>
      <w:rFonts w:ascii="Arial" w:hAnsi="Arial"/>
      <w:b/>
      <w:sz w:val="18"/>
      <w:lang w:eastAsia="en-US"/>
    </w:rPr>
  </w:style>
  <w:style w:type="paragraph" w:customStyle="1" w:styleId="192">
    <w:name w:val="IvD bodytext"/>
    <w:basedOn w:val="44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Times New Roman"/>
      <w:spacing w:val="2"/>
      <w:lang w:val="en-US"/>
    </w:rPr>
  </w:style>
  <w:style w:type="character" w:customStyle="1" w:styleId="193">
    <w:name w:val="IvD bodytext Char"/>
    <w:basedOn w:val="137"/>
    <w:link w:val="192"/>
    <w:qFormat/>
    <w:uiPriority w:val="0"/>
    <w:rPr>
      <w:rFonts w:ascii="Arial" w:hAnsi="Arial" w:eastAsia="Times New Roman"/>
      <w:spacing w:val="2"/>
      <w:lang w:val="en-US" w:eastAsia="en-US"/>
    </w:rPr>
  </w:style>
  <w:style w:type="character" w:customStyle="1" w:styleId="194">
    <w:name w:val="TAL Char"/>
    <w:link w:val="102"/>
    <w:qFormat/>
    <w:uiPriority w:val="0"/>
    <w:rPr>
      <w:rFonts w:ascii="Arial" w:hAnsi="Arial"/>
      <w:sz w:val="18"/>
      <w:lang w:eastAsia="en-US"/>
    </w:rPr>
  </w:style>
  <w:style w:type="character" w:customStyle="1" w:styleId="195">
    <w:name w:val="Strong Emphasis"/>
    <w:qFormat/>
    <w:uiPriority w:val="0"/>
    <w:rPr>
      <w:b/>
      <w:bCs/>
    </w:rPr>
  </w:style>
  <w:style w:type="character" w:customStyle="1" w:styleId="196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97">
    <w:name w:val="apple-converted-space"/>
    <w:basedOn w:val="9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/>
</ds:datastoreItem>
</file>

<file path=customXml/itemProps2.xml><?xml version="1.0" encoding="utf-8"?>
<ds:datastoreItem xmlns:ds="http://schemas.openxmlformats.org/officeDocument/2006/customXml" ds:itemID="{943EFB50-8CED-4C84-9261-26F43B147684}">
  <ds:schemaRefs/>
</ds:datastoreItem>
</file>

<file path=customXml/itemProps3.xml><?xml version="1.0" encoding="utf-8"?>
<ds:datastoreItem xmlns:ds="http://schemas.openxmlformats.org/officeDocument/2006/customXml" ds:itemID="{284624C9-5BCF-4BBA-8C4E-C847519635D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Company>3GPP Support Team</Company>
  <Pages>2</Pages>
  <Words>3208</Words>
  <Characters>18289</Characters>
  <Lines>152</Lines>
  <Paragraphs>42</Paragraphs>
  <TotalTime>26</TotalTime>
  <ScaleCrop>false</ScaleCrop>
  <LinksUpToDate>false</LinksUpToDate>
  <CharactersWithSpaces>21455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2025-10-16T10:01:00Z</dcterms:created>
  <dc:creator>Huawei User</dc:creator>
  <cp:lastModifiedBy>CMCC2</cp:lastModifiedBy>
  <cp:lastPrinted>2411-12-31T16:58:00Z</cp:lastPrinted>
  <dcterms:modified xsi:type="dcterms:W3CDTF">2025-11-05T02:58:35Z</dcterms:modified>
  <dc:title>3GPP Contribution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  <property fmtid="{D5CDD505-2E9C-101B-9397-08002B2CF9AE}" pid="14" name="KSOProductBuildVer">
    <vt:lpwstr>2052-12.8.2.21555</vt:lpwstr>
  </property>
  <property fmtid="{D5CDD505-2E9C-101B-9397-08002B2CF9AE}" pid="15" name="ICV">
    <vt:lpwstr>C640D40DF3B1448B8960298DA9612DBC_13</vt:lpwstr>
  </property>
</Properties>
</file>