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48F95" w14:textId="7C3A9DF4" w:rsidR="001B42DA" w:rsidRPr="001B42DA" w:rsidRDefault="001B42DA" w:rsidP="001B42DA">
      <w:pPr>
        <w:tabs>
          <w:tab w:val="right" w:pos="9781"/>
        </w:tabs>
        <w:rPr>
          <w:rFonts w:ascii="Times New Roman" w:eastAsia="Yu Mincho" w:hAnsi="Times New Roman" w:cs="Times New Roman"/>
          <w:b/>
          <w:noProof/>
          <w:sz w:val="23"/>
          <w:szCs w:val="23"/>
          <w:lang w:eastAsia="ja-JP"/>
        </w:rPr>
      </w:pPr>
      <w:bookmarkStart w:id="0" w:name="_Hlk54275161"/>
      <w:bookmarkStart w:id="1" w:name="_Hlk142299101"/>
      <w:bookmarkStart w:id="2" w:name="DocumentFor"/>
      <w:bookmarkStart w:id="3" w:name="Title"/>
      <w:bookmarkEnd w:id="0"/>
      <w:bookmarkEnd w:id="1"/>
      <w:bookmarkEnd w:id="2"/>
      <w:bookmarkEnd w:id="3"/>
      <w:r w:rsidRPr="001B42DA">
        <w:rPr>
          <w:rFonts w:ascii="Times New Roman" w:hAnsi="Times New Roman" w:cs="Times New Roman"/>
          <w:b/>
          <w:noProof/>
          <w:sz w:val="23"/>
          <w:szCs w:val="23"/>
        </w:rPr>
        <w:t>3GPP TSG RAN WG2#13</w:t>
      </w:r>
      <w:r w:rsidRPr="001B42DA">
        <w:rPr>
          <w:rFonts w:ascii="Times New Roman" w:eastAsia="Yu Mincho" w:hAnsi="Times New Roman" w:cs="Times New Roman"/>
          <w:b/>
          <w:noProof/>
          <w:sz w:val="23"/>
          <w:szCs w:val="23"/>
          <w:lang w:eastAsia="ja-JP"/>
        </w:rPr>
        <w:t>2</w:t>
      </w:r>
      <w:r w:rsidRPr="001B42DA">
        <w:rPr>
          <w:rFonts w:ascii="Times New Roman" w:hAnsi="Times New Roman" w:cs="Times New Roman"/>
          <w:b/>
          <w:noProof/>
          <w:sz w:val="23"/>
          <w:szCs w:val="23"/>
        </w:rPr>
        <w:tab/>
      </w:r>
      <w:r w:rsidR="00605358" w:rsidRPr="00605358">
        <w:rPr>
          <w:rFonts w:ascii="Times New Roman" w:hAnsi="Times New Roman" w:cs="Times New Roman"/>
          <w:b/>
          <w:noProof/>
          <w:sz w:val="23"/>
          <w:szCs w:val="23"/>
        </w:rPr>
        <w:t>R2-2509048</w:t>
      </w:r>
    </w:p>
    <w:p w14:paraId="2DE53EDE" w14:textId="77777777" w:rsidR="001B42DA" w:rsidRPr="001B42DA" w:rsidRDefault="001B42DA" w:rsidP="001B42DA">
      <w:pPr>
        <w:tabs>
          <w:tab w:val="right" w:pos="9216"/>
        </w:tabs>
        <w:rPr>
          <w:rFonts w:ascii="Times New Roman" w:hAnsi="Times New Roman" w:cs="Times New Roman"/>
          <w:b/>
          <w:noProof/>
          <w:sz w:val="23"/>
          <w:szCs w:val="23"/>
        </w:rPr>
      </w:pPr>
      <w:r w:rsidRPr="001B42DA">
        <w:rPr>
          <w:rFonts w:ascii="Times New Roman" w:eastAsia="Yu Mincho" w:hAnsi="Times New Roman" w:cs="Times New Roman"/>
          <w:b/>
          <w:noProof/>
          <w:sz w:val="23"/>
          <w:szCs w:val="23"/>
          <w:lang w:eastAsia="ja-JP"/>
        </w:rPr>
        <w:t>Dallas, USA</w:t>
      </w:r>
      <w:r w:rsidRPr="001B42DA">
        <w:rPr>
          <w:rFonts w:ascii="Times New Roman" w:hAnsi="Times New Roman" w:cs="Times New Roman"/>
          <w:b/>
          <w:noProof/>
          <w:sz w:val="23"/>
          <w:szCs w:val="23"/>
        </w:rPr>
        <w:t>, 17</w:t>
      </w:r>
      <w:r w:rsidRPr="001B42DA">
        <w:rPr>
          <w:rFonts w:ascii="Times New Roman" w:eastAsia="Yu Mincho" w:hAnsi="Times New Roman" w:cs="Times New Roman"/>
          <w:b/>
          <w:noProof/>
          <w:sz w:val="23"/>
          <w:szCs w:val="23"/>
          <w:vertAlign w:val="superscript"/>
          <w:lang w:eastAsia="ja-JP"/>
        </w:rPr>
        <w:t>th</w:t>
      </w:r>
      <w:r w:rsidRPr="001B42DA">
        <w:rPr>
          <w:rFonts w:ascii="Times New Roman" w:eastAsia="Yu Mincho" w:hAnsi="Times New Roman" w:cs="Times New Roman"/>
          <w:b/>
          <w:noProof/>
          <w:sz w:val="23"/>
          <w:szCs w:val="23"/>
          <w:lang w:eastAsia="ja-JP"/>
        </w:rPr>
        <w:t xml:space="preserve"> - 21</w:t>
      </w:r>
      <w:r w:rsidRPr="001B42DA">
        <w:rPr>
          <w:rFonts w:ascii="Times New Roman" w:eastAsia="Yu Mincho" w:hAnsi="Times New Roman" w:cs="Times New Roman"/>
          <w:b/>
          <w:noProof/>
          <w:sz w:val="23"/>
          <w:szCs w:val="23"/>
          <w:vertAlign w:val="superscript"/>
          <w:lang w:eastAsia="ja-JP"/>
        </w:rPr>
        <w:t>st</w:t>
      </w:r>
      <w:r w:rsidRPr="001B42DA">
        <w:rPr>
          <w:rFonts w:ascii="Times New Roman" w:eastAsia="Yu Mincho" w:hAnsi="Times New Roman" w:cs="Times New Roman"/>
          <w:b/>
          <w:noProof/>
          <w:sz w:val="23"/>
          <w:szCs w:val="23"/>
          <w:lang w:eastAsia="ja-JP"/>
        </w:rPr>
        <w:t>, November</w:t>
      </w:r>
      <w:r w:rsidRPr="001B42DA">
        <w:rPr>
          <w:rFonts w:ascii="Times New Roman" w:hAnsi="Times New Roman" w:cs="Times New Roman"/>
          <w:b/>
          <w:noProof/>
          <w:sz w:val="23"/>
          <w:szCs w:val="23"/>
        </w:rPr>
        <w:t xml:space="preserve"> 2025</w:t>
      </w:r>
    </w:p>
    <w:p w14:paraId="09AB334E" w14:textId="77777777" w:rsidR="00496AEF" w:rsidRPr="001B42DA" w:rsidRDefault="00496AEF" w:rsidP="00496AEF">
      <w:pPr>
        <w:rPr>
          <w:rFonts w:ascii="Times New Roman" w:hAnsi="Times New Roman" w:cs="Times New Roman"/>
          <w:b/>
          <w:bCs/>
          <w:sz w:val="22"/>
        </w:rPr>
      </w:pPr>
    </w:p>
    <w:p w14:paraId="07DBDEE7" w14:textId="77777777" w:rsidR="00496AEF" w:rsidRPr="002655C0" w:rsidRDefault="00496AEF" w:rsidP="00496AEF">
      <w:pPr>
        <w:spacing w:after="120"/>
        <w:ind w:left="1985" w:hanging="1985"/>
        <w:rPr>
          <w:rFonts w:ascii="Times New Roman" w:hAnsi="Times New Roman" w:cs="Times New Roman"/>
          <w:b/>
          <w:sz w:val="24"/>
          <w:szCs w:val="24"/>
        </w:rPr>
      </w:pPr>
      <w:r w:rsidRPr="002655C0">
        <w:rPr>
          <w:rFonts w:ascii="Times New Roman" w:hAnsi="Times New Roman" w:cs="Times New Roman"/>
          <w:b/>
          <w:sz w:val="24"/>
          <w:szCs w:val="24"/>
        </w:rPr>
        <w:t>Source:</w:t>
      </w:r>
      <w:r w:rsidRPr="002655C0">
        <w:rPr>
          <w:rFonts w:ascii="Times New Roman" w:hAnsi="Times New Roman" w:cs="Times New Roman"/>
          <w:b/>
          <w:sz w:val="24"/>
          <w:szCs w:val="24"/>
        </w:rPr>
        <w:tab/>
      </w:r>
      <w:r w:rsidRPr="002655C0">
        <w:rPr>
          <w:rFonts w:ascii="Times New Roman" w:hAnsi="Times New Roman" w:cs="Times New Roman"/>
          <w:sz w:val="24"/>
          <w:szCs w:val="24"/>
        </w:rPr>
        <w:t xml:space="preserve">TCL </w:t>
      </w:r>
    </w:p>
    <w:p w14:paraId="1902F3CD" w14:textId="5741BB58" w:rsidR="00496AEF" w:rsidRPr="002655C0" w:rsidRDefault="00496AEF" w:rsidP="00496AEF">
      <w:pPr>
        <w:spacing w:after="120"/>
        <w:ind w:left="1985" w:hanging="1985"/>
        <w:rPr>
          <w:rFonts w:ascii="Times New Roman" w:hAnsi="Times New Roman" w:cs="Times New Roman"/>
          <w:b/>
          <w:sz w:val="24"/>
          <w:szCs w:val="24"/>
        </w:rPr>
      </w:pPr>
      <w:r w:rsidRPr="002655C0">
        <w:rPr>
          <w:rFonts w:ascii="Times New Roman" w:hAnsi="Times New Roman" w:cs="Times New Roman"/>
          <w:b/>
          <w:sz w:val="24"/>
          <w:szCs w:val="24"/>
        </w:rPr>
        <w:t>Title:</w:t>
      </w:r>
      <w:r w:rsidRPr="002655C0">
        <w:rPr>
          <w:rFonts w:ascii="Times New Roman" w:hAnsi="Times New Roman" w:cs="Times New Roman"/>
          <w:b/>
          <w:sz w:val="24"/>
          <w:szCs w:val="24"/>
        </w:rPr>
        <w:tab/>
      </w:r>
      <w:r w:rsidR="00605358" w:rsidRPr="00605358">
        <w:rPr>
          <w:rFonts w:ascii="Times New Roman" w:hAnsi="Times New Roman" w:cs="Times New Roman"/>
          <w:sz w:val="23"/>
          <w:szCs w:val="23"/>
        </w:rPr>
        <w:t>Discussion on TN/NTN Integration and Unification</w:t>
      </w:r>
    </w:p>
    <w:p w14:paraId="214FB593" w14:textId="6C9A34EA" w:rsidR="00496AEF" w:rsidRPr="002655C0" w:rsidRDefault="00496AEF" w:rsidP="00496AEF">
      <w:pPr>
        <w:spacing w:after="120"/>
        <w:ind w:left="1985" w:hanging="1985"/>
        <w:rPr>
          <w:rFonts w:ascii="Times New Roman" w:hAnsi="Times New Roman" w:cs="Times New Roman"/>
          <w:b/>
          <w:sz w:val="24"/>
          <w:szCs w:val="24"/>
        </w:rPr>
      </w:pPr>
      <w:r w:rsidRPr="002655C0">
        <w:rPr>
          <w:rFonts w:ascii="Times New Roman" w:hAnsi="Times New Roman" w:cs="Times New Roman"/>
          <w:b/>
          <w:sz w:val="24"/>
          <w:szCs w:val="24"/>
        </w:rPr>
        <w:t>Agenda item:</w:t>
      </w:r>
      <w:r w:rsidRPr="002655C0">
        <w:rPr>
          <w:rFonts w:ascii="Times New Roman" w:hAnsi="Times New Roman" w:cs="Times New Roman"/>
          <w:b/>
          <w:sz w:val="24"/>
          <w:szCs w:val="24"/>
        </w:rPr>
        <w:tab/>
      </w:r>
      <w:r w:rsidR="00E74561" w:rsidRPr="00E74561">
        <w:rPr>
          <w:rFonts w:ascii="Times New Roman" w:hAnsi="Times New Roman" w:cs="Times New Roman"/>
          <w:sz w:val="24"/>
          <w:szCs w:val="24"/>
        </w:rPr>
        <w:t>10.2.2</w:t>
      </w:r>
    </w:p>
    <w:p w14:paraId="09F5816D" w14:textId="77777777" w:rsidR="00496AEF" w:rsidRPr="002655C0" w:rsidRDefault="00496AEF" w:rsidP="00496AEF">
      <w:pPr>
        <w:spacing w:after="120"/>
        <w:ind w:left="1985" w:hanging="1985"/>
        <w:rPr>
          <w:rFonts w:ascii="Times New Roman" w:hAnsi="Times New Roman" w:cs="Times New Roman"/>
          <w:b/>
          <w:sz w:val="24"/>
          <w:szCs w:val="24"/>
        </w:rPr>
      </w:pPr>
      <w:r w:rsidRPr="002655C0">
        <w:rPr>
          <w:rFonts w:ascii="Times New Roman" w:hAnsi="Times New Roman" w:cs="Times New Roman"/>
          <w:b/>
          <w:sz w:val="24"/>
          <w:szCs w:val="24"/>
        </w:rPr>
        <w:t>Document for:</w:t>
      </w:r>
      <w:r w:rsidRPr="002655C0">
        <w:rPr>
          <w:rFonts w:ascii="Times New Roman" w:hAnsi="Times New Roman" w:cs="Times New Roman"/>
          <w:b/>
          <w:sz w:val="24"/>
          <w:szCs w:val="24"/>
        </w:rPr>
        <w:tab/>
      </w:r>
      <w:r w:rsidRPr="002655C0">
        <w:rPr>
          <w:rFonts w:ascii="Times New Roman" w:hAnsi="Times New Roman" w:cs="Times New Roman"/>
          <w:sz w:val="24"/>
          <w:szCs w:val="24"/>
        </w:rPr>
        <w:t>Discussion and decision</w:t>
      </w:r>
    </w:p>
    <w:p w14:paraId="2A72EED7" w14:textId="77777777" w:rsidR="00496AEF" w:rsidRPr="002655C0" w:rsidRDefault="00496AEF" w:rsidP="00496AEF">
      <w:pPr>
        <w:pStyle w:val="Heading1"/>
        <w:keepLines/>
        <w:numPr>
          <w:ilvl w:val="0"/>
          <w:numId w:val="2"/>
        </w:numPr>
        <w:pBdr>
          <w:top w:val="single" w:sz="12" w:space="3" w:color="auto"/>
        </w:pBdr>
        <w:tabs>
          <w:tab w:val="left" w:pos="420"/>
        </w:tabs>
        <w:overflowPunct w:val="0"/>
        <w:snapToGrid/>
        <w:spacing w:before="240" w:after="180"/>
        <w:ind w:left="432" w:hanging="432"/>
        <w:jc w:val="left"/>
        <w:textAlignment w:val="baseline"/>
        <w:rPr>
          <w:rFonts w:ascii="Times New Roman" w:hAnsi="Times New Roman"/>
        </w:rPr>
      </w:pPr>
      <w:r w:rsidRPr="002655C0">
        <w:rPr>
          <w:rFonts w:ascii="Times New Roman" w:hAnsi="Times New Roman"/>
          <w:szCs w:val="28"/>
          <w:lang w:val="en-US" w:eastAsia="zh-CN"/>
        </w:rPr>
        <w:t xml:space="preserve"> </w:t>
      </w:r>
      <w:r w:rsidRPr="002655C0">
        <w:rPr>
          <w:rFonts w:ascii="Times New Roman" w:hAnsi="Times New Roman"/>
          <w:szCs w:val="28"/>
        </w:rPr>
        <w:t>Introduction</w:t>
      </w:r>
    </w:p>
    <w:p w14:paraId="16418972" w14:textId="10387493" w:rsidR="00376B12" w:rsidRPr="002655C0" w:rsidRDefault="00FF307D" w:rsidP="00376B12">
      <w:pPr>
        <w:pStyle w:val="ds-markdown-paragraph"/>
        <w:shd w:val="clear" w:color="auto" w:fill="FFFFFF"/>
        <w:spacing w:before="0" w:beforeAutospacing="0" w:after="0" w:afterAutospacing="0"/>
        <w:jc w:val="both"/>
        <w:rPr>
          <w:sz w:val="21"/>
          <w:szCs w:val="21"/>
        </w:rPr>
      </w:pPr>
      <w:bookmarkStart w:id="4" w:name="_Toc54284460"/>
      <w:r w:rsidRPr="002655C0">
        <w:rPr>
          <w:sz w:val="21"/>
          <w:szCs w:val="21"/>
        </w:rPr>
        <w:t>The integration of Non-Terrestrial Ne</w:t>
      </w:r>
      <w:r w:rsidR="00376B12" w:rsidRPr="002655C0">
        <w:rPr>
          <w:sz w:val="21"/>
          <w:szCs w:val="21"/>
        </w:rPr>
        <w:t>tworks (NTNs) into 5G</w:t>
      </w:r>
      <w:r w:rsidRPr="002655C0">
        <w:rPr>
          <w:sz w:val="21"/>
          <w:szCs w:val="21"/>
        </w:rPr>
        <w:t xml:space="preserve"> has evolved significantly throu</w:t>
      </w:r>
      <w:r w:rsidR="00FA6ACC" w:rsidRPr="002655C0">
        <w:rPr>
          <w:sz w:val="21"/>
          <w:szCs w:val="21"/>
        </w:rPr>
        <w:t>gh 3GPP 18, 19, and 20</w:t>
      </w:r>
      <w:r w:rsidR="00376B12" w:rsidRPr="002655C0">
        <w:rPr>
          <w:sz w:val="21"/>
          <w:szCs w:val="21"/>
        </w:rPr>
        <w:t xml:space="preserve"> Releases</w:t>
      </w:r>
      <w:r w:rsidRPr="002655C0">
        <w:rPr>
          <w:sz w:val="21"/>
          <w:szCs w:val="21"/>
        </w:rPr>
        <w:t xml:space="preserve">. 6G is expanding NTN’s as </w:t>
      </w:r>
      <w:r w:rsidR="00376B12" w:rsidRPr="002655C0">
        <w:rPr>
          <w:sz w:val="21"/>
          <w:szCs w:val="21"/>
        </w:rPr>
        <w:t>native component in 6Gnetworks</w:t>
      </w:r>
      <w:r w:rsidRPr="002655C0">
        <w:rPr>
          <w:sz w:val="21"/>
          <w:szCs w:val="21"/>
        </w:rPr>
        <w:t xml:space="preserve"> for achieving the </w:t>
      </w:r>
      <w:r w:rsidR="00376B12" w:rsidRPr="002655C0">
        <w:rPr>
          <w:sz w:val="21"/>
          <w:szCs w:val="21"/>
        </w:rPr>
        <w:t xml:space="preserve">ultimate </w:t>
      </w:r>
      <w:r w:rsidRPr="002655C0">
        <w:rPr>
          <w:sz w:val="21"/>
          <w:szCs w:val="21"/>
        </w:rPr>
        <w:t>objective</w:t>
      </w:r>
      <w:r w:rsidR="00FA6ACC" w:rsidRPr="002655C0">
        <w:rPr>
          <w:sz w:val="21"/>
          <w:szCs w:val="21"/>
        </w:rPr>
        <w:t xml:space="preserve"> of ubiquitous global connectivity for IUT IMT-2030 vision</w:t>
      </w:r>
      <w:r w:rsidRPr="002655C0">
        <w:rPr>
          <w:sz w:val="21"/>
          <w:szCs w:val="21"/>
        </w:rPr>
        <w:t>. This</w:t>
      </w:r>
      <w:r w:rsidR="00376B12" w:rsidRPr="002655C0">
        <w:rPr>
          <w:sz w:val="21"/>
          <w:szCs w:val="21"/>
        </w:rPr>
        <w:t xml:space="preserve"> contribution </w:t>
      </w:r>
      <w:bookmarkStart w:id="5" w:name="OLE_LINK132"/>
      <w:bookmarkStart w:id="6" w:name="OLE_LINK133"/>
      <w:r w:rsidR="00F813ED" w:rsidRPr="002655C0">
        <w:rPr>
          <w:sz w:val="21"/>
          <w:szCs w:val="21"/>
        </w:rPr>
        <w:t>discusses</w:t>
      </w:r>
      <w:r w:rsidR="00B648EE">
        <w:rPr>
          <w:sz w:val="21"/>
          <w:szCs w:val="21"/>
        </w:rPr>
        <w:t xml:space="preserve">, cell </w:t>
      </w:r>
      <w:r w:rsidR="00E4365D">
        <w:rPr>
          <w:sz w:val="21"/>
          <w:szCs w:val="21"/>
        </w:rPr>
        <w:t>architecture</w:t>
      </w:r>
      <w:r w:rsidR="00B648EE">
        <w:rPr>
          <w:sz w:val="21"/>
          <w:szCs w:val="21"/>
        </w:rPr>
        <w:t xml:space="preserve">, </w:t>
      </w:r>
      <w:r w:rsidR="00376B12" w:rsidRPr="002655C0">
        <w:rPr>
          <w:sz w:val="21"/>
          <w:szCs w:val="21"/>
        </w:rPr>
        <w:t xml:space="preserve">initial access and RRC modelling </w:t>
      </w:r>
      <w:r w:rsidR="00E4365D">
        <w:rPr>
          <w:sz w:val="21"/>
          <w:szCs w:val="21"/>
        </w:rPr>
        <w:t xml:space="preserve">for </w:t>
      </w:r>
      <w:r w:rsidR="00E4365D" w:rsidRPr="002655C0">
        <w:rPr>
          <w:sz w:val="21"/>
          <w:szCs w:val="21"/>
        </w:rPr>
        <w:t>harmonized</w:t>
      </w:r>
      <w:r w:rsidR="00376B12" w:rsidRPr="002655C0">
        <w:rPr>
          <w:sz w:val="21"/>
          <w:szCs w:val="21"/>
        </w:rPr>
        <w:t xml:space="preserve"> 6G TN/NTN radio system</w:t>
      </w:r>
      <w:bookmarkEnd w:id="5"/>
      <w:bookmarkEnd w:id="6"/>
      <w:r w:rsidR="00376B12" w:rsidRPr="002655C0">
        <w:rPr>
          <w:sz w:val="21"/>
          <w:szCs w:val="21"/>
        </w:rPr>
        <w:t xml:space="preserve">. </w:t>
      </w:r>
    </w:p>
    <w:bookmarkEnd w:id="4"/>
    <w:p w14:paraId="6B429DFF" w14:textId="77777777" w:rsidR="00FF307D" w:rsidRPr="002655C0" w:rsidRDefault="00496AEF" w:rsidP="00376B12">
      <w:pPr>
        <w:pStyle w:val="Heading1"/>
        <w:keepLines/>
        <w:numPr>
          <w:ilvl w:val="0"/>
          <w:numId w:val="2"/>
        </w:numPr>
        <w:pBdr>
          <w:top w:val="single" w:sz="12" w:space="3" w:color="auto"/>
        </w:pBdr>
        <w:tabs>
          <w:tab w:val="clear" w:pos="612"/>
          <w:tab w:val="left" w:pos="420"/>
        </w:tabs>
        <w:overflowPunct w:val="0"/>
        <w:snapToGrid/>
        <w:spacing w:before="240" w:after="180"/>
        <w:ind w:left="432" w:hanging="432"/>
        <w:jc w:val="left"/>
        <w:textAlignment w:val="baseline"/>
        <w:rPr>
          <w:rFonts w:ascii="Times New Roman" w:hAnsi="Times New Roman"/>
          <w:lang w:val="en-US" w:eastAsia="zh-CN"/>
        </w:rPr>
      </w:pPr>
      <w:r w:rsidRPr="002655C0">
        <w:rPr>
          <w:rFonts w:ascii="Times New Roman" w:hAnsi="Times New Roman"/>
          <w:lang w:val="en-US" w:eastAsia="zh-CN"/>
        </w:rPr>
        <w:t>Discussion</w:t>
      </w:r>
    </w:p>
    <w:p w14:paraId="75B439B1" w14:textId="77777777" w:rsidR="003859CE" w:rsidRPr="002655C0" w:rsidRDefault="00FF307D" w:rsidP="006457B1">
      <w:pPr>
        <w:pStyle w:val="ds-markdown-paragraph"/>
        <w:shd w:val="clear" w:color="auto" w:fill="FFFFFF"/>
        <w:spacing w:before="0" w:beforeAutospacing="0" w:after="120" w:afterAutospacing="0"/>
        <w:jc w:val="both"/>
        <w:rPr>
          <w:sz w:val="21"/>
          <w:szCs w:val="21"/>
        </w:rPr>
      </w:pPr>
      <w:r w:rsidRPr="002655C0">
        <w:rPr>
          <w:sz w:val="21"/>
          <w:szCs w:val="21"/>
        </w:rPr>
        <w:t xml:space="preserve">To achieve the objective of IMT-2030 vision of global ubiquitous connectivity, there is an ongoing discussion in both </w:t>
      </w:r>
      <w:r w:rsidR="00BD0296" w:rsidRPr="002655C0">
        <w:rPr>
          <w:sz w:val="21"/>
          <w:szCs w:val="21"/>
        </w:rPr>
        <w:t>SA and RAN 3GPP working groups</w:t>
      </w:r>
      <w:r w:rsidRPr="002655C0">
        <w:rPr>
          <w:sz w:val="21"/>
          <w:szCs w:val="21"/>
        </w:rPr>
        <w:t xml:space="preserve"> on</w:t>
      </w:r>
      <w:r w:rsidR="00BD0296" w:rsidRPr="002655C0">
        <w:rPr>
          <w:sz w:val="21"/>
          <w:szCs w:val="21"/>
        </w:rPr>
        <w:t xml:space="preserve"> 6G system and radio access architecture </w:t>
      </w:r>
      <w:r w:rsidRPr="002655C0">
        <w:rPr>
          <w:sz w:val="21"/>
          <w:szCs w:val="21"/>
        </w:rPr>
        <w:t>encompassing both terrestrial and non-terrestrial netwo</w:t>
      </w:r>
      <w:r w:rsidR="00BD0296" w:rsidRPr="002655C0">
        <w:rPr>
          <w:sz w:val="21"/>
          <w:szCs w:val="21"/>
        </w:rPr>
        <w:t>rk access/infrastructure from</w:t>
      </w:r>
      <w:r w:rsidRPr="002655C0">
        <w:rPr>
          <w:sz w:val="21"/>
          <w:szCs w:val="21"/>
        </w:rPr>
        <w:t xml:space="preserve"> day-one.</w:t>
      </w:r>
      <w:r w:rsidR="00BD0296" w:rsidRPr="002655C0">
        <w:rPr>
          <w:sz w:val="21"/>
          <w:szCs w:val="21"/>
        </w:rPr>
        <w:t xml:space="preserve"> Having a unified TN/NTN design from day-one </w:t>
      </w:r>
      <w:r w:rsidR="00A91718" w:rsidRPr="002655C0">
        <w:rPr>
          <w:sz w:val="21"/>
          <w:szCs w:val="21"/>
        </w:rPr>
        <w:t xml:space="preserve">is crucial for covering the remaining coverage gaps such as oceans, mountains, rural areas, and even airspace for drones and airplanes connectivity. Moreover, a unified TN/NTN design </w:t>
      </w:r>
      <w:r w:rsidR="00BD0296" w:rsidRPr="002655C0">
        <w:rPr>
          <w:sz w:val="21"/>
          <w:szCs w:val="21"/>
        </w:rPr>
        <w:t>enables seamlessly support of mobility and services that cross between terrestrial and satellite links without the complexity of adding new technology, features, or components to the 6G initial protocols later on</w:t>
      </w:r>
      <w:r w:rsidR="006457B1" w:rsidRPr="002655C0">
        <w:rPr>
          <w:sz w:val="21"/>
          <w:szCs w:val="21"/>
        </w:rPr>
        <w:t>.</w:t>
      </w:r>
    </w:p>
    <w:p w14:paraId="1E163776" w14:textId="4F1A6B90" w:rsidR="00D51BBE" w:rsidRPr="007917ED" w:rsidRDefault="00AC7F7B" w:rsidP="007917ED">
      <w:pPr>
        <w:pStyle w:val="ds-markdown-paragraph"/>
        <w:shd w:val="clear" w:color="auto" w:fill="FFFFFF"/>
        <w:spacing w:before="0" w:beforeAutospacing="0" w:after="0" w:afterAutospacing="0"/>
        <w:jc w:val="both"/>
        <w:rPr>
          <w:color w:val="0F1115"/>
          <w:sz w:val="21"/>
          <w:szCs w:val="21"/>
          <w:shd w:val="clear" w:color="auto" w:fill="FFFFFF"/>
        </w:rPr>
      </w:pPr>
      <w:r w:rsidRPr="002655C0">
        <w:rPr>
          <w:color w:val="0F1115"/>
          <w:sz w:val="21"/>
          <w:szCs w:val="21"/>
          <w:shd w:val="clear" w:color="auto" w:fill="FFFFFF"/>
        </w:rPr>
        <w:t xml:space="preserve">  </w:t>
      </w:r>
      <w:r w:rsidR="007917ED">
        <w:rPr>
          <w:color w:val="0F1115"/>
          <w:sz w:val="21"/>
          <w:szCs w:val="21"/>
          <w:shd w:val="clear" w:color="auto" w:fill="FFFFFF"/>
        </w:rPr>
        <w:t>According to recent progress on 6G</w:t>
      </w:r>
      <w:r w:rsidR="00D51BBE" w:rsidRPr="002655C0">
        <w:rPr>
          <w:color w:val="0F1115"/>
          <w:sz w:val="21"/>
          <w:szCs w:val="21"/>
          <w:shd w:val="clear" w:color="auto" w:fill="FFFFFF"/>
        </w:rPr>
        <w:t>, 3GPP SA WGs are currently discussing several use-cases and requirements such as HAPS-based rapid deployable network for public safety, ubiquitous emergency rescue via UAVs, immersive media services for advanced air mobility enabled by 6G NTN, and enhanced user experience with sparse LEO satellite deployment - demanding a unified 6G TN/NTN design</w:t>
      </w:r>
      <w:r w:rsidR="007917ED">
        <w:rPr>
          <w:color w:val="0F1115"/>
          <w:sz w:val="21"/>
          <w:szCs w:val="21"/>
          <w:shd w:val="clear" w:color="auto" w:fill="FFFFFF"/>
        </w:rPr>
        <w:t xml:space="preserve"> [1]</w:t>
      </w:r>
      <w:r w:rsidR="00D51BBE" w:rsidRPr="002655C0">
        <w:rPr>
          <w:color w:val="0F1115"/>
          <w:sz w:val="21"/>
          <w:szCs w:val="21"/>
          <w:shd w:val="clear" w:color="auto" w:fill="FFFFFF"/>
        </w:rPr>
        <w:t>. On the other hand, 3GPP RAN WGs are also aiming at supporting NTN deployment scenarios with clear objectives towards harmonizing 6G Radio design for TN and NTN</w:t>
      </w:r>
      <w:r w:rsidR="007917ED">
        <w:rPr>
          <w:color w:val="0F1115"/>
          <w:sz w:val="21"/>
          <w:szCs w:val="21"/>
          <w:shd w:val="clear" w:color="auto" w:fill="FFFFFF"/>
        </w:rPr>
        <w:t xml:space="preserve"> [2-3]</w:t>
      </w:r>
      <w:r w:rsidR="00D51BBE" w:rsidRPr="002655C0">
        <w:rPr>
          <w:color w:val="0F1115"/>
          <w:sz w:val="21"/>
          <w:szCs w:val="21"/>
          <w:shd w:val="clear" w:color="auto" w:fill="FFFFFF"/>
        </w:rPr>
        <w:t xml:space="preserve">. Designing a unified 6G access system that encompasses terrestrial networks and multi-orbit platforms (UAVs, HAPS, LEO, MEO, </w:t>
      </w:r>
      <w:r w:rsidR="006457B1" w:rsidRPr="002655C0">
        <w:rPr>
          <w:color w:val="0F1115"/>
          <w:sz w:val="21"/>
          <w:szCs w:val="21"/>
          <w:shd w:val="clear" w:color="auto" w:fill="FFFFFF"/>
        </w:rPr>
        <w:t>and GEO</w:t>
      </w:r>
      <w:r w:rsidR="00D51BBE" w:rsidRPr="002655C0">
        <w:rPr>
          <w:color w:val="0F1115"/>
          <w:sz w:val="21"/>
          <w:szCs w:val="21"/>
          <w:shd w:val="clear" w:color="auto" w:fill="FFFFFF"/>
        </w:rPr>
        <w:t xml:space="preserve"> satellites</w:t>
      </w:r>
      <w:r w:rsidR="006457B1" w:rsidRPr="002655C0">
        <w:rPr>
          <w:color w:val="0F1115"/>
          <w:sz w:val="21"/>
          <w:szCs w:val="21"/>
          <w:shd w:val="clear" w:color="auto" w:fill="FFFFFF"/>
        </w:rPr>
        <w:t>)</w:t>
      </w:r>
      <w:r w:rsidR="00D51BBE" w:rsidRPr="002655C0">
        <w:rPr>
          <w:color w:val="0F1115"/>
          <w:sz w:val="21"/>
          <w:szCs w:val="21"/>
          <w:shd w:val="clear" w:color="auto" w:fill="FFFFFF"/>
        </w:rPr>
        <w:t xml:space="preserve"> is </w:t>
      </w:r>
      <w:r w:rsidR="006457B1" w:rsidRPr="002655C0">
        <w:rPr>
          <w:color w:val="0F1115"/>
          <w:sz w:val="21"/>
          <w:szCs w:val="21"/>
          <w:shd w:val="clear" w:color="auto" w:fill="FFFFFF"/>
        </w:rPr>
        <w:t xml:space="preserve">very </w:t>
      </w:r>
      <w:r w:rsidR="00D51BBE" w:rsidRPr="002655C0">
        <w:rPr>
          <w:color w:val="0F1115"/>
          <w:sz w:val="21"/>
          <w:szCs w:val="21"/>
          <w:shd w:val="clear" w:color="auto" w:fill="FFFFFF"/>
        </w:rPr>
        <w:t>complex</w:t>
      </w:r>
      <w:r w:rsidR="006457B1" w:rsidRPr="002655C0">
        <w:rPr>
          <w:color w:val="0F1115"/>
          <w:sz w:val="21"/>
          <w:szCs w:val="21"/>
          <w:shd w:val="clear" w:color="auto" w:fill="FFFFFF"/>
        </w:rPr>
        <w:t xml:space="preserve">. These platforms have diverse physical and operational characteristics </w:t>
      </w:r>
      <w:r w:rsidR="006457B1" w:rsidRPr="002655C0">
        <w:rPr>
          <w:b/>
          <w:color w:val="0F1115"/>
          <w:sz w:val="21"/>
          <w:szCs w:val="21"/>
          <w:shd w:val="clear" w:color="auto" w:fill="FFFFFF"/>
        </w:rPr>
        <w:t>(Table 1</w:t>
      </w:r>
      <w:r w:rsidR="006457B1" w:rsidRPr="002655C0">
        <w:rPr>
          <w:color w:val="0F1115"/>
          <w:sz w:val="21"/>
          <w:szCs w:val="21"/>
          <w:shd w:val="clear" w:color="auto" w:fill="FFFFFF"/>
        </w:rPr>
        <w:t xml:space="preserve">), requiring careful design </w:t>
      </w:r>
      <w:r w:rsidR="008E4A93">
        <w:rPr>
          <w:color w:val="0F1115"/>
          <w:sz w:val="21"/>
          <w:szCs w:val="21"/>
          <w:shd w:val="clear" w:color="auto" w:fill="FFFFFF"/>
        </w:rPr>
        <w:t xml:space="preserve">for </w:t>
      </w:r>
      <w:r w:rsidR="006457B1" w:rsidRPr="002655C0">
        <w:rPr>
          <w:color w:val="0F1115"/>
          <w:sz w:val="21"/>
          <w:szCs w:val="21"/>
          <w:shd w:val="clear" w:color="auto" w:fill="FFFFFF"/>
        </w:rPr>
        <w:t>the</w:t>
      </w:r>
      <w:r w:rsidR="008E4A93">
        <w:rPr>
          <w:color w:val="0F1115"/>
          <w:sz w:val="21"/>
          <w:szCs w:val="21"/>
          <w:shd w:val="clear" w:color="auto" w:fill="FFFFFF"/>
        </w:rPr>
        <w:t xml:space="preserve"> </w:t>
      </w:r>
      <w:bookmarkStart w:id="7" w:name="OLE_LINK115"/>
      <w:r w:rsidR="008E4A93" w:rsidRPr="008E4A93">
        <w:rPr>
          <w:color w:val="0F1115"/>
          <w:sz w:val="21"/>
          <w:szCs w:val="21"/>
          <w:shd w:val="clear" w:color="auto" w:fill="FFFFFF"/>
        </w:rPr>
        <w:t xml:space="preserve">cell </w:t>
      </w:r>
      <w:r w:rsidR="00BC54F2">
        <w:rPr>
          <w:color w:val="0F1115"/>
          <w:sz w:val="21"/>
          <w:szCs w:val="21"/>
          <w:shd w:val="clear" w:color="auto" w:fill="FFFFFF"/>
        </w:rPr>
        <w:t>addressing</w:t>
      </w:r>
      <w:bookmarkEnd w:id="7"/>
      <w:r w:rsidR="008E4A93">
        <w:rPr>
          <w:color w:val="0F1115"/>
          <w:sz w:val="21"/>
          <w:szCs w:val="21"/>
          <w:shd w:val="clear" w:color="auto" w:fill="FFFFFF"/>
        </w:rPr>
        <w:t>,</w:t>
      </w:r>
      <w:r w:rsidR="006457B1" w:rsidRPr="002655C0">
        <w:rPr>
          <w:color w:val="0F1115"/>
          <w:sz w:val="21"/>
          <w:szCs w:val="21"/>
          <w:shd w:val="clear" w:color="auto" w:fill="FFFFFF"/>
        </w:rPr>
        <w:t xml:space="preserve"> radio interface</w:t>
      </w:r>
      <w:r w:rsidR="008E4A93">
        <w:rPr>
          <w:color w:val="0F1115"/>
          <w:sz w:val="21"/>
          <w:szCs w:val="21"/>
          <w:shd w:val="clear" w:color="auto" w:fill="FFFFFF"/>
        </w:rPr>
        <w:t>,</w:t>
      </w:r>
      <w:r w:rsidR="006457B1" w:rsidRPr="002655C0">
        <w:rPr>
          <w:color w:val="0F1115"/>
          <w:sz w:val="21"/>
          <w:szCs w:val="21"/>
          <w:shd w:val="clear" w:color="auto" w:fill="FFFFFF"/>
        </w:rPr>
        <w:t xml:space="preserve"> and </w:t>
      </w:r>
      <w:r w:rsidR="00BC54F2">
        <w:rPr>
          <w:color w:val="0F1115"/>
          <w:sz w:val="21"/>
          <w:szCs w:val="21"/>
          <w:shd w:val="clear" w:color="auto" w:fill="FFFFFF"/>
        </w:rPr>
        <w:t xml:space="preserve">radio </w:t>
      </w:r>
      <w:r w:rsidR="006457B1" w:rsidRPr="002655C0">
        <w:rPr>
          <w:color w:val="0F1115"/>
          <w:sz w:val="21"/>
          <w:szCs w:val="21"/>
          <w:shd w:val="clear" w:color="auto" w:fill="FFFFFF"/>
        </w:rPr>
        <w:t>protocol signalling</w:t>
      </w:r>
      <w:r w:rsidR="008E4A93">
        <w:rPr>
          <w:color w:val="0F1115"/>
          <w:sz w:val="21"/>
          <w:szCs w:val="21"/>
          <w:shd w:val="clear" w:color="auto" w:fill="FFFFFF"/>
        </w:rPr>
        <w:t xml:space="preserve"> </w:t>
      </w:r>
      <w:r w:rsidR="008E4A93" w:rsidRPr="002655C0">
        <w:rPr>
          <w:color w:val="0F1115"/>
          <w:sz w:val="21"/>
          <w:szCs w:val="21"/>
          <w:shd w:val="clear" w:color="auto" w:fill="FFFFFF"/>
        </w:rPr>
        <w:t>configuration</w:t>
      </w:r>
      <w:r w:rsidR="006457B1" w:rsidRPr="002655C0">
        <w:rPr>
          <w:color w:val="0F1115"/>
          <w:sz w:val="21"/>
          <w:szCs w:val="21"/>
          <w:shd w:val="clear" w:color="auto" w:fill="FFFFFF"/>
        </w:rPr>
        <w:t>, as detailed in Sections</w:t>
      </w:r>
      <w:r w:rsidR="008E4A93">
        <w:rPr>
          <w:color w:val="0F1115"/>
          <w:sz w:val="21"/>
          <w:szCs w:val="21"/>
          <w:shd w:val="clear" w:color="auto" w:fill="FFFFFF"/>
        </w:rPr>
        <w:t xml:space="preserve"> </w:t>
      </w:r>
      <w:r w:rsidR="00AE772F">
        <w:rPr>
          <w:b/>
          <w:color w:val="0F1115"/>
          <w:sz w:val="21"/>
          <w:szCs w:val="21"/>
          <w:shd w:val="clear" w:color="auto" w:fill="FFFFFF"/>
        </w:rPr>
        <w:t>2.1</w:t>
      </w:r>
      <w:r w:rsidR="008E4A93">
        <w:rPr>
          <w:color w:val="0F1115"/>
          <w:sz w:val="21"/>
          <w:szCs w:val="21"/>
          <w:shd w:val="clear" w:color="auto" w:fill="FFFFFF"/>
        </w:rPr>
        <w:t xml:space="preserve">, </w:t>
      </w:r>
      <w:r w:rsidR="008E4A93" w:rsidRPr="008E4A93">
        <w:rPr>
          <w:b/>
          <w:color w:val="0F1115"/>
          <w:sz w:val="21"/>
          <w:szCs w:val="21"/>
          <w:shd w:val="clear" w:color="auto" w:fill="FFFFFF"/>
        </w:rPr>
        <w:t>2.</w:t>
      </w:r>
      <w:r w:rsidR="00AE772F">
        <w:rPr>
          <w:b/>
          <w:color w:val="0F1115"/>
          <w:sz w:val="21"/>
          <w:szCs w:val="21"/>
          <w:shd w:val="clear" w:color="auto" w:fill="FFFFFF"/>
        </w:rPr>
        <w:t>2</w:t>
      </w:r>
      <w:r w:rsidR="006457B1" w:rsidRPr="002655C0">
        <w:rPr>
          <w:color w:val="0F1115"/>
          <w:sz w:val="21"/>
          <w:szCs w:val="21"/>
          <w:shd w:val="clear" w:color="auto" w:fill="FFFFFF"/>
        </w:rPr>
        <w:t xml:space="preserve"> and </w:t>
      </w:r>
      <w:r w:rsidR="006457B1" w:rsidRPr="002655C0">
        <w:rPr>
          <w:b/>
          <w:color w:val="0F1115"/>
          <w:sz w:val="21"/>
          <w:szCs w:val="21"/>
          <w:shd w:val="clear" w:color="auto" w:fill="FFFFFF"/>
        </w:rPr>
        <w:t>2.</w:t>
      </w:r>
      <w:r w:rsidR="00AE772F">
        <w:rPr>
          <w:b/>
          <w:color w:val="0F1115"/>
          <w:sz w:val="21"/>
          <w:szCs w:val="21"/>
          <w:shd w:val="clear" w:color="auto" w:fill="FFFFFF"/>
        </w:rPr>
        <w:t>3</w:t>
      </w:r>
      <w:r w:rsidR="006457B1" w:rsidRPr="008E4A93">
        <w:rPr>
          <w:color w:val="0F1115"/>
          <w:sz w:val="21"/>
          <w:szCs w:val="21"/>
          <w:shd w:val="clear" w:color="auto" w:fill="FFFFFF"/>
        </w:rPr>
        <w:t>.</w:t>
      </w:r>
    </w:p>
    <w:p w14:paraId="555A5C98" w14:textId="77777777" w:rsidR="008C7111" w:rsidRPr="002655C0" w:rsidRDefault="00734BE3" w:rsidP="008C7111">
      <w:pPr>
        <w:rPr>
          <w:rFonts w:ascii="Times New Roman" w:hAnsi="Times New Roman" w:cs="Times New Roman"/>
        </w:rPr>
      </w:pPr>
      <w:r>
        <w:rPr>
          <w:rFonts w:ascii="Times New Roman" w:hAnsi="Times New Roman" w:cs="Times New Roman"/>
          <w:sz w:val="20"/>
          <w:szCs w:val="20"/>
        </w:rPr>
        <w:object w:dxaOrig="1440" w:dyaOrig="1440" w14:anchorId="0E433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02.1pt;margin-top:7pt;width:283.45pt;height:192.9pt;z-index:251663360;mso-wrap-distance-left:9pt;mso-wrap-distance-top:0;mso-wrap-distance-right:9pt;mso-wrap-distance-bottom:0;mso-width-relative:page;mso-height-relative:page">
            <v:imagedata r:id="rId7" o:title=""/>
            <w10:wrap type="square" side="right"/>
          </v:shape>
          <o:OLEObject Type="Embed" ProgID="Visio.Drawing.11" ShapeID="_x0000_s1030" DrawAspect="Content" ObjectID="_1824035569" r:id="rId8"/>
        </w:object>
      </w:r>
    </w:p>
    <w:p w14:paraId="069F0BF0" w14:textId="77777777" w:rsidR="008C7111" w:rsidRPr="002655C0" w:rsidRDefault="008C7111" w:rsidP="008C7111">
      <w:pPr>
        <w:spacing w:before="40" w:after="20"/>
        <w:jc w:val="center"/>
        <w:rPr>
          <w:rFonts w:ascii="Times New Roman" w:hAnsi="Times New Roman" w:cs="Times New Roman"/>
          <w:b/>
          <w:sz w:val="18"/>
          <w:szCs w:val="18"/>
        </w:rPr>
      </w:pPr>
    </w:p>
    <w:p w14:paraId="1E99AC10" w14:textId="77777777" w:rsidR="008C7111" w:rsidRPr="002655C0" w:rsidRDefault="008C7111" w:rsidP="008C7111">
      <w:pPr>
        <w:spacing w:before="40" w:after="20"/>
        <w:jc w:val="center"/>
        <w:rPr>
          <w:rFonts w:ascii="Times New Roman" w:hAnsi="Times New Roman" w:cs="Times New Roman"/>
          <w:b/>
          <w:sz w:val="18"/>
          <w:szCs w:val="18"/>
        </w:rPr>
      </w:pPr>
    </w:p>
    <w:p w14:paraId="086AAC4C" w14:textId="77777777" w:rsidR="008C7111" w:rsidRPr="002655C0" w:rsidRDefault="008C7111" w:rsidP="008C7111">
      <w:pPr>
        <w:spacing w:before="40" w:after="20"/>
        <w:jc w:val="center"/>
        <w:rPr>
          <w:rFonts w:ascii="Times New Roman" w:hAnsi="Times New Roman" w:cs="Times New Roman"/>
          <w:b/>
          <w:sz w:val="18"/>
          <w:szCs w:val="18"/>
        </w:rPr>
      </w:pPr>
    </w:p>
    <w:p w14:paraId="7F6081D9" w14:textId="77777777" w:rsidR="008C7111" w:rsidRPr="002655C0" w:rsidRDefault="008C7111" w:rsidP="008C7111">
      <w:pPr>
        <w:spacing w:before="40" w:after="20"/>
        <w:jc w:val="center"/>
        <w:rPr>
          <w:rFonts w:ascii="Times New Roman" w:hAnsi="Times New Roman" w:cs="Times New Roman"/>
          <w:b/>
          <w:sz w:val="18"/>
          <w:szCs w:val="18"/>
        </w:rPr>
      </w:pPr>
    </w:p>
    <w:p w14:paraId="34626269" w14:textId="77777777" w:rsidR="008C7111" w:rsidRPr="002655C0" w:rsidRDefault="008C7111" w:rsidP="008C7111">
      <w:pPr>
        <w:spacing w:before="40" w:after="20"/>
        <w:jc w:val="center"/>
        <w:rPr>
          <w:rFonts w:ascii="Times New Roman" w:hAnsi="Times New Roman" w:cs="Times New Roman"/>
          <w:b/>
          <w:sz w:val="18"/>
          <w:szCs w:val="18"/>
        </w:rPr>
      </w:pPr>
    </w:p>
    <w:p w14:paraId="3D66244C" w14:textId="77777777" w:rsidR="008C7111" w:rsidRPr="002655C0" w:rsidRDefault="008C7111" w:rsidP="008C7111">
      <w:pPr>
        <w:spacing w:before="40" w:after="20"/>
        <w:jc w:val="center"/>
        <w:rPr>
          <w:rFonts w:ascii="Times New Roman" w:hAnsi="Times New Roman" w:cs="Times New Roman"/>
          <w:b/>
          <w:sz w:val="18"/>
          <w:szCs w:val="18"/>
        </w:rPr>
      </w:pPr>
    </w:p>
    <w:p w14:paraId="128B3C66" w14:textId="77777777" w:rsidR="008C7111" w:rsidRPr="002655C0" w:rsidRDefault="008C7111" w:rsidP="008C7111">
      <w:pPr>
        <w:spacing w:before="40" w:after="20"/>
        <w:jc w:val="center"/>
        <w:rPr>
          <w:rFonts w:ascii="Times New Roman" w:hAnsi="Times New Roman" w:cs="Times New Roman"/>
          <w:b/>
          <w:sz w:val="18"/>
          <w:szCs w:val="18"/>
        </w:rPr>
      </w:pPr>
    </w:p>
    <w:p w14:paraId="0298BECB" w14:textId="77777777" w:rsidR="008C7111" w:rsidRPr="002655C0" w:rsidRDefault="008C7111" w:rsidP="008C7111">
      <w:pPr>
        <w:spacing w:before="40" w:after="20"/>
        <w:jc w:val="center"/>
        <w:rPr>
          <w:rFonts w:ascii="Times New Roman" w:hAnsi="Times New Roman" w:cs="Times New Roman"/>
          <w:b/>
          <w:sz w:val="18"/>
          <w:szCs w:val="18"/>
        </w:rPr>
      </w:pPr>
    </w:p>
    <w:p w14:paraId="38DC2BE4" w14:textId="77777777" w:rsidR="008C7111" w:rsidRPr="002655C0" w:rsidRDefault="008C7111" w:rsidP="008C7111">
      <w:pPr>
        <w:spacing w:before="40" w:after="20"/>
        <w:jc w:val="center"/>
        <w:rPr>
          <w:rFonts w:ascii="Times New Roman" w:hAnsi="Times New Roman" w:cs="Times New Roman"/>
          <w:b/>
          <w:sz w:val="18"/>
          <w:szCs w:val="18"/>
        </w:rPr>
      </w:pPr>
    </w:p>
    <w:p w14:paraId="718CA1DE" w14:textId="77777777" w:rsidR="008C7111" w:rsidRPr="002655C0" w:rsidRDefault="008C7111" w:rsidP="008C7111">
      <w:pPr>
        <w:pStyle w:val="ds-markdown-paragraph"/>
        <w:shd w:val="clear" w:color="auto" w:fill="FFFFFF"/>
        <w:spacing w:before="120" w:beforeAutospacing="0" w:after="120" w:afterAutospacing="0"/>
        <w:jc w:val="center"/>
        <w:rPr>
          <w:bCs/>
          <w:color w:val="0F1115"/>
          <w:shd w:val="clear" w:color="auto" w:fill="FFFFFF"/>
        </w:rPr>
      </w:pPr>
    </w:p>
    <w:p w14:paraId="3B2AC2E6" w14:textId="77777777" w:rsidR="008C7111" w:rsidRPr="002655C0" w:rsidRDefault="008C7111" w:rsidP="008C7111">
      <w:pPr>
        <w:pStyle w:val="ds-markdown-paragraph"/>
        <w:shd w:val="clear" w:color="auto" w:fill="FFFFFF"/>
        <w:spacing w:before="120" w:beforeAutospacing="0" w:after="120" w:afterAutospacing="0"/>
        <w:jc w:val="center"/>
        <w:rPr>
          <w:bCs/>
          <w:color w:val="0F1115"/>
          <w:shd w:val="clear" w:color="auto" w:fill="FFFFFF"/>
        </w:rPr>
      </w:pPr>
    </w:p>
    <w:p w14:paraId="7283D821" w14:textId="77777777" w:rsidR="008C7111" w:rsidRPr="002655C0" w:rsidRDefault="008C7111" w:rsidP="008C7111">
      <w:pPr>
        <w:pStyle w:val="ds-markdown-paragraph"/>
        <w:shd w:val="clear" w:color="auto" w:fill="FFFFFF"/>
        <w:spacing w:before="120" w:beforeAutospacing="0" w:after="120" w:afterAutospacing="0"/>
        <w:jc w:val="center"/>
        <w:rPr>
          <w:bCs/>
          <w:color w:val="0F1115"/>
          <w:shd w:val="clear" w:color="auto" w:fill="FFFFFF"/>
        </w:rPr>
      </w:pPr>
    </w:p>
    <w:p w14:paraId="47075D61" w14:textId="77777777" w:rsidR="008C7111" w:rsidRPr="002655C0" w:rsidRDefault="008C7111" w:rsidP="008C7111">
      <w:pPr>
        <w:pStyle w:val="ds-markdown-paragraph"/>
        <w:shd w:val="clear" w:color="auto" w:fill="FFFFFF"/>
        <w:spacing w:before="120" w:beforeAutospacing="0" w:after="120" w:afterAutospacing="0"/>
        <w:jc w:val="center"/>
        <w:rPr>
          <w:bCs/>
          <w:color w:val="0F1115"/>
          <w:shd w:val="clear" w:color="auto" w:fill="FFFFFF"/>
        </w:rPr>
      </w:pPr>
    </w:p>
    <w:p w14:paraId="00962197" w14:textId="3C98129A" w:rsidR="008C7111" w:rsidRPr="002655C0" w:rsidRDefault="008C7111" w:rsidP="008C7111">
      <w:pPr>
        <w:pStyle w:val="ds-markdown-paragraph"/>
        <w:shd w:val="clear" w:color="auto" w:fill="FFFFFF"/>
        <w:spacing w:before="120" w:beforeAutospacing="0" w:after="120" w:afterAutospacing="0"/>
        <w:jc w:val="center"/>
        <w:rPr>
          <w:b/>
          <w:bCs/>
          <w:color w:val="0F1115"/>
          <w:shd w:val="clear" w:color="auto" w:fill="FFFFFF"/>
        </w:rPr>
      </w:pPr>
      <w:r w:rsidRPr="002655C0">
        <w:rPr>
          <w:b/>
          <w:bCs/>
          <w:color w:val="0F1115"/>
          <w:shd w:val="clear" w:color="auto" w:fill="FFFFFF"/>
        </w:rPr>
        <w:t xml:space="preserve">Figure 1: 6G </w:t>
      </w:r>
      <w:r w:rsidR="00CF44DA">
        <w:rPr>
          <w:b/>
          <w:bCs/>
          <w:color w:val="0F1115"/>
          <w:shd w:val="clear" w:color="auto" w:fill="FFFFFF"/>
        </w:rPr>
        <w:t>T</w:t>
      </w:r>
      <w:r w:rsidR="00CF44DA" w:rsidRPr="002655C0">
        <w:rPr>
          <w:b/>
          <w:bCs/>
          <w:color w:val="0F1115"/>
          <w:shd w:val="clear" w:color="auto" w:fill="FFFFFF"/>
        </w:rPr>
        <w:t xml:space="preserve">errestrial </w:t>
      </w:r>
      <w:r w:rsidRPr="002655C0">
        <w:rPr>
          <w:b/>
          <w:bCs/>
          <w:color w:val="0F1115"/>
          <w:shd w:val="clear" w:color="auto" w:fill="FFFFFF"/>
        </w:rPr>
        <w:t>and Non-terrestrial System</w:t>
      </w:r>
    </w:p>
    <w:p w14:paraId="311E3B80" w14:textId="6F9E5423" w:rsidR="00AE772F" w:rsidRDefault="008E4A93" w:rsidP="002A655F">
      <w:pPr>
        <w:pStyle w:val="Heading2"/>
        <w:numPr>
          <w:ilvl w:val="1"/>
          <w:numId w:val="3"/>
        </w:numPr>
        <w:tabs>
          <w:tab w:val="clear" w:pos="756"/>
          <w:tab w:val="left" w:pos="420"/>
        </w:tabs>
        <w:spacing w:before="180" w:after="120" w:line="240" w:lineRule="auto"/>
        <w:ind w:left="424" w:hanging="424"/>
        <w:rPr>
          <w:rFonts w:ascii="Times New Roman" w:hAnsi="Times New Roman" w:cs="Times New Roman"/>
          <w:sz w:val="23"/>
          <w:szCs w:val="23"/>
          <w:u w:val="single"/>
        </w:rPr>
      </w:pPr>
      <w:r w:rsidRPr="002655C0">
        <w:rPr>
          <w:rFonts w:ascii="Times New Roman" w:hAnsi="Times New Roman" w:cs="Times New Roman"/>
          <w:sz w:val="23"/>
          <w:szCs w:val="23"/>
          <w:u w:val="single"/>
        </w:rPr>
        <w:t xml:space="preserve">Unified </w:t>
      </w:r>
      <w:r w:rsidR="00E717E5" w:rsidRPr="00E717E5">
        <w:rPr>
          <w:rFonts w:ascii="Times New Roman" w:hAnsi="Times New Roman" w:cs="Times New Roman"/>
          <w:sz w:val="23"/>
          <w:szCs w:val="23"/>
          <w:u w:val="single"/>
        </w:rPr>
        <w:t>Cell Architecture</w:t>
      </w:r>
    </w:p>
    <w:p w14:paraId="29DE6A76" w14:textId="7E2000E2" w:rsidR="00FD54EE" w:rsidRDefault="00E717E5" w:rsidP="00DE7500">
      <w:pPr>
        <w:pStyle w:val="ds-markdown-paragraph"/>
        <w:shd w:val="clear" w:color="auto" w:fill="FFFFFF"/>
        <w:spacing w:before="0" w:beforeAutospacing="0" w:after="0" w:afterAutospacing="0"/>
        <w:jc w:val="both"/>
        <w:rPr>
          <w:color w:val="0F1115"/>
          <w:sz w:val="21"/>
          <w:szCs w:val="21"/>
          <w:shd w:val="clear" w:color="auto" w:fill="FFFFFF"/>
        </w:rPr>
      </w:pPr>
      <w:r>
        <w:rPr>
          <w:color w:val="0F1115"/>
          <w:sz w:val="21"/>
          <w:szCs w:val="21"/>
          <w:shd w:val="clear" w:color="auto" w:fill="FFFFFF"/>
        </w:rPr>
        <w:t xml:space="preserve">   </w:t>
      </w:r>
      <w:r w:rsidR="00D76CA0" w:rsidRPr="00E4365D">
        <w:rPr>
          <w:color w:val="0F1115"/>
          <w:sz w:val="21"/>
          <w:szCs w:val="21"/>
          <w:shd w:val="clear" w:color="auto" w:fill="FFFFFF"/>
        </w:rPr>
        <w:t xml:space="preserve">In a unified 6G TN/NTN environment, a User Equipment (UE) </w:t>
      </w:r>
      <w:r w:rsidR="00D94C67" w:rsidRPr="00E4365D">
        <w:rPr>
          <w:color w:val="0F1115"/>
          <w:sz w:val="21"/>
          <w:szCs w:val="21"/>
          <w:shd w:val="clear" w:color="auto" w:fill="FFFFFF"/>
        </w:rPr>
        <w:t>would very likely to</w:t>
      </w:r>
      <w:r w:rsidR="0056526D" w:rsidRPr="00E4365D">
        <w:rPr>
          <w:color w:val="0F1115"/>
          <w:sz w:val="21"/>
          <w:szCs w:val="21"/>
          <w:shd w:val="clear" w:color="auto" w:fill="FFFFFF"/>
        </w:rPr>
        <w:t xml:space="preserve"> </w:t>
      </w:r>
      <w:r w:rsidR="00D94C67" w:rsidRPr="00E4365D">
        <w:rPr>
          <w:color w:val="0F1115"/>
          <w:sz w:val="21"/>
          <w:szCs w:val="21"/>
          <w:shd w:val="clear" w:color="auto" w:fill="FFFFFF"/>
        </w:rPr>
        <w:t xml:space="preserve">be located </w:t>
      </w:r>
      <w:r w:rsidR="00E4365D">
        <w:rPr>
          <w:color w:val="0F1115"/>
          <w:sz w:val="21"/>
          <w:szCs w:val="21"/>
          <w:shd w:val="clear" w:color="auto" w:fill="FFFFFF"/>
        </w:rPr>
        <w:t>(</w:t>
      </w:r>
      <w:r w:rsidR="00D94C67" w:rsidRPr="00E4365D">
        <w:rPr>
          <w:color w:val="0F1115"/>
          <w:sz w:val="21"/>
          <w:szCs w:val="21"/>
          <w:shd w:val="clear" w:color="auto" w:fill="FFFFFF"/>
        </w:rPr>
        <w:t>at any given time</w:t>
      </w:r>
      <w:r w:rsidR="00E4365D">
        <w:rPr>
          <w:color w:val="0F1115"/>
          <w:sz w:val="21"/>
          <w:szCs w:val="21"/>
          <w:shd w:val="clear" w:color="auto" w:fill="FFFFFF"/>
        </w:rPr>
        <w:t>)</w:t>
      </w:r>
      <w:r w:rsidR="00D94C67" w:rsidRPr="00E4365D">
        <w:rPr>
          <w:color w:val="0F1115"/>
          <w:sz w:val="21"/>
          <w:szCs w:val="21"/>
          <w:shd w:val="clear" w:color="auto" w:fill="FFFFFF"/>
        </w:rPr>
        <w:t xml:space="preserve"> </w:t>
      </w:r>
      <w:r w:rsidR="00D76CA0" w:rsidRPr="00E4365D">
        <w:rPr>
          <w:color w:val="0F1115"/>
          <w:sz w:val="21"/>
          <w:szCs w:val="21"/>
          <w:shd w:val="clear" w:color="auto" w:fill="FFFFFF"/>
        </w:rPr>
        <w:t xml:space="preserve">within </w:t>
      </w:r>
      <w:r w:rsidR="00D94C67" w:rsidRPr="00E4365D">
        <w:rPr>
          <w:color w:val="0F1115"/>
          <w:sz w:val="21"/>
          <w:szCs w:val="21"/>
          <w:shd w:val="clear" w:color="auto" w:fill="FFFFFF"/>
        </w:rPr>
        <w:t>a</w:t>
      </w:r>
      <w:r w:rsidR="00D76CA0" w:rsidRPr="00E4365D">
        <w:rPr>
          <w:color w:val="0F1115"/>
          <w:sz w:val="21"/>
          <w:szCs w:val="21"/>
          <w:shd w:val="clear" w:color="auto" w:fill="FFFFFF"/>
        </w:rPr>
        <w:t xml:space="preserve"> coverage of a multi-layered heterogeneous radio access types, such as terrestrial base stations, UAVs, HAPS, </w:t>
      </w:r>
      <w:r w:rsidR="00D76CA0" w:rsidRPr="00E4365D">
        <w:rPr>
          <w:color w:val="0F1115"/>
          <w:sz w:val="21"/>
          <w:szCs w:val="21"/>
          <w:shd w:val="clear" w:color="auto" w:fill="FFFFFF"/>
        </w:rPr>
        <w:lastRenderedPageBreak/>
        <w:t>and satellite</w:t>
      </w:r>
      <w:r w:rsidR="009906F1" w:rsidRPr="00E4365D">
        <w:rPr>
          <w:color w:val="0F1115"/>
          <w:sz w:val="21"/>
          <w:szCs w:val="21"/>
          <w:shd w:val="clear" w:color="auto" w:fill="FFFFFF"/>
        </w:rPr>
        <w:t xml:space="preserve"> </w:t>
      </w:r>
      <w:r w:rsidR="00130914">
        <w:rPr>
          <w:rFonts w:ascii="-apple-system" w:hAnsi="-apple-system"/>
          <w:color w:val="0F1115"/>
          <w:shd w:val="clear" w:color="auto" w:fill="FFFFFF"/>
        </w:rPr>
        <w:t> </w:t>
      </w:r>
      <w:r w:rsidR="00130914" w:rsidRPr="00130914">
        <w:rPr>
          <w:color w:val="0F1115"/>
          <w:sz w:val="21"/>
          <w:szCs w:val="21"/>
          <w:shd w:val="clear" w:color="auto" w:fill="FFFFFF"/>
        </w:rPr>
        <w:t xml:space="preserve">(as illustrated in </w:t>
      </w:r>
      <w:r w:rsidR="00130914" w:rsidRPr="00130914">
        <w:rPr>
          <w:b/>
          <w:color w:val="0F1115"/>
          <w:sz w:val="21"/>
          <w:szCs w:val="21"/>
          <w:shd w:val="clear" w:color="auto" w:fill="FFFFFF"/>
        </w:rPr>
        <w:t>Figure 1</w:t>
      </w:r>
      <w:r w:rsidR="00130914" w:rsidRPr="00130914">
        <w:rPr>
          <w:color w:val="0F1115"/>
          <w:sz w:val="21"/>
          <w:szCs w:val="21"/>
          <w:shd w:val="clear" w:color="auto" w:fill="FFFFFF"/>
        </w:rPr>
        <w:t>)</w:t>
      </w:r>
      <w:r w:rsidR="0056526D" w:rsidRPr="00E4365D">
        <w:rPr>
          <w:color w:val="0F1115"/>
          <w:sz w:val="21"/>
          <w:szCs w:val="21"/>
          <w:shd w:val="clear" w:color="auto" w:fill="FFFFFF"/>
        </w:rPr>
        <w:t xml:space="preserve">. </w:t>
      </w:r>
      <w:r w:rsidR="00FD54EE" w:rsidRPr="009B5CC6">
        <w:rPr>
          <w:color w:val="0F1115"/>
          <w:sz w:val="21"/>
          <w:szCs w:val="21"/>
          <w:shd w:val="clear" w:color="auto" w:fill="FFFFFF"/>
        </w:rPr>
        <w:t>The strategic sharing of frequency bands across TN and NTN platforms</w:t>
      </w:r>
      <w:r w:rsidR="009B5CC6">
        <w:rPr>
          <w:color w:val="0F1115"/>
          <w:sz w:val="21"/>
          <w:szCs w:val="21"/>
          <w:shd w:val="clear" w:color="auto" w:fill="FFFFFF"/>
        </w:rPr>
        <w:t xml:space="preserve"> in 6G would</w:t>
      </w:r>
      <w:r w:rsidR="00FD54EE" w:rsidRPr="009B5CC6">
        <w:rPr>
          <w:color w:val="0F1115"/>
          <w:sz w:val="21"/>
          <w:szCs w:val="21"/>
          <w:shd w:val="clear" w:color="auto" w:fill="FFFFFF"/>
        </w:rPr>
        <w:t xml:space="preserve"> </w:t>
      </w:r>
      <w:r w:rsidR="009B5CC6" w:rsidRPr="009B5CC6">
        <w:rPr>
          <w:color w:val="0F1115"/>
          <w:sz w:val="21"/>
          <w:szCs w:val="21"/>
          <w:shd w:val="clear" w:color="auto" w:fill="FFFFFF"/>
        </w:rPr>
        <w:t xml:space="preserve">make coverage </w:t>
      </w:r>
      <w:r w:rsidR="00FD54EE" w:rsidRPr="009B5CC6">
        <w:rPr>
          <w:color w:val="0F1115"/>
          <w:sz w:val="21"/>
          <w:szCs w:val="21"/>
          <w:shd w:val="clear" w:color="auto" w:fill="FFFFFF"/>
        </w:rPr>
        <w:t xml:space="preserve">overlapping </w:t>
      </w:r>
      <w:r w:rsidR="009B5CC6">
        <w:rPr>
          <w:color w:val="0F1115"/>
          <w:sz w:val="21"/>
          <w:szCs w:val="21"/>
          <w:shd w:val="clear" w:color="auto" w:fill="FFFFFF"/>
        </w:rPr>
        <w:t xml:space="preserve">issue </w:t>
      </w:r>
      <w:r w:rsidR="00FD54EE" w:rsidRPr="009B5CC6">
        <w:rPr>
          <w:color w:val="0F1115"/>
          <w:sz w:val="21"/>
          <w:szCs w:val="21"/>
          <w:shd w:val="clear" w:color="auto" w:fill="FFFFFF"/>
        </w:rPr>
        <w:t>inevitable, which in turn creates significant challenges for cell addressing. This complicates critical procedures like intelligent initial cell selection</w:t>
      </w:r>
      <w:r w:rsidR="009B5CC6">
        <w:rPr>
          <w:color w:val="0F1115"/>
          <w:sz w:val="21"/>
          <w:szCs w:val="21"/>
          <w:shd w:val="clear" w:color="auto" w:fill="FFFFFF"/>
        </w:rPr>
        <w:t>, re-selection</w:t>
      </w:r>
      <w:r w:rsidR="00FD54EE" w:rsidRPr="009B5CC6">
        <w:rPr>
          <w:color w:val="0F1115"/>
          <w:sz w:val="21"/>
          <w:szCs w:val="21"/>
          <w:shd w:val="clear" w:color="auto" w:fill="FFFFFF"/>
        </w:rPr>
        <w:t xml:space="preserve"> and efficient handover, as a UE must distinguish between identical-frequency cells from radically different platforms. For instance, a UE must differentiate between C-band (n77/n78) signals from a terrestrial macro-cell, a MEO satellite, and a GEO satellite, all offering broadband. Similarly, it must identify whether a Ka-band (n258)</w:t>
      </w:r>
      <w:r w:rsidR="00FD54EE" w:rsidRPr="009B5CC6">
        <w:rPr>
          <w:b/>
          <w:bCs/>
          <w:sz w:val="21"/>
          <w:szCs w:val="21"/>
        </w:rPr>
        <w:t xml:space="preserve"> </w:t>
      </w:r>
      <w:r w:rsidR="00FD54EE" w:rsidRPr="009B5CC6">
        <w:rPr>
          <w:color w:val="0F1115"/>
          <w:sz w:val="21"/>
          <w:szCs w:val="21"/>
          <w:shd w:val="clear" w:color="auto" w:fill="FFFFFF"/>
        </w:rPr>
        <w:t>transmission originates from a HAPS platform, a LEO/MEO satellite, or a terrestrial</w:t>
      </w:r>
      <w:r w:rsidR="00FD54EE" w:rsidRPr="009B5CC6">
        <w:rPr>
          <w:b/>
          <w:bCs/>
          <w:sz w:val="21"/>
          <w:szCs w:val="21"/>
        </w:rPr>
        <w:t xml:space="preserve"> </w:t>
      </w:r>
      <w:r w:rsidR="00FD54EE" w:rsidRPr="001B42DA">
        <w:rPr>
          <w:color w:val="0F1115"/>
          <w:sz w:val="21"/>
          <w:szCs w:val="21"/>
          <w:shd w:val="clear" w:color="auto" w:fill="FFFFFF"/>
        </w:rPr>
        <w:t>mmWave node.</w:t>
      </w:r>
      <w:r w:rsidR="00FD54EE" w:rsidRPr="009B5CC6">
        <w:rPr>
          <w:color w:val="0F1115"/>
          <w:sz w:val="21"/>
          <w:szCs w:val="21"/>
          <w:shd w:val="clear" w:color="auto" w:fill="FFFFFF"/>
        </w:rPr>
        <w:t> This</w:t>
      </w:r>
      <w:r w:rsidR="00FD54EE">
        <w:rPr>
          <w:rFonts w:ascii="-apple-system" w:hAnsi="-apple-system"/>
          <w:color w:val="0F1115"/>
          <w:shd w:val="clear" w:color="auto" w:fill="FFFFFF"/>
        </w:rPr>
        <w:t xml:space="preserve"> </w:t>
      </w:r>
      <w:r w:rsidR="00FD54EE" w:rsidRPr="001B42DA">
        <w:rPr>
          <w:color w:val="0F1115"/>
          <w:sz w:val="21"/>
          <w:szCs w:val="21"/>
          <w:shd w:val="clear" w:color="auto" w:fill="FFFFFF"/>
        </w:rPr>
        <w:t>shared</w:t>
      </w:r>
      <w:r w:rsidR="00FD54EE">
        <w:rPr>
          <w:rFonts w:ascii="-apple-system" w:hAnsi="-apple-system"/>
          <w:color w:val="0F1115"/>
          <w:shd w:val="clear" w:color="auto" w:fill="FFFFFF"/>
        </w:rPr>
        <w:t xml:space="preserve"> </w:t>
      </w:r>
      <w:r w:rsidR="00FD54EE" w:rsidRPr="001B42DA">
        <w:rPr>
          <w:color w:val="0F1115"/>
          <w:sz w:val="21"/>
          <w:szCs w:val="21"/>
          <w:shd w:val="clear" w:color="auto" w:fill="FFFFFF"/>
        </w:rPr>
        <w:t>spectrum creates a complex RF environment where traditional cell identification methods are insufficient.</w:t>
      </w:r>
    </w:p>
    <w:p w14:paraId="52C353E2" w14:textId="77777777" w:rsidR="00E4365D" w:rsidRPr="009B5CC6" w:rsidRDefault="00E4365D" w:rsidP="00130914">
      <w:pPr>
        <w:pStyle w:val="ds-markdown-paragraph"/>
        <w:shd w:val="clear" w:color="auto" w:fill="FFFFFF"/>
        <w:spacing w:before="120" w:beforeAutospacing="0" w:after="0" w:afterAutospacing="0"/>
        <w:jc w:val="center"/>
        <w:rPr>
          <w:color w:val="0F1115"/>
          <w:sz w:val="22"/>
          <w:szCs w:val="22"/>
          <w:shd w:val="clear" w:color="auto" w:fill="FFFFFF"/>
        </w:rPr>
      </w:pPr>
      <w:r w:rsidRPr="009B5CC6">
        <w:rPr>
          <w:b/>
          <w:color w:val="0F1115"/>
          <w:sz w:val="22"/>
          <w:szCs w:val="22"/>
          <w:shd w:val="clear" w:color="auto" w:fill="FFFFFF"/>
        </w:rPr>
        <w:t>Table 1</w:t>
      </w:r>
      <w:r w:rsidRPr="009B5CC6">
        <w:rPr>
          <w:color w:val="0F1115"/>
          <w:sz w:val="22"/>
          <w:szCs w:val="22"/>
          <w:shd w:val="clear" w:color="auto" w:fill="FFFFFF"/>
        </w:rPr>
        <w:t>. Show spectrum sharing across TN and NTN platform</w:t>
      </w:r>
    </w:p>
    <w:tbl>
      <w:tblPr>
        <w:tblStyle w:val="TableGrid"/>
        <w:tblpPr w:leftFromText="180" w:rightFromText="180" w:vertAnchor="page" w:horzAnchor="margin" w:tblpXSpec="center" w:tblpY="3657"/>
        <w:tblW w:w="8487" w:type="dxa"/>
        <w:tblLook w:val="04A0" w:firstRow="1" w:lastRow="0" w:firstColumn="1" w:lastColumn="0" w:noHBand="0" w:noVBand="1"/>
      </w:tblPr>
      <w:tblGrid>
        <w:gridCol w:w="1271"/>
        <w:gridCol w:w="1134"/>
        <w:gridCol w:w="1134"/>
        <w:gridCol w:w="1276"/>
        <w:gridCol w:w="1921"/>
        <w:gridCol w:w="1751"/>
      </w:tblGrid>
      <w:tr w:rsidR="002A655F" w:rsidRPr="006A69D3" w14:paraId="047CAD22" w14:textId="77777777" w:rsidTr="002A655F">
        <w:trPr>
          <w:trHeight w:val="209"/>
        </w:trPr>
        <w:tc>
          <w:tcPr>
            <w:tcW w:w="1271" w:type="dxa"/>
            <w:tcBorders>
              <w:top w:val="single" w:sz="4" w:space="0" w:color="auto"/>
              <w:left w:val="single" w:sz="4" w:space="0" w:color="auto"/>
              <w:bottom w:val="single" w:sz="4" w:space="0" w:color="auto"/>
              <w:right w:val="single" w:sz="4" w:space="0" w:color="auto"/>
            </w:tcBorders>
            <w:hideMark/>
          </w:tcPr>
          <w:p w14:paraId="46E0CBC3"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Platform</w:t>
            </w:r>
          </w:p>
        </w:tc>
        <w:tc>
          <w:tcPr>
            <w:tcW w:w="1134" w:type="dxa"/>
            <w:tcBorders>
              <w:top w:val="single" w:sz="4" w:space="0" w:color="auto"/>
              <w:left w:val="single" w:sz="4" w:space="0" w:color="auto"/>
              <w:bottom w:val="single" w:sz="4" w:space="0" w:color="auto"/>
              <w:right w:val="single" w:sz="4" w:space="0" w:color="auto"/>
            </w:tcBorders>
            <w:hideMark/>
          </w:tcPr>
          <w:p w14:paraId="38F5C34B"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Frequency Band</w:t>
            </w:r>
          </w:p>
        </w:tc>
        <w:tc>
          <w:tcPr>
            <w:tcW w:w="1134" w:type="dxa"/>
            <w:tcBorders>
              <w:top w:val="single" w:sz="4" w:space="0" w:color="auto"/>
              <w:left w:val="single" w:sz="4" w:space="0" w:color="auto"/>
              <w:bottom w:val="single" w:sz="4" w:space="0" w:color="auto"/>
              <w:right w:val="single" w:sz="4" w:space="0" w:color="auto"/>
            </w:tcBorders>
            <w:hideMark/>
          </w:tcPr>
          <w:p w14:paraId="4751EAB7"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3GPP Band(s)</w:t>
            </w:r>
          </w:p>
        </w:tc>
        <w:tc>
          <w:tcPr>
            <w:tcW w:w="1276" w:type="dxa"/>
            <w:tcBorders>
              <w:top w:val="single" w:sz="4" w:space="0" w:color="auto"/>
              <w:left w:val="single" w:sz="4" w:space="0" w:color="auto"/>
              <w:bottom w:val="single" w:sz="4" w:space="0" w:color="auto"/>
              <w:right w:val="single" w:sz="4" w:space="0" w:color="auto"/>
            </w:tcBorders>
            <w:hideMark/>
          </w:tcPr>
          <w:p w14:paraId="2CA6397C"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Range</w:t>
            </w:r>
          </w:p>
        </w:tc>
        <w:tc>
          <w:tcPr>
            <w:tcW w:w="1921" w:type="dxa"/>
            <w:tcBorders>
              <w:top w:val="single" w:sz="4" w:space="0" w:color="auto"/>
              <w:left w:val="single" w:sz="4" w:space="0" w:color="auto"/>
              <w:bottom w:val="single" w:sz="4" w:space="0" w:color="auto"/>
              <w:right w:val="single" w:sz="4" w:space="0" w:color="auto"/>
            </w:tcBorders>
            <w:hideMark/>
          </w:tcPr>
          <w:p w14:paraId="7FF81D10"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Common Use Cases</w:t>
            </w:r>
          </w:p>
        </w:tc>
        <w:tc>
          <w:tcPr>
            <w:tcW w:w="1751" w:type="dxa"/>
            <w:tcBorders>
              <w:top w:val="single" w:sz="4" w:space="0" w:color="auto"/>
              <w:left w:val="single" w:sz="4" w:space="0" w:color="auto"/>
              <w:bottom w:val="single" w:sz="4" w:space="0" w:color="auto"/>
              <w:right w:val="single" w:sz="4" w:space="0" w:color="auto"/>
            </w:tcBorders>
            <w:hideMark/>
          </w:tcPr>
          <w:p w14:paraId="6C7FF8E7"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Real-World Examples</w:t>
            </w:r>
          </w:p>
        </w:tc>
      </w:tr>
      <w:tr w:rsidR="002A655F" w:rsidRPr="006A69D3" w14:paraId="069A6056" w14:textId="77777777" w:rsidTr="002A655F">
        <w:trPr>
          <w:trHeight w:val="214"/>
        </w:trPr>
        <w:tc>
          <w:tcPr>
            <w:tcW w:w="1271" w:type="dxa"/>
            <w:tcBorders>
              <w:top w:val="single" w:sz="4" w:space="0" w:color="auto"/>
              <w:left w:val="single" w:sz="4" w:space="0" w:color="auto"/>
              <w:bottom w:val="single" w:sz="4" w:space="0" w:color="auto"/>
              <w:right w:val="single" w:sz="4" w:space="0" w:color="auto"/>
            </w:tcBorders>
            <w:hideMark/>
          </w:tcPr>
          <w:p w14:paraId="3E0AA487"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UAV (Drones)</w:t>
            </w:r>
          </w:p>
        </w:tc>
        <w:tc>
          <w:tcPr>
            <w:tcW w:w="1134" w:type="dxa"/>
            <w:tcBorders>
              <w:top w:val="single" w:sz="4" w:space="0" w:color="auto"/>
              <w:left w:val="single" w:sz="4" w:space="0" w:color="auto"/>
              <w:bottom w:val="single" w:sz="4" w:space="0" w:color="auto"/>
              <w:right w:val="single" w:sz="4" w:space="0" w:color="auto"/>
            </w:tcBorders>
            <w:hideMark/>
          </w:tcPr>
          <w:p w14:paraId="3956AB3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C-band</w:t>
            </w:r>
          </w:p>
        </w:tc>
        <w:tc>
          <w:tcPr>
            <w:tcW w:w="1134" w:type="dxa"/>
            <w:tcBorders>
              <w:top w:val="single" w:sz="4" w:space="0" w:color="auto"/>
              <w:left w:val="single" w:sz="4" w:space="0" w:color="auto"/>
              <w:bottom w:val="single" w:sz="4" w:space="0" w:color="auto"/>
              <w:right w:val="single" w:sz="4" w:space="0" w:color="auto"/>
            </w:tcBorders>
            <w:hideMark/>
          </w:tcPr>
          <w:p w14:paraId="4CF2D3C4"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n48 (CBRS)</w:t>
            </w:r>
          </w:p>
        </w:tc>
        <w:tc>
          <w:tcPr>
            <w:tcW w:w="1276" w:type="dxa"/>
            <w:tcBorders>
              <w:top w:val="single" w:sz="4" w:space="0" w:color="auto"/>
              <w:left w:val="single" w:sz="4" w:space="0" w:color="auto"/>
              <w:bottom w:val="single" w:sz="4" w:space="0" w:color="auto"/>
              <w:right w:val="single" w:sz="4" w:space="0" w:color="auto"/>
            </w:tcBorders>
            <w:hideMark/>
          </w:tcPr>
          <w:p w14:paraId="1AB2D2E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3.55–3.7 GHz</w:t>
            </w:r>
          </w:p>
        </w:tc>
        <w:tc>
          <w:tcPr>
            <w:tcW w:w="1921" w:type="dxa"/>
            <w:tcBorders>
              <w:top w:val="single" w:sz="4" w:space="0" w:color="auto"/>
              <w:left w:val="single" w:sz="4" w:space="0" w:color="auto"/>
              <w:bottom w:val="single" w:sz="4" w:space="0" w:color="auto"/>
              <w:right w:val="single" w:sz="4" w:space="0" w:color="auto"/>
            </w:tcBorders>
            <w:hideMark/>
          </w:tcPr>
          <w:p w14:paraId="5952CE4C"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Command/control, surveillance</w:t>
            </w:r>
          </w:p>
        </w:tc>
        <w:tc>
          <w:tcPr>
            <w:tcW w:w="1751" w:type="dxa"/>
            <w:tcBorders>
              <w:top w:val="single" w:sz="4" w:space="0" w:color="auto"/>
              <w:left w:val="single" w:sz="4" w:space="0" w:color="auto"/>
              <w:bottom w:val="single" w:sz="4" w:space="0" w:color="auto"/>
              <w:right w:val="single" w:sz="4" w:space="0" w:color="auto"/>
            </w:tcBorders>
            <w:hideMark/>
          </w:tcPr>
          <w:p w14:paraId="58C131A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DJI Aeroscope (n48)</w:t>
            </w:r>
          </w:p>
        </w:tc>
      </w:tr>
      <w:tr w:rsidR="002A655F" w:rsidRPr="006A69D3" w14:paraId="38BA9FA5" w14:textId="77777777" w:rsidTr="002A655F">
        <w:trPr>
          <w:trHeight w:val="227"/>
        </w:trPr>
        <w:tc>
          <w:tcPr>
            <w:tcW w:w="1271" w:type="dxa"/>
            <w:tcBorders>
              <w:top w:val="single" w:sz="4" w:space="0" w:color="auto"/>
              <w:left w:val="single" w:sz="4" w:space="0" w:color="auto"/>
              <w:bottom w:val="single" w:sz="4" w:space="0" w:color="auto"/>
              <w:right w:val="single" w:sz="4" w:space="0" w:color="auto"/>
            </w:tcBorders>
          </w:tcPr>
          <w:p w14:paraId="6B6E6B1A"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ATG</w:t>
            </w:r>
          </w:p>
        </w:tc>
        <w:tc>
          <w:tcPr>
            <w:tcW w:w="1134" w:type="dxa"/>
            <w:tcBorders>
              <w:top w:val="single" w:sz="4" w:space="0" w:color="auto"/>
              <w:left w:val="single" w:sz="4" w:space="0" w:color="auto"/>
              <w:bottom w:val="single" w:sz="4" w:space="0" w:color="auto"/>
              <w:right w:val="single" w:sz="4" w:space="0" w:color="auto"/>
            </w:tcBorders>
          </w:tcPr>
          <w:p w14:paraId="060FB69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Sub-6 GHz</w:t>
            </w:r>
          </w:p>
        </w:tc>
        <w:tc>
          <w:tcPr>
            <w:tcW w:w="1134" w:type="dxa"/>
            <w:tcBorders>
              <w:top w:val="single" w:sz="4" w:space="0" w:color="auto"/>
              <w:left w:val="single" w:sz="4" w:space="0" w:color="auto"/>
              <w:bottom w:val="single" w:sz="4" w:space="0" w:color="auto"/>
              <w:right w:val="single" w:sz="4" w:space="0" w:color="auto"/>
            </w:tcBorders>
          </w:tcPr>
          <w:p w14:paraId="23DB7E5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n78</w:t>
            </w:r>
          </w:p>
        </w:tc>
        <w:tc>
          <w:tcPr>
            <w:tcW w:w="1276" w:type="dxa"/>
            <w:tcBorders>
              <w:top w:val="single" w:sz="4" w:space="0" w:color="auto"/>
              <w:left w:val="single" w:sz="4" w:space="0" w:color="auto"/>
              <w:bottom w:val="single" w:sz="4" w:space="0" w:color="auto"/>
              <w:right w:val="single" w:sz="4" w:space="0" w:color="auto"/>
            </w:tcBorders>
          </w:tcPr>
          <w:p w14:paraId="368B9DA3"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3.3– 3.8GHz</w:t>
            </w:r>
          </w:p>
        </w:tc>
        <w:tc>
          <w:tcPr>
            <w:tcW w:w="1921" w:type="dxa"/>
            <w:tcBorders>
              <w:top w:val="single" w:sz="4" w:space="0" w:color="auto"/>
              <w:left w:val="single" w:sz="4" w:space="0" w:color="auto"/>
              <w:bottom w:val="single" w:sz="4" w:space="0" w:color="auto"/>
              <w:right w:val="single" w:sz="4" w:space="0" w:color="auto"/>
            </w:tcBorders>
          </w:tcPr>
          <w:p w14:paraId="252B469D" w14:textId="77777777" w:rsidR="002A655F" w:rsidRPr="00E4365D" w:rsidRDefault="002A655F" w:rsidP="002A655F">
            <w:pPr>
              <w:jc w:val="left"/>
              <w:rPr>
                <w:rFonts w:ascii="Times New Roman" w:hAnsi="Times New Roman" w:cs="Times New Roman"/>
                <w:sz w:val="12"/>
                <w:szCs w:val="12"/>
              </w:rPr>
            </w:pPr>
          </w:p>
        </w:tc>
        <w:tc>
          <w:tcPr>
            <w:tcW w:w="1751" w:type="dxa"/>
            <w:tcBorders>
              <w:top w:val="single" w:sz="4" w:space="0" w:color="auto"/>
              <w:left w:val="single" w:sz="4" w:space="0" w:color="auto"/>
              <w:bottom w:val="single" w:sz="4" w:space="0" w:color="auto"/>
              <w:right w:val="single" w:sz="4" w:space="0" w:color="auto"/>
            </w:tcBorders>
          </w:tcPr>
          <w:p w14:paraId="0840CB0E" w14:textId="77777777" w:rsidR="002A655F" w:rsidRPr="00E4365D" w:rsidRDefault="002A655F" w:rsidP="002A655F">
            <w:pPr>
              <w:jc w:val="left"/>
              <w:rPr>
                <w:rFonts w:ascii="Times New Roman" w:hAnsi="Times New Roman" w:cs="Times New Roman"/>
                <w:sz w:val="12"/>
                <w:szCs w:val="12"/>
              </w:rPr>
            </w:pPr>
          </w:p>
        </w:tc>
      </w:tr>
      <w:tr w:rsidR="002A655F" w:rsidRPr="006A69D3" w14:paraId="7EB8179B" w14:textId="77777777" w:rsidTr="002A655F">
        <w:trPr>
          <w:trHeight w:val="227"/>
        </w:trPr>
        <w:tc>
          <w:tcPr>
            <w:tcW w:w="1271" w:type="dxa"/>
            <w:tcBorders>
              <w:top w:val="single" w:sz="4" w:space="0" w:color="auto"/>
              <w:left w:val="single" w:sz="4" w:space="0" w:color="auto"/>
              <w:bottom w:val="single" w:sz="4" w:space="0" w:color="auto"/>
              <w:right w:val="single" w:sz="4" w:space="0" w:color="auto"/>
            </w:tcBorders>
            <w:hideMark/>
          </w:tcPr>
          <w:p w14:paraId="6A8B4253"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7B7C4BA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Ku-band</w:t>
            </w:r>
          </w:p>
        </w:tc>
        <w:tc>
          <w:tcPr>
            <w:tcW w:w="1134" w:type="dxa"/>
            <w:tcBorders>
              <w:top w:val="single" w:sz="4" w:space="0" w:color="auto"/>
              <w:left w:val="single" w:sz="4" w:space="0" w:color="auto"/>
              <w:bottom w:val="single" w:sz="4" w:space="0" w:color="auto"/>
              <w:right w:val="single" w:sz="4" w:space="0" w:color="auto"/>
            </w:tcBorders>
            <w:hideMark/>
          </w:tcPr>
          <w:p w14:paraId="6A6E6BC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w:t>
            </w:r>
          </w:p>
        </w:tc>
        <w:tc>
          <w:tcPr>
            <w:tcW w:w="1276" w:type="dxa"/>
            <w:tcBorders>
              <w:top w:val="single" w:sz="4" w:space="0" w:color="auto"/>
              <w:left w:val="single" w:sz="4" w:space="0" w:color="auto"/>
              <w:bottom w:val="single" w:sz="4" w:space="0" w:color="auto"/>
              <w:right w:val="single" w:sz="4" w:space="0" w:color="auto"/>
            </w:tcBorders>
            <w:hideMark/>
          </w:tcPr>
          <w:p w14:paraId="2928A627"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12–18 GHz</w:t>
            </w:r>
          </w:p>
        </w:tc>
        <w:tc>
          <w:tcPr>
            <w:tcW w:w="1921" w:type="dxa"/>
            <w:tcBorders>
              <w:top w:val="single" w:sz="4" w:space="0" w:color="auto"/>
              <w:left w:val="single" w:sz="4" w:space="0" w:color="auto"/>
              <w:bottom w:val="single" w:sz="4" w:space="0" w:color="auto"/>
              <w:right w:val="single" w:sz="4" w:space="0" w:color="auto"/>
            </w:tcBorders>
            <w:hideMark/>
          </w:tcPr>
          <w:p w14:paraId="177AF43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Military backhaul</w:t>
            </w:r>
          </w:p>
        </w:tc>
        <w:tc>
          <w:tcPr>
            <w:tcW w:w="1751" w:type="dxa"/>
            <w:tcBorders>
              <w:top w:val="single" w:sz="4" w:space="0" w:color="auto"/>
              <w:left w:val="single" w:sz="4" w:space="0" w:color="auto"/>
              <w:bottom w:val="single" w:sz="4" w:space="0" w:color="auto"/>
              <w:right w:val="single" w:sz="4" w:space="0" w:color="auto"/>
            </w:tcBorders>
            <w:hideMark/>
          </w:tcPr>
          <w:p w14:paraId="62F8D2B3"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General Atomics MQ-9 (12.7–13.25 GHz)</w:t>
            </w:r>
          </w:p>
        </w:tc>
      </w:tr>
      <w:tr w:rsidR="002A655F" w:rsidRPr="006A69D3" w14:paraId="7202193B" w14:textId="77777777" w:rsidTr="002A655F">
        <w:trPr>
          <w:trHeight w:val="209"/>
        </w:trPr>
        <w:tc>
          <w:tcPr>
            <w:tcW w:w="1271" w:type="dxa"/>
            <w:vMerge w:val="restart"/>
            <w:tcBorders>
              <w:top w:val="single" w:sz="4" w:space="0" w:color="auto"/>
              <w:left w:val="single" w:sz="4" w:space="0" w:color="auto"/>
              <w:right w:val="single" w:sz="4" w:space="0" w:color="auto"/>
            </w:tcBorders>
            <w:hideMark/>
          </w:tcPr>
          <w:p w14:paraId="776E9BCD"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HAPS</w:t>
            </w:r>
          </w:p>
        </w:tc>
        <w:tc>
          <w:tcPr>
            <w:tcW w:w="1134" w:type="dxa"/>
            <w:tcBorders>
              <w:top w:val="single" w:sz="4" w:space="0" w:color="auto"/>
              <w:left w:val="single" w:sz="4" w:space="0" w:color="auto"/>
              <w:bottom w:val="single" w:sz="4" w:space="0" w:color="auto"/>
              <w:right w:val="single" w:sz="4" w:space="0" w:color="auto"/>
            </w:tcBorders>
            <w:hideMark/>
          </w:tcPr>
          <w:p w14:paraId="695C0979"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Ka-band</w:t>
            </w:r>
          </w:p>
        </w:tc>
        <w:tc>
          <w:tcPr>
            <w:tcW w:w="1134" w:type="dxa"/>
            <w:tcBorders>
              <w:top w:val="single" w:sz="4" w:space="0" w:color="auto"/>
              <w:left w:val="single" w:sz="4" w:space="0" w:color="auto"/>
              <w:bottom w:val="single" w:sz="4" w:space="0" w:color="auto"/>
              <w:right w:val="single" w:sz="4" w:space="0" w:color="auto"/>
            </w:tcBorders>
            <w:hideMark/>
          </w:tcPr>
          <w:p w14:paraId="0AE4467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n258</w:t>
            </w:r>
          </w:p>
        </w:tc>
        <w:tc>
          <w:tcPr>
            <w:tcW w:w="1276" w:type="dxa"/>
            <w:tcBorders>
              <w:top w:val="single" w:sz="4" w:space="0" w:color="auto"/>
              <w:left w:val="single" w:sz="4" w:space="0" w:color="auto"/>
              <w:bottom w:val="single" w:sz="4" w:space="0" w:color="auto"/>
              <w:right w:val="single" w:sz="4" w:space="0" w:color="auto"/>
            </w:tcBorders>
            <w:hideMark/>
          </w:tcPr>
          <w:p w14:paraId="727119F3"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24.25–27.5 GHz</w:t>
            </w:r>
          </w:p>
        </w:tc>
        <w:tc>
          <w:tcPr>
            <w:tcW w:w="1921" w:type="dxa"/>
            <w:tcBorders>
              <w:top w:val="single" w:sz="4" w:space="0" w:color="auto"/>
              <w:left w:val="single" w:sz="4" w:space="0" w:color="auto"/>
              <w:bottom w:val="single" w:sz="4" w:space="0" w:color="auto"/>
              <w:right w:val="single" w:sz="4" w:space="0" w:color="auto"/>
            </w:tcBorders>
            <w:hideMark/>
          </w:tcPr>
          <w:p w14:paraId="77FD78BC"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Stratospheric broadband</w:t>
            </w:r>
          </w:p>
        </w:tc>
        <w:tc>
          <w:tcPr>
            <w:tcW w:w="1751" w:type="dxa"/>
            <w:tcBorders>
              <w:top w:val="single" w:sz="4" w:space="0" w:color="auto"/>
              <w:left w:val="single" w:sz="4" w:space="0" w:color="auto"/>
              <w:bottom w:val="single" w:sz="4" w:space="0" w:color="auto"/>
              <w:right w:val="single" w:sz="4" w:space="0" w:color="auto"/>
            </w:tcBorders>
            <w:hideMark/>
          </w:tcPr>
          <w:p w14:paraId="520DAF1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Google Loon (n258)</w:t>
            </w:r>
          </w:p>
        </w:tc>
      </w:tr>
      <w:tr w:rsidR="002A655F" w:rsidRPr="006A69D3" w14:paraId="0A464BAC" w14:textId="77777777" w:rsidTr="002A655F">
        <w:trPr>
          <w:trHeight w:val="209"/>
        </w:trPr>
        <w:tc>
          <w:tcPr>
            <w:tcW w:w="1271" w:type="dxa"/>
            <w:vMerge/>
            <w:tcBorders>
              <w:left w:val="single" w:sz="4" w:space="0" w:color="auto"/>
              <w:bottom w:val="single" w:sz="4" w:space="0" w:color="auto"/>
              <w:right w:val="single" w:sz="4" w:space="0" w:color="auto"/>
            </w:tcBorders>
            <w:hideMark/>
          </w:tcPr>
          <w:p w14:paraId="558EE884"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667AE1F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V-band</w:t>
            </w:r>
          </w:p>
        </w:tc>
        <w:tc>
          <w:tcPr>
            <w:tcW w:w="1134" w:type="dxa"/>
            <w:tcBorders>
              <w:top w:val="single" w:sz="4" w:space="0" w:color="auto"/>
              <w:left w:val="single" w:sz="4" w:space="0" w:color="auto"/>
              <w:bottom w:val="single" w:sz="4" w:space="0" w:color="auto"/>
              <w:right w:val="single" w:sz="4" w:space="0" w:color="auto"/>
            </w:tcBorders>
            <w:hideMark/>
          </w:tcPr>
          <w:p w14:paraId="133CEFD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n260</w:t>
            </w:r>
          </w:p>
        </w:tc>
        <w:tc>
          <w:tcPr>
            <w:tcW w:w="1276" w:type="dxa"/>
            <w:tcBorders>
              <w:top w:val="single" w:sz="4" w:space="0" w:color="auto"/>
              <w:left w:val="single" w:sz="4" w:space="0" w:color="auto"/>
              <w:bottom w:val="single" w:sz="4" w:space="0" w:color="auto"/>
              <w:right w:val="single" w:sz="4" w:space="0" w:color="auto"/>
            </w:tcBorders>
            <w:hideMark/>
          </w:tcPr>
          <w:p w14:paraId="23CAF7A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37–40 GHz</w:t>
            </w:r>
          </w:p>
        </w:tc>
        <w:tc>
          <w:tcPr>
            <w:tcW w:w="1921" w:type="dxa"/>
            <w:tcBorders>
              <w:top w:val="single" w:sz="4" w:space="0" w:color="auto"/>
              <w:left w:val="single" w:sz="4" w:space="0" w:color="auto"/>
              <w:bottom w:val="single" w:sz="4" w:space="0" w:color="auto"/>
              <w:right w:val="single" w:sz="4" w:space="0" w:color="auto"/>
            </w:tcBorders>
            <w:hideMark/>
          </w:tcPr>
          <w:p w14:paraId="3C8ACF7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Experimental HAPS (internet access)</w:t>
            </w:r>
          </w:p>
        </w:tc>
        <w:tc>
          <w:tcPr>
            <w:tcW w:w="1751" w:type="dxa"/>
            <w:tcBorders>
              <w:top w:val="single" w:sz="4" w:space="0" w:color="auto"/>
              <w:left w:val="single" w:sz="4" w:space="0" w:color="auto"/>
              <w:bottom w:val="single" w:sz="4" w:space="0" w:color="auto"/>
              <w:right w:val="single" w:sz="4" w:space="0" w:color="auto"/>
            </w:tcBorders>
            <w:hideMark/>
          </w:tcPr>
          <w:p w14:paraId="34465C0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Facebook Aquila (n260)</w:t>
            </w:r>
          </w:p>
        </w:tc>
      </w:tr>
      <w:tr w:rsidR="002A655F" w:rsidRPr="006A69D3" w14:paraId="79C4809B" w14:textId="77777777" w:rsidTr="002A655F">
        <w:trPr>
          <w:trHeight w:val="227"/>
        </w:trPr>
        <w:tc>
          <w:tcPr>
            <w:tcW w:w="1271" w:type="dxa"/>
            <w:vMerge w:val="restart"/>
            <w:tcBorders>
              <w:top w:val="single" w:sz="4" w:space="0" w:color="auto"/>
              <w:left w:val="single" w:sz="4" w:space="0" w:color="auto"/>
              <w:right w:val="single" w:sz="4" w:space="0" w:color="auto"/>
            </w:tcBorders>
            <w:hideMark/>
          </w:tcPr>
          <w:p w14:paraId="45D1BD02"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LEO Satellites</w:t>
            </w:r>
          </w:p>
        </w:tc>
        <w:tc>
          <w:tcPr>
            <w:tcW w:w="1134" w:type="dxa"/>
            <w:tcBorders>
              <w:top w:val="single" w:sz="4" w:space="0" w:color="auto"/>
              <w:left w:val="single" w:sz="4" w:space="0" w:color="auto"/>
              <w:bottom w:val="single" w:sz="4" w:space="0" w:color="auto"/>
              <w:right w:val="single" w:sz="4" w:space="0" w:color="auto"/>
            </w:tcBorders>
            <w:hideMark/>
          </w:tcPr>
          <w:p w14:paraId="1A4CC00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Ku-band</w:t>
            </w:r>
          </w:p>
        </w:tc>
        <w:tc>
          <w:tcPr>
            <w:tcW w:w="1134" w:type="dxa"/>
            <w:tcBorders>
              <w:top w:val="single" w:sz="4" w:space="0" w:color="auto"/>
              <w:left w:val="single" w:sz="4" w:space="0" w:color="auto"/>
              <w:bottom w:val="single" w:sz="4" w:space="0" w:color="auto"/>
              <w:right w:val="single" w:sz="4" w:space="0" w:color="auto"/>
            </w:tcBorders>
            <w:hideMark/>
          </w:tcPr>
          <w:p w14:paraId="0D70BA1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w:t>
            </w:r>
          </w:p>
        </w:tc>
        <w:tc>
          <w:tcPr>
            <w:tcW w:w="1276" w:type="dxa"/>
            <w:tcBorders>
              <w:top w:val="single" w:sz="4" w:space="0" w:color="auto"/>
              <w:left w:val="single" w:sz="4" w:space="0" w:color="auto"/>
              <w:bottom w:val="single" w:sz="4" w:space="0" w:color="auto"/>
              <w:right w:val="single" w:sz="4" w:space="0" w:color="auto"/>
            </w:tcBorders>
            <w:hideMark/>
          </w:tcPr>
          <w:p w14:paraId="38A0F35B"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12–18 GHz</w:t>
            </w:r>
          </w:p>
        </w:tc>
        <w:tc>
          <w:tcPr>
            <w:tcW w:w="1921" w:type="dxa"/>
            <w:tcBorders>
              <w:top w:val="single" w:sz="4" w:space="0" w:color="auto"/>
              <w:left w:val="single" w:sz="4" w:space="0" w:color="auto"/>
              <w:bottom w:val="single" w:sz="4" w:space="0" w:color="auto"/>
              <w:right w:val="single" w:sz="4" w:space="0" w:color="auto"/>
            </w:tcBorders>
            <w:hideMark/>
          </w:tcPr>
          <w:p w14:paraId="11A4B77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Consumer broadband downlink</w:t>
            </w:r>
          </w:p>
        </w:tc>
        <w:tc>
          <w:tcPr>
            <w:tcW w:w="1751" w:type="dxa"/>
            <w:tcBorders>
              <w:top w:val="single" w:sz="4" w:space="0" w:color="auto"/>
              <w:left w:val="single" w:sz="4" w:space="0" w:color="auto"/>
              <w:bottom w:val="single" w:sz="4" w:space="0" w:color="auto"/>
              <w:right w:val="single" w:sz="4" w:space="0" w:color="auto"/>
            </w:tcBorders>
            <w:hideMark/>
          </w:tcPr>
          <w:p w14:paraId="771EF5B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Starlink (12–14 GHz)</w:t>
            </w:r>
          </w:p>
        </w:tc>
      </w:tr>
      <w:tr w:rsidR="002A655F" w:rsidRPr="006A69D3" w14:paraId="2AFC1483" w14:textId="77777777" w:rsidTr="002A655F">
        <w:trPr>
          <w:trHeight w:val="209"/>
        </w:trPr>
        <w:tc>
          <w:tcPr>
            <w:tcW w:w="1271" w:type="dxa"/>
            <w:vMerge/>
            <w:tcBorders>
              <w:left w:val="single" w:sz="4" w:space="0" w:color="auto"/>
              <w:right w:val="single" w:sz="4" w:space="0" w:color="auto"/>
            </w:tcBorders>
            <w:hideMark/>
          </w:tcPr>
          <w:p w14:paraId="0286BD83"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0621002B"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Ka-band</w:t>
            </w:r>
          </w:p>
        </w:tc>
        <w:tc>
          <w:tcPr>
            <w:tcW w:w="1134" w:type="dxa"/>
            <w:tcBorders>
              <w:top w:val="single" w:sz="4" w:space="0" w:color="auto"/>
              <w:left w:val="single" w:sz="4" w:space="0" w:color="auto"/>
              <w:bottom w:val="single" w:sz="4" w:space="0" w:color="auto"/>
              <w:right w:val="single" w:sz="4" w:space="0" w:color="auto"/>
            </w:tcBorders>
            <w:hideMark/>
          </w:tcPr>
          <w:p w14:paraId="3B10203B"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n257</w:t>
            </w:r>
          </w:p>
        </w:tc>
        <w:tc>
          <w:tcPr>
            <w:tcW w:w="1276" w:type="dxa"/>
            <w:tcBorders>
              <w:top w:val="single" w:sz="4" w:space="0" w:color="auto"/>
              <w:left w:val="single" w:sz="4" w:space="0" w:color="auto"/>
              <w:bottom w:val="single" w:sz="4" w:space="0" w:color="auto"/>
              <w:right w:val="single" w:sz="4" w:space="0" w:color="auto"/>
            </w:tcBorders>
            <w:hideMark/>
          </w:tcPr>
          <w:p w14:paraId="74B14127"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26.5–29.5 GHz</w:t>
            </w:r>
          </w:p>
        </w:tc>
        <w:tc>
          <w:tcPr>
            <w:tcW w:w="1921" w:type="dxa"/>
            <w:tcBorders>
              <w:top w:val="single" w:sz="4" w:space="0" w:color="auto"/>
              <w:left w:val="single" w:sz="4" w:space="0" w:color="auto"/>
              <w:bottom w:val="single" w:sz="4" w:space="0" w:color="auto"/>
              <w:right w:val="single" w:sz="4" w:space="0" w:color="auto"/>
            </w:tcBorders>
            <w:hideMark/>
          </w:tcPr>
          <w:p w14:paraId="4F1D5BE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Gateway links</w:t>
            </w:r>
          </w:p>
        </w:tc>
        <w:tc>
          <w:tcPr>
            <w:tcW w:w="1751" w:type="dxa"/>
            <w:tcBorders>
              <w:top w:val="single" w:sz="4" w:space="0" w:color="auto"/>
              <w:left w:val="single" w:sz="4" w:space="0" w:color="auto"/>
              <w:bottom w:val="single" w:sz="4" w:space="0" w:color="auto"/>
              <w:right w:val="single" w:sz="4" w:space="0" w:color="auto"/>
            </w:tcBorders>
            <w:hideMark/>
          </w:tcPr>
          <w:p w14:paraId="345B3B3B"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Starlink Gen2 (n257)</w:t>
            </w:r>
          </w:p>
        </w:tc>
      </w:tr>
      <w:tr w:rsidR="002A655F" w:rsidRPr="006A69D3" w14:paraId="0269D886" w14:textId="77777777" w:rsidTr="002A655F">
        <w:trPr>
          <w:trHeight w:val="227"/>
        </w:trPr>
        <w:tc>
          <w:tcPr>
            <w:tcW w:w="1271" w:type="dxa"/>
            <w:vMerge/>
            <w:tcBorders>
              <w:left w:val="single" w:sz="4" w:space="0" w:color="auto"/>
              <w:bottom w:val="single" w:sz="4" w:space="0" w:color="auto"/>
              <w:right w:val="single" w:sz="4" w:space="0" w:color="auto"/>
            </w:tcBorders>
            <w:hideMark/>
          </w:tcPr>
          <w:p w14:paraId="23ABA368"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0AA8A10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L-band</w:t>
            </w:r>
          </w:p>
        </w:tc>
        <w:tc>
          <w:tcPr>
            <w:tcW w:w="1134" w:type="dxa"/>
            <w:tcBorders>
              <w:top w:val="single" w:sz="4" w:space="0" w:color="auto"/>
              <w:left w:val="single" w:sz="4" w:space="0" w:color="auto"/>
              <w:bottom w:val="single" w:sz="4" w:space="0" w:color="auto"/>
              <w:right w:val="single" w:sz="4" w:space="0" w:color="auto"/>
            </w:tcBorders>
            <w:hideMark/>
          </w:tcPr>
          <w:p w14:paraId="02355D23"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n255</w:t>
            </w:r>
          </w:p>
        </w:tc>
        <w:tc>
          <w:tcPr>
            <w:tcW w:w="1276" w:type="dxa"/>
            <w:tcBorders>
              <w:top w:val="single" w:sz="4" w:space="0" w:color="auto"/>
              <w:left w:val="single" w:sz="4" w:space="0" w:color="auto"/>
              <w:bottom w:val="single" w:sz="4" w:space="0" w:color="auto"/>
              <w:right w:val="single" w:sz="4" w:space="0" w:color="auto"/>
            </w:tcBorders>
            <w:hideMark/>
          </w:tcPr>
          <w:p w14:paraId="5442BCE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1.6 GHz</w:t>
            </w:r>
          </w:p>
        </w:tc>
        <w:tc>
          <w:tcPr>
            <w:tcW w:w="1921" w:type="dxa"/>
            <w:tcBorders>
              <w:top w:val="single" w:sz="4" w:space="0" w:color="auto"/>
              <w:left w:val="single" w:sz="4" w:space="0" w:color="auto"/>
              <w:bottom w:val="single" w:sz="4" w:space="0" w:color="auto"/>
              <w:right w:val="single" w:sz="4" w:space="0" w:color="auto"/>
            </w:tcBorders>
            <w:hideMark/>
          </w:tcPr>
          <w:p w14:paraId="1F563581"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Direct-to-cell IoT/voice</w:t>
            </w:r>
          </w:p>
        </w:tc>
        <w:tc>
          <w:tcPr>
            <w:tcW w:w="1751" w:type="dxa"/>
            <w:tcBorders>
              <w:top w:val="single" w:sz="4" w:space="0" w:color="auto"/>
              <w:left w:val="single" w:sz="4" w:space="0" w:color="auto"/>
              <w:bottom w:val="single" w:sz="4" w:space="0" w:color="auto"/>
              <w:right w:val="single" w:sz="4" w:space="0" w:color="auto"/>
            </w:tcBorders>
            <w:hideMark/>
          </w:tcPr>
          <w:p w14:paraId="494F4DD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AST SpaceMobile (n255)</w:t>
            </w:r>
          </w:p>
        </w:tc>
      </w:tr>
      <w:tr w:rsidR="002A655F" w:rsidRPr="006A69D3" w14:paraId="5E216AB9" w14:textId="77777777" w:rsidTr="002A655F">
        <w:trPr>
          <w:trHeight w:val="209"/>
        </w:trPr>
        <w:tc>
          <w:tcPr>
            <w:tcW w:w="1271" w:type="dxa"/>
            <w:vMerge w:val="restart"/>
            <w:tcBorders>
              <w:top w:val="single" w:sz="4" w:space="0" w:color="auto"/>
              <w:left w:val="single" w:sz="4" w:space="0" w:color="auto"/>
              <w:right w:val="single" w:sz="4" w:space="0" w:color="auto"/>
            </w:tcBorders>
            <w:hideMark/>
          </w:tcPr>
          <w:p w14:paraId="31A42EA0"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MEO Satellites</w:t>
            </w:r>
          </w:p>
        </w:tc>
        <w:tc>
          <w:tcPr>
            <w:tcW w:w="1134" w:type="dxa"/>
            <w:tcBorders>
              <w:top w:val="single" w:sz="4" w:space="0" w:color="auto"/>
              <w:left w:val="single" w:sz="4" w:space="0" w:color="auto"/>
              <w:bottom w:val="single" w:sz="4" w:space="0" w:color="auto"/>
              <w:right w:val="single" w:sz="4" w:space="0" w:color="auto"/>
            </w:tcBorders>
            <w:hideMark/>
          </w:tcPr>
          <w:p w14:paraId="029D6E79"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C-band</w:t>
            </w:r>
          </w:p>
        </w:tc>
        <w:tc>
          <w:tcPr>
            <w:tcW w:w="1134" w:type="dxa"/>
            <w:tcBorders>
              <w:top w:val="single" w:sz="4" w:space="0" w:color="auto"/>
              <w:left w:val="single" w:sz="4" w:space="0" w:color="auto"/>
              <w:bottom w:val="single" w:sz="4" w:space="0" w:color="auto"/>
              <w:right w:val="single" w:sz="4" w:space="0" w:color="auto"/>
            </w:tcBorders>
            <w:hideMark/>
          </w:tcPr>
          <w:p w14:paraId="6CA3C0D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n77</w:t>
            </w:r>
          </w:p>
        </w:tc>
        <w:tc>
          <w:tcPr>
            <w:tcW w:w="1276" w:type="dxa"/>
            <w:tcBorders>
              <w:top w:val="single" w:sz="4" w:space="0" w:color="auto"/>
              <w:left w:val="single" w:sz="4" w:space="0" w:color="auto"/>
              <w:bottom w:val="single" w:sz="4" w:space="0" w:color="auto"/>
              <w:right w:val="single" w:sz="4" w:space="0" w:color="auto"/>
            </w:tcBorders>
            <w:hideMark/>
          </w:tcPr>
          <w:p w14:paraId="612AE53B"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3.7–4.2 GHz</w:t>
            </w:r>
          </w:p>
        </w:tc>
        <w:tc>
          <w:tcPr>
            <w:tcW w:w="1921" w:type="dxa"/>
            <w:tcBorders>
              <w:top w:val="single" w:sz="4" w:space="0" w:color="auto"/>
              <w:left w:val="single" w:sz="4" w:space="0" w:color="auto"/>
              <w:bottom w:val="single" w:sz="4" w:space="0" w:color="auto"/>
              <w:right w:val="single" w:sz="4" w:space="0" w:color="auto"/>
            </w:tcBorders>
            <w:hideMark/>
          </w:tcPr>
          <w:p w14:paraId="45A8FE7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Broadband services</w:t>
            </w:r>
          </w:p>
        </w:tc>
        <w:tc>
          <w:tcPr>
            <w:tcW w:w="1751" w:type="dxa"/>
            <w:tcBorders>
              <w:top w:val="single" w:sz="4" w:space="0" w:color="auto"/>
              <w:left w:val="single" w:sz="4" w:space="0" w:color="auto"/>
              <w:bottom w:val="single" w:sz="4" w:space="0" w:color="auto"/>
              <w:right w:val="single" w:sz="4" w:space="0" w:color="auto"/>
            </w:tcBorders>
            <w:hideMark/>
          </w:tcPr>
          <w:p w14:paraId="7F363879"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SES O3b (n77)</w:t>
            </w:r>
          </w:p>
        </w:tc>
      </w:tr>
      <w:tr w:rsidR="002A655F" w:rsidRPr="006A69D3" w14:paraId="215973C4" w14:textId="77777777" w:rsidTr="002A655F">
        <w:trPr>
          <w:trHeight w:val="227"/>
        </w:trPr>
        <w:tc>
          <w:tcPr>
            <w:tcW w:w="1271" w:type="dxa"/>
            <w:vMerge/>
            <w:tcBorders>
              <w:left w:val="single" w:sz="4" w:space="0" w:color="auto"/>
              <w:bottom w:val="single" w:sz="4" w:space="0" w:color="auto"/>
              <w:right w:val="single" w:sz="4" w:space="0" w:color="auto"/>
            </w:tcBorders>
            <w:hideMark/>
          </w:tcPr>
          <w:p w14:paraId="43082348"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2A3E667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Ka-band</w:t>
            </w:r>
          </w:p>
        </w:tc>
        <w:tc>
          <w:tcPr>
            <w:tcW w:w="1134" w:type="dxa"/>
            <w:tcBorders>
              <w:top w:val="single" w:sz="4" w:space="0" w:color="auto"/>
              <w:left w:val="single" w:sz="4" w:space="0" w:color="auto"/>
              <w:bottom w:val="single" w:sz="4" w:space="0" w:color="auto"/>
              <w:right w:val="single" w:sz="4" w:space="0" w:color="auto"/>
            </w:tcBorders>
            <w:hideMark/>
          </w:tcPr>
          <w:p w14:paraId="36ED868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n258</w:t>
            </w:r>
          </w:p>
        </w:tc>
        <w:tc>
          <w:tcPr>
            <w:tcW w:w="1276" w:type="dxa"/>
            <w:tcBorders>
              <w:top w:val="single" w:sz="4" w:space="0" w:color="auto"/>
              <w:left w:val="single" w:sz="4" w:space="0" w:color="auto"/>
              <w:bottom w:val="single" w:sz="4" w:space="0" w:color="auto"/>
              <w:right w:val="single" w:sz="4" w:space="0" w:color="auto"/>
            </w:tcBorders>
            <w:hideMark/>
          </w:tcPr>
          <w:p w14:paraId="514E8B5C"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26.5–40 GHz</w:t>
            </w:r>
          </w:p>
        </w:tc>
        <w:tc>
          <w:tcPr>
            <w:tcW w:w="1921" w:type="dxa"/>
            <w:tcBorders>
              <w:top w:val="single" w:sz="4" w:space="0" w:color="auto"/>
              <w:left w:val="single" w:sz="4" w:space="0" w:color="auto"/>
              <w:bottom w:val="single" w:sz="4" w:space="0" w:color="auto"/>
              <w:right w:val="single" w:sz="4" w:space="0" w:color="auto"/>
            </w:tcBorders>
            <w:hideMark/>
          </w:tcPr>
          <w:p w14:paraId="4D45299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High-throughput payloads</w:t>
            </w:r>
          </w:p>
        </w:tc>
        <w:tc>
          <w:tcPr>
            <w:tcW w:w="1751" w:type="dxa"/>
            <w:tcBorders>
              <w:top w:val="single" w:sz="4" w:space="0" w:color="auto"/>
              <w:left w:val="single" w:sz="4" w:space="0" w:color="auto"/>
              <w:bottom w:val="single" w:sz="4" w:space="0" w:color="auto"/>
              <w:right w:val="single" w:sz="4" w:space="0" w:color="auto"/>
            </w:tcBorders>
            <w:hideMark/>
          </w:tcPr>
          <w:p w14:paraId="7159E956"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Iridium Next (n258)</w:t>
            </w:r>
          </w:p>
        </w:tc>
      </w:tr>
      <w:tr w:rsidR="002A655F" w:rsidRPr="006A69D3" w14:paraId="4DD38CE0" w14:textId="77777777" w:rsidTr="002A655F">
        <w:trPr>
          <w:trHeight w:val="209"/>
        </w:trPr>
        <w:tc>
          <w:tcPr>
            <w:tcW w:w="1271" w:type="dxa"/>
            <w:vMerge w:val="restart"/>
            <w:tcBorders>
              <w:top w:val="single" w:sz="4" w:space="0" w:color="auto"/>
              <w:left w:val="single" w:sz="4" w:space="0" w:color="auto"/>
              <w:right w:val="single" w:sz="4" w:space="0" w:color="auto"/>
            </w:tcBorders>
            <w:hideMark/>
          </w:tcPr>
          <w:p w14:paraId="7FBAF2DA"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GEO Satellites</w:t>
            </w:r>
          </w:p>
        </w:tc>
        <w:tc>
          <w:tcPr>
            <w:tcW w:w="1134" w:type="dxa"/>
            <w:tcBorders>
              <w:top w:val="single" w:sz="4" w:space="0" w:color="auto"/>
              <w:left w:val="single" w:sz="4" w:space="0" w:color="auto"/>
              <w:bottom w:val="single" w:sz="4" w:space="0" w:color="auto"/>
              <w:right w:val="single" w:sz="4" w:space="0" w:color="auto"/>
            </w:tcBorders>
            <w:hideMark/>
          </w:tcPr>
          <w:p w14:paraId="42038E6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C-band</w:t>
            </w:r>
          </w:p>
        </w:tc>
        <w:tc>
          <w:tcPr>
            <w:tcW w:w="1134" w:type="dxa"/>
            <w:tcBorders>
              <w:top w:val="single" w:sz="4" w:space="0" w:color="auto"/>
              <w:left w:val="single" w:sz="4" w:space="0" w:color="auto"/>
              <w:bottom w:val="single" w:sz="4" w:space="0" w:color="auto"/>
              <w:right w:val="single" w:sz="4" w:space="0" w:color="auto"/>
            </w:tcBorders>
            <w:hideMark/>
          </w:tcPr>
          <w:p w14:paraId="1D7BE7E8"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n77</w:t>
            </w:r>
          </w:p>
        </w:tc>
        <w:tc>
          <w:tcPr>
            <w:tcW w:w="1276" w:type="dxa"/>
            <w:tcBorders>
              <w:top w:val="single" w:sz="4" w:space="0" w:color="auto"/>
              <w:left w:val="single" w:sz="4" w:space="0" w:color="auto"/>
              <w:bottom w:val="single" w:sz="4" w:space="0" w:color="auto"/>
              <w:right w:val="single" w:sz="4" w:space="0" w:color="auto"/>
            </w:tcBorders>
            <w:hideMark/>
          </w:tcPr>
          <w:p w14:paraId="357C6FD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3.7–4.2 GHz</w:t>
            </w:r>
          </w:p>
        </w:tc>
        <w:tc>
          <w:tcPr>
            <w:tcW w:w="1921" w:type="dxa"/>
            <w:tcBorders>
              <w:top w:val="single" w:sz="4" w:space="0" w:color="auto"/>
              <w:left w:val="single" w:sz="4" w:space="0" w:color="auto"/>
              <w:bottom w:val="single" w:sz="4" w:space="0" w:color="auto"/>
              <w:right w:val="single" w:sz="4" w:space="0" w:color="auto"/>
            </w:tcBorders>
            <w:hideMark/>
          </w:tcPr>
          <w:p w14:paraId="01DC878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Fixed broadband</w:t>
            </w:r>
          </w:p>
        </w:tc>
        <w:tc>
          <w:tcPr>
            <w:tcW w:w="1751" w:type="dxa"/>
            <w:tcBorders>
              <w:top w:val="single" w:sz="4" w:space="0" w:color="auto"/>
              <w:left w:val="single" w:sz="4" w:space="0" w:color="auto"/>
              <w:bottom w:val="single" w:sz="4" w:space="0" w:color="auto"/>
              <w:right w:val="single" w:sz="4" w:space="0" w:color="auto"/>
            </w:tcBorders>
            <w:hideMark/>
          </w:tcPr>
          <w:p w14:paraId="0447B41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Viasat (n77)</w:t>
            </w:r>
          </w:p>
        </w:tc>
      </w:tr>
      <w:tr w:rsidR="002A655F" w:rsidRPr="006A69D3" w14:paraId="4B0948CA" w14:textId="77777777" w:rsidTr="002A655F">
        <w:trPr>
          <w:trHeight w:val="209"/>
        </w:trPr>
        <w:tc>
          <w:tcPr>
            <w:tcW w:w="1271" w:type="dxa"/>
            <w:vMerge/>
            <w:tcBorders>
              <w:left w:val="single" w:sz="4" w:space="0" w:color="auto"/>
              <w:right w:val="single" w:sz="4" w:space="0" w:color="auto"/>
            </w:tcBorders>
            <w:hideMark/>
          </w:tcPr>
          <w:p w14:paraId="47D04DA6"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1D3FB38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Ku-band</w:t>
            </w:r>
          </w:p>
        </w:tc>
        <w:tc>
          <w:tcPr>
            <w:tcW w:w="1134" w:type="dxa"/>
            <w:tcBorders>
              <w:top w:val="single" w:sz="4" w:space="0" w:color="auto"/>
              <w:left w:val="single" w:sz="4" w:space="0" w:color="auto"/>
              <w:bottom w:val="single" w:sz="4" w:space="0" w:color="auto"/>
              <w:right w:val="single" w:sz="4" w:space="0" w:color="auto"/>
            </w:tcBorders>
            <w:hideMark/>
          </w:tcPr>
          <w:p w14:paraId="2FD6C378"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w:t>
            </w:r>
          </w:p>
        </w:tc>
        <w:tc>
          <w:tcPr>
            <w:tcW w:w="1276" w:type="dxa"/>
            <w:tcBorders>
              <w:top w:val="single" w:sz="4" w:space="0" w:color="auto"/>
              <w:left w:val="single" w:sz="4" w:space="0" w:color="auto"/>
              <w:bottom w:val="single" w:sz="4" w:space="0" w:color="auto"/>
              <w:right w:val="single" w:sz="4" w:space="0" w:color="auto"/>
            </w:tcBorders>
            <w:hideMark/>
          </w:tcPr>
          <w:p w14:paraId="5D15976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12–18 GHz</w:t>
            </w:r>
          </w:p>
        </w:tc>
        <w:tc>
          <w:tcPr>
            <w:tcW w:w="1921" w:type="dxa"/>
            <w:tcBorders>
              <w:top w:val="single" w:sz="4" w:space="0" w:color="auto"/>
              <w:left w:val="single" w:sz="4" w:space="0" w:color="auto"/>
              <w:bottom w:val="single" w:sz="4" w:space="0" w:color="auto"/>
              <w:right w:val="single" w:sz="4" w:space="0" w:color="auto"/>
            </w:tcBorders>
            <w:hideMark/>
          </w:tcPr>
          <w:p w14:paraId="205D3457"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DTH TV, enterprise VSAT</w:t>
            </w:r>
          </w:p>
        </w:tc>
        <w:tc>
          <w:tcPr>
            <w:tcW w:w="1751" w:type="dxa"/>
            <w:tcBorders>
              <w:top w:val="single" w:sz="4" w:space="0" w:color="auto"/>
              <w:left w:val="single" w:sz="4" w:space="0" w:color="auto"/>
              <w:bottom w:val="single" w:sz="4" w:space="0" w:color="auto"/>
              <w:right w:val="single" w:sz="4" w:space="0" w:color="auto"/>
            </w:tcBorders>
            <w:hideMark/>
          </w:tcPr>
          <w:p w14:paraId="32ADA7C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HughesNet (14 GHz downlink)</w:t>
            </w:r>
          </w:p>
        </w:tc>
      </w:tr>
      <w:tr w:rsidR="002A655F" w:rsidRPr="006A69D3" w14:paraId="50BFAEA3" w14:textId="77777777" w:rsidTr="002A655F">
        <w:trPr>
          <w:trHeight w:val="227"/>
        </w:trPr>
        <w:tc>
          <w:tcPr>
            <w:tcW w:w="1271" w:type="dxa"/>
            <w:vMerge/>
            <w:tcBorders>
              <w:left w:val="single" w:sz="4" w:space="0" w:color="auto"/>
              <w:right w:val="single" w:sz="4" w:space="0" w:color="auto"/>
            </w:tcBorders>
            <w:hideMark/>
          </w:tcPr>
          <w:p w14:paraId="3E3A57A2"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5F40AB0E"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Ka-band</w:t>
            </w:r>
          </w:p>
        </w:tc>
        <w:tc>
          <w:tcPr>
            <w:tcW w:w="1134" w:type="dxa"/>
            <w:tcBorders>
              <w:top w:val="single" w:sz="4" w:space="0" w:color="auto"/>
              <w:left w:val="single" w:sz="4" w:space="0" w:color="auto"/>
              <w:bottom w:val="single" w:sz="4" w:space="0" w:color="auto"/>
              <w:right w:val="single" w:sz="4" w:space="0" w:color="auto"/>
            </w:tcBorders>
            <w:hideMark/>
          </w:tcPr>
          <w:p w14:paraId="4EEF23A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n257</w:t>
            </w:r>
          </w:p>
        </w:tc>
        <w:tc>
          <w:tcPr>
            <w:tcW w:w="1276" w:type="dxa"/>
            <w:tcBorders>
              <w:top w:val="single" w:sz="4" w:space="0" w:color="auto"/>
              <w:left w:val="single" w:sz="4" w:space="0" w:color="auto"/>
              <w:bottom w:val="single" w:sz="4" w:space="0" w:color="auto"/>
              <w:right w:val="single" w:sz="4" w:space="0" w:color="auto"/>
            </w:tcBorders>
            <w:hideMark/>
          </w:tcPr>
          <w:p w14:paraId="4738C41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26.5–29.5 GHz</w:t>
            </w:r>
          </w:p>
        </w:tc>
        <w:tc>
          <w:tcPr>
            <w:tcW w:w="1921" w:type="dxa"/>
            <w:tcBorders>
              <w:top w:val="single" w:sz="4" w:space="0" w:color="auto"/>
              <w:left w:val="single" w:sz="4" w:space="0" w:color="auto"/>
              <w:bottom w:val="single" w:sz="4" w:space="0" w:color="auto"/>
              <w:right w:val="single" w:sz="4" w:space="0" w:color="auto"/>
            </w:tcBorders>
            <w:hideMark/>
          </w:tcPr>
          <w:p w14:paraId="67C8A10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High-throughput GEO</w:t>
            </w:r>
          </w:p>
        </w:tc>
        <w:tc>
          <w:tcPr>
            <w:tcW w:w="1751" w:type="dxa"/>
            <w:tcBorders>
              <w:top w:val="single" w:sz="4" w:space="0" w:color="auto"/>
              <w:left w:val="single" w:sz="4" w:space="0" w:color="auto"/>
              <w:bottom w:val="single" w:sz="4" w:space="0" w:color="auto"/>
              <w:right w:val="single" w:sz="4" w:space="0" w:color="auto"/>
            </w:tcBorders>
            <w:hideMark/>
          </w:tcPr>
          <w:p w14:paraId="16D6FD4A"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Inmarsat Global Xpress (n257)</w:t>
            </w:r>
          </w:p>
        </w:tc>
      </w:tr>
      <w:tr w:rsidR="002A655F" w:rsidRPr="006A69D3" w14:paraId="169A3219" w14:textId="77777777" w:rsidTr="002A655F">
        <w:trPr>
          <w:trHeight w:val="209"/>
        </w:trPr>
        <w:tc>
          <w:tcPr>
            <w:tcW w:w="1271" w:type="dxa"/>
            <w:vMerge/>
            <w:tcBorders>
              <w:left w:val="single" w:sz="4" w:space="0" w:color="auto"/>
              <w:bottom w:val="single" w:sz="4" w:space="0" w:color="auto"/>
              <w:right w:val="single" w:sz="4" w:space="0" w:color="auto"/>
            </w:tcBorders>
            <w:hideMark/>
          </w:tcPr>
          <w:p w14:paraId="649B8A3D"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3E133CF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L-band</w:t>
            </w:r>
          </w:p>
        </w:tc>
        <w:tc>
          <w:tcPr>
            <w:tcW w:w="1134" w:type="dxa"/>
            <w:tcBorders>
              <w:top w:val="single" w:sz="4" w:space="0" w:color="auto"/>
              <w:left w:val="single" w:sz="4" w:space="0" w:color="auto"/>
              <w:bottom w:val="single" w:sz="4" w:space="0" w:color="auto"/>
              <w:right w:val="single" w:sz="4" w:space="0" w:color="auto"/>
            </w:tcBorders>
            <w:hideMark/>
          </w:tcPr>
          <w:p w14:paraId="0317DFA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n255</w:t>
            </w:r>
          </w:p>
        </w:tc>
        <w:tc>
          <w:tcPr>
            <w:tcW w:w="1276" w:type="dxa"/>
            <w:tcBorders>
              <w:top w:val="single" w:sz="4" w:space="0" w:color="auto"/>
              <w:left w:val="single" w:sz="4" w:space="0" w:color="auto"/>
              <w:bottom w:val="single" w:sz="4" w:space="0" w:color="auto"/>
              <w:right w:val="single" w:sz="4" w:space="0" w:color="auto"/>
            </w:tcBorders>
            <w:hideMark/>
          </w:tcPr>
          <w:p w14:paraId="45EAC08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1.6 GHz</w:t>
            </w:r>
          </w:p>
        </w:tc>
        <w:tc>
          <w:tcPr>
            <w:tcW w:w="1921" w:type="dxa"/>
            <w:tcBorders>
              <w:top w:val="single" w:sz="4" w:space="0" w:color="auto"/>
              <w:left w:val="single" w:sz="4" w:space="0" w:color="auto"/>
              <w:bottom w:val="single" w:sz="4" w:space="0" w:color="auto"/>
              <w:right w:val="single" w:sz="4" w:space="0" w:color="auto"/>
            </w:tcBorders>
            <w:hideMark/>
          </w:tcPr>
          <w:p w14:paraId="59EA1A1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Maritime/aviation safety</w:t>
            </w:r>
          </w:p>
        </w:tc>
        <w:tc>
          <w:tcPr>
            <w:tcW w:w="1751" w:type="dxa"/>
            <w:tcBorders>
              <w:top w:val="single" w:sz="4" w:space="0" w:color="auto"/>
              <w:left w:val="single" w:sz="4" w:space="0" w:color="auto"/>
              <w:bottom w:val="single" w:sz="4" w:space="0" w:color="auto"/>
              <w:right w:val="single" w:sz="4" w:space="0" w:color="auto"/>
            </w:tcBorders>
            <w:hideMark/>
          </w:tcPr>
          <w:p w14:paraId="04F7198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Inmarsat (n255)</w:t>
            </w:r>
          </w:p>
        </w:tc>
      </w:tr>
      <w:tr w:rsidR="002A655F" w:rsidRPr="006A69D3" w14:paraId="198B028B" w14:textId="77777777" w:rsidTr="002A655F">
        <w:trPr>
          <w:trHeight w:val="227"/>
        </w:trPr>
        <w:tc>
          <w:tcPr>
            <w:tcW w:w="1271" w:type="dxa"/>
            <w:vMerge w:val="restart"/>
            <w:tcBorders>
              <w:top w:val="single" w:sz="4" w:space="0" w:color="auto"/>
              <w:left w:val="single" w:sz="4" w:space="0" w:color="auto"/>
              <w:right w:val="single" w:sz="4" w:space="0" w:color="auto"/>
            </w:tcBorders>
            <w:hideMark/>
          </w:tcPr>
          <w:p w14:paraId="3480A074" w14:textId="77777777" w:rsidR="002A655F" w:rsidRPr="00E4365D" w:rsidRDefault="002A655F" w:rsidP="002A655F">
            <w:pPr>
              <w:jc w:val="left"/>
              <w:rPr>
                <w:rFonts w:ascii="Times New Roman" w:hAnsi="Times New Roman" w:cs="Times New Roman"/>
                <w:b/>
                <w:sz w:val="12"/>
                <w:szCs w:val="12"/>
              </w:rPr>
            </w:pPr>
            <w:r w:rsidRPr="00E4365D">
              <w:rPr>
                <w:rFonts w:ascii="Times New Roman" w:hAnsi="Times New Roman" w:cs="Times New Roman"/>
                <w:b/>
                <w:sz w:val="12"/>
                <w:szCs w:val="12"/>
              </w:rPr>
              <w:t xml:space="preserve">Terrestrial </w:t>
            </w:r>
          </w:p>
        </w:tc>
        <w:tc>
          <w:tcPr>
            <w:tcW w:w="1134" w:type="dxa"/>
            <w:tcBorders>
              <w:top w:val="single" w:sz="4" w:space="0" w:color="auto"/>
              <w:left w:val="single" w:sz="4" w:space="0" w:color="auto"/>
              <w:bottom w:val="single" w:sz="4" w:space="0" w:color="auto"/>
              <w:right w:val="single" w:sz="4" w:space="0" w:color="auto"/>
            </w:tcBorders>
            <w:hideMark/>
          </w:tcPr>
          <w:p w14:paraId="459864E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Sub-6 GHz</w:t>
            </w:r>
          </w:p>
        </w:tc>
        <w:tc>
          <w:tcPr>
            <w:tcW w:w="1134" w:type="dxa"/>
            <w:tcBorders>
              <w:top w:val="single" w:sz="4" w:space="0" w:color="auto"/>
              <w:left w:val="single" w:sz="4" w:space="0" w:color="auto"/>
              <w:bottom w:val="single" w:sz="4" w:space="0" w:color="auto"/>
              <w:right w:val="single" w:sz="4" w:space="0" w:color="auto"/>
            </w:tcBorders>
            <w:hideMark/>
          </w:tcPr>
          <w:p w14:paraId="02638E78"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n78 (C-band)</w:t>
            </w:r>
          </w:p>
        </w:tc>
        <w:tc>
          <w:tcPr>
            <w:tcW w:w="1276" w:type="dxa"/>
            <w:tcBorders>
              <w:top w:val="single" w:sz="4" w:space="0" w:color="auto"/>
              <w:left w:val="single" w:sz="4" w:space="0" w:color="auto"/>
              <w:bottom w:val="single" w:sz="4" w:space="0" w:color="auto"/>
              <w:right w:val="single" w:sz="4" w:space="0" w:color="auto"/>
            </w:tcBorders>
            <w:hideMark/>
          </w:tcPr>
          <w:p w14:paraId="405D4CF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3.3–3.8 GHz</w:t>
            </w:r>
          </w:p>
        </w:tc>
        <w:tc>
          <w:tcPr>
            <w:tcW w:w="1921" w:type="dxa"/>
            <w:tcBorders>
              <w:top w:val="single" w:sz="4" w:space="0" w:color="auto"/>
              <w:left w:val="single" w:sz="4" w:space="0" w:color="auto"/>
              <w:bottom w:val="single" w:sz="4" w:space="0" w:color="auto"/>
              <w:right w:val="single" w:sz="4" w:space="0" w:color="auto"/>
            </w:tcBorders>
            <w:hideMark/>
          </w:tcPr>
          <w:p w14:paraId="565D67A2"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Urban/macro coverage</w:t>
            </w:r>
          </w:p>
        </w:tc>
        <w:tc>
          <w:tcPr>
            <w:tcW w:w="1751" w:type="dxa"/>
            <w:tcBorders>
              <w:top w:val="single" w:sz="4" w:space="0" w:color="auto"/>
              <w:left w:val="single" w:sz="4" w:space="0" w:color="auto"/>
              <w:bottom w:val="single" w:sz="4" w:space="0" w:color="auto"/>
              <w:right w:val="single" w:sz="4" w:space="0" w:color="auto"/>
            </w:tcBorders>
            <w:hideMark/>
          </w:tcPr>
          <w:p w14:paraId="585D9787"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T-Mobile 5G (n78)</w:t>
            </w:r>
          </w:p>
        </w:tc>
      </w:tr>
      <w:tr w:rsidR="002A655F" w:rsidRPr="006A69D3" w14:paraId="779EAAAA" w14:textId="77777777" w:rsidTr="002A655F">
        <w:trPr>
          <w:trHeight w:val="209"/>
        </w:trPr>
        <w:tc>
          <w:tcPr>
            <w:tcW w:w="1271" w:type="dxa"/>
            <w:vMerge/>
            <w:tcBorders>
              <w:left w:val="single" w:sz="4" w:space="0" w:color="auto"/>
              <w:bottom w:val="single" w:sz="4" w:space="0" w:color="auto"/>
              <w:right w:val="single" w:sz="4" w:space="0" w:color="auto"/>
            </w:tcBorders>
            <w:hideMark/>
          </w:tcPr>
          <w:p w14:paraId="04ED4293" w14:textId="77777777" w:rsidR="002A655F" w:rsidRPr="00E4365D" w:rsidRDefault="002A655F" w:rsidP="002A655F">
            <w:pPr>
              <w:jc w:val="left"/>
              <w:rPr>
                <w:rFonts w:ascii="Times New Roman" w:hAnsi="Times New Roman" w:cs="Times New Roman"/>
                <w:b/>
                <w:sz w:val="12"/>
                <w:szCs w:val="12"/>
              </w:rPr>
            </w:pPr>
          </w:p>
        </w:tc>
        <w:tc>
          <w:tcPr>
            <w:tcW w:w="1134" w:type="dxa"/>
            <w:tcBorders>
              <w:top w:val="single" w:sz="4" w:space="0" w:color="auto"/>
              <w:left w:val="single" w:sz="4" w:space="0" w:color="auto"/>
              <w:bottom w:val="single" w:sz="4" w:space="0" w:color="auto"/>
              <w:right w:val="single" w:sz="4" w:space="0" w:color="auto"/>
            </w:tcBorders>
            <w:hideMark/>
          </w:tcPr>
          <w:p w14:paraId="1D1FBE19"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mmWave</w:t>
            </w:r>
          </w:p>
        </w:tc>
        <w:tc>
          <w:tcPr>
            <w:tcW w:w="1134" w:type="dxa"/>
            <w:tcBorders>
              <w:top w:val="single" w:sz="4" w:space="0" w:color="auto"/>
              <w:left w:val="single" w:sz="4" w:space="0" w:color="auto"/>
              <w:bottom w:val="single" w:sz="4" w:space="0" w:color="auto"/>
              <w:right w:val="single" w:sz="4" w:space="0" w:color="auto"/>
            </w:tcBorders>
            <w:hideMark/>
          </w:tcPr>
          <w:p w14:paraId="65CC7D80"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n258/n260</w:t>
            </w:r>
          </w:p>
        </w:tc>
        <w:tc>
          <w:tcPr>
            <w:tcW w:w="1276" w:type="dxa"/>
            <w:tcBorders>
              <w:top w:val="single" w:sz="4" w:space="0" w:color="auto"/>
              <w:left w:val="single" w:sz="4" w:space="0" w:color="auto"/>
              <w:bottom w:val="single" w:sz="4" w:space="0" w:color="auto"/>
              <w:right w:val="single" w:sz="4" w:space="0" w:color="auto"/>
            </w:tcBorders>
            <w:hideMark/>
          </w:tcPr>
          <w:p w14:paraId="70F78F15"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24–40 GHz</w:t>
            </w:r>
          </w:p>
        </w:tc>
        <w:tc>
          <w:tcPr>
            <w:tcW w:w="1921" w:type="dxa"/>
            <w:tcBorders>
              <w:top w:val="single" w:sz="4" w:space="0" w:color="auto"/>
              <w:left w:val="single" w:sz="4" w:space="0" w:color="auto"/>
              <w:bottom w:val="single" w:sz="4" w:space="0" w:color="auto"/>
              <w:right w:val="single" w:sz="4" w:space="0" w:color="auto"/>
            </w:tcBorders>
            <w:hideMark/>
          </w:tcPr>
          <w:p w14:paraId="643914EF"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Ultra-high-speed hotspots</w:t>
            </w:r>
          </w:p>
        </w:tc>
        <w:tc>
          <w:tcPr>
            <w:tcW w:w="1751" w:type="dxa"/>
            <w:tcBorders>
              <w:top w:val="single" w:sz="4" w:space="0" w:color="auto"/>
              <w:left w:val="single" w:sz="4" w:space="0" w:color="auto"/>
              <w:bottom w:val="single" w:sz="4" w:space="0" w:color="auto"/>
              <w:right w:val="single" w:sz="4" w:space="0" w:color="auto"/>
            </w:tcBorders>
            <w:hideMark/>
          </w:tcPr>
          <w:p w14:paraId="7CE4FBD9" w14:textId="77777777" w:rsidR="002A655F" w:rsidRPr="00E4365D" w:rsidRDefault="002A655F" w:rsidP="002A655F">
            <w:pPr>
              <w:jc w:val="left"/>
              <w:rPr>
                <w:rFonts w:ascii="Times New Roman" w:hAnsi="Times New Roman" w:cs="Times New Roman"/>
                <w:sz w:val="12"/>
                <w:szCs w:val="12"/>
              </w:rPr>
            </w:pPr>
            <w:r w:rsidRPr="00E4365D">
              <w:rPr>
                <w:rFonts w:ascii="Times New Roman" w:hAnsi="Times New Roman" w:cs="Times New Roman"/>
                <w:sz w:val="12"/>
                <w:szCs w:val="12"/>
              </w:rPr>
              <w:t>Verizon 5G Ultra Wideband (n260)</w:t>
            </w:r>
          </w:p>
        </w:tc>
      </w:tr>
    </w:tbl>
    <w:p w14:paraId="5F8868FF" w14:textId="0F30EAE9"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4FBB5F16" w14:textId="623BBA96"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28720667" w14:textId="396C6533"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0E732FD2" w14:textId="73FE3A0B"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7B059F05" w14:textId="21B279BB"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56F4B899" w14:textId="055AB23B"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03744373" w14:textId="1E4C473B"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6F555B9A" w14:textId="38A8137D"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230075A8" w14:textId="63AE804D"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387CF4BF" w14:textId="2CC61702" w:rsidR="00E4365D" w:rsidRDefault="00E4365D" w:rsidP="00DE7500">
      <w:pPr>
        <w:pStyle w:val="ds-markdown-paragraph"/>
        <w:shd w:val="clear" w:color="auto" w:fill="FFFFFF"/>
        <w:spacing w:before="0" w:beforeAutospacing="0" w:after="0" w:afterAutospacing="0"/>
        <w:jc w:val="both"/>
        <w:rPr>
          <w:rFonts w:ascii="-apple-system" w:hAnsi="-apple-system"/>
          <w:color w:val="0F1115"/>
          <w:shd w:val="clear" w:color="auto" w:fill="FFFFFF"/>
        </w:rPr>
      </w:pPr>
    </w:p>
    <w:p w14:paraId="7331E292" w14:textId="2D8346C0" w:rsidR="00130914" w:rsidRDefault="00130914"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203DFF6E" w14:textId="4A1F413A" w:rsidR="001B42DA" w:rsidRDefault="001B42DA"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2C16273D" w14:textId="68EC087A" w:rsidR="001B42DA" w:rsidRDefault="001B42DA"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420E2ECD" w14:textId="35263954" w:rsidR="001B42DA" w:rsidRDefault="001B42DA"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1672109A" w14:textId="77777777" w:rsidR="001B42DA" w:rsidRDefault="001B42DA" w:rsidP="00B648EE">
      <w:pPr>
        <w:widowControl/>
        <w:shd w:val="clear" w:color="auto" w:fill="FFFFFF"/>
        <w:spacing w:before="40" w:after="40"/>
        <w:ind w:left="113"/>
        <w:jc w:val="left"/>
        <w:rPr>
          <w:rFonts w:ascii="Times New Roman" w:eastAsia="Times New Roman" w:hAnsi="Times New Roman" w:cs="Times New Roman"/>
          <w:b/>
          <w:bCs/>
          <w:color w:val="0F1115"/>
          <w:kern w:val="0"/>
          <w:szCs w:val="21"/>
          <w:lang w:val="en-GB"/>
        </w:rPr>
      </w:pPr>
    </w:p>
    <w:p w14:paraId="0E120950" w14:textId="77777777" w:rsidR="002A655F" w:rsidRDefault="002A655F" w:rsidP="00CF44DA">
      <w:pPr>
        <w:widowControl/>
        <w:shd w:val="clear" w:color="auto" w:fill="FFFFFF"/>
        <w:spacing w:before="40" w:after="80"/>
        <w:ind w:left="227"/>
        <w:rPr>
          <w:rFonts w:ascii="Times New Roman" w:eastAsia="Times New Roman" w:hAnsi="Times New Roman" w:cs="Times New Roman"/>
          <w:b/>
          <w:bCs/>
          <w:color w:val="0F1115"/>
          <w:kern w:val="0"/>
          <w:szCs w:val="21"/>
          <w:lang w:val="en-GB"/>
        </w:rPr>
      </w:pPr>
    </w:p>
    <w:p w14:paraId="299B4102" w14:textId="514CE5A0" w:rsidR="00E50FD1" w:rsidRPr="00E4365D" w:rsidRDefault="00E50FD1" w:rsidP="00CF44DA">
      <w:pPr>
        <w:widowControl/>
        <w:shd w:val="clear" w:color="auto" w:fill="FFFFFF"/>
        <w:spacing w:before="40" w:after="80"/>
        <w:ind w:left="227"/>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A. Multi-Layer Cell Stack Problem</w:t>
      </w:r>
      <w:r w:rsidR="001A5DD0" w:rsidRPr="00E4365D">
        <w:rPr>
          <w:rFonts w:ascii="Times New Roman" w:eastAsia="Times New Roman" w:hAnsi="Times New Roman" w:cs="Times New Roman"/>
          <w:color w:val="0F1115"/>
          <w:kern w:val="0"/>
          <w:szCs w:val="21"/>
          <w:lang w:val="en-GB"/>
        </w:rPr>
        <w:t xml:space="preserve">: </w:t>
      </w:r>
      <w:r w:rsidRPr="00E4365D">
        <w:rPr>
          <w:rFonts w:ascii="Times New Roman" w:hAnsi="Times New Roman" w:cs="Times New Roman"/>
          <w:color w:val="0F1115"/>
          <w:szCs w:val="21"/>
          <w:shd w:val="clear" w:color="auto" w:fill="FFFFFF"/>
        </w:rPr>
        <w:t xml:space="preserve">At any location, a UE will be within range of a vertical stack of cells from different network layers (e.g., a terrestrial cell, a UAV, a HAPS platform, and a LEO satellite). Current cell </w:t>
      </w:r>
      <w:r w:rsidR="00E717E5">
        <w:rPr>
          <w:rFonts w:ascii="Times New Roman" w:hAnsi="Times New Roman" w:cs="Times New Roman"/>
          <w:color w:val="0F1115"/>
          <w:szCs w:val="21"/>
          <w:shd w:val="clear" w:color="auto" w:fill="FFFFFF"/>
        </w:rPr>
        <w:t xml:space="preserve">5G </w:t>
      </w:r>
      <w:r w:rsidRPr="00E4365D">
        <w:rPr>
          <w:rFonts w:ascii="Times New Roman" w:hAnsi="Times New Roman" w:cs="Times New Roman"/>
          <w:color w:val="0F1115"/>
          <w:szCs w:val="21"/>
          <w:shd w:val="clear" w:color="auto" w:fill="FFFFFF"/>
        </w:rPr>
        <w:t xml:space="preserve">addressing schemes, which use a ground-referenced Mapped Cell ID, are insufficient as they ignore altitude and the 3D nature of the network. This </w:t>
      </w:r>
      <w:r w:rsidR="00FD54EE">
        <w:rPr>
          <w:rFonts w:ascii="Times New Roman" w:hAnsi="Times New Roman" w:cs="Times New Roman"/>
          <w:color w:val="0F1115"/>
          <w:szCs w:val="21"/>
          <w:shd w:val="clear" w:color="auto" w:fill="FFFFFF"/>
        </w:rPr>
        <w:t xml:space="preserve">would </w:t>
      </w:r>
      <w:r w:rsidRPr="00E4365D">
        <w:rPr>
          <w:rFonts w:ascii="Times New Roman" w:hAnsi="Times New Roman" w:cs="Times New Roman"/>
          <w:color w:val="0F1115"/>
          <w:szCs w:val="21"/>
          <w:shd w:val="clear" w:color="auto" w:fill="FFFFFF"/>
        </w:rPr>
        <w:t>prevent</w:t>
      </w:r>
      <w:r w:rsidR="00FD54EE">
        <w:rPr>
          <w:rFonts w:ascii="Times New Roman" w:hAnsi="Times New Roman" w:cs="Times New Roman"/>
          <w:color w:val="0F1115"/>
          <w:szCs w:val="21"/>
          <w:shd w:val="clear" w:color="auto" w:fill="FFFFFF"/>
        </w:rPr>
        <w:t xml:space="preserve"> UE from</w:t>
      </w:r>
      <w:r w:rsidR="00FD54EE" w:rsidRPr="00E4365D">
        <w:rPr>
          <w:rFonts w:ascii="Times New Roman" w:hAnsi="Times New Roman" w:cs="Times New Roman"/>
          <w:color w:val="0F1115"/>
          <w:szCs w:val="21"/>
          <w:shd w:val="clear" w:color="auto" w:fill="FFFFFF"/>
        </w:rPr>
        <w:t xml:space="preserve"> intelligent</w:t>
      </w:r>
      <w:r w:rsidRPr="00E4365D">
        <w:rPr>
          <w:rFonts w:ascii="Times New Roman" w:hAnsi="Times New Roman" w:cs="Times New Roman"/>
          <w:color w:val="0F1115"/>
          <w:szCs w:val="21"/>
          <w:shd w:val="clear" w:color="auto" w:fill="FFFFFF"/>
        </w:rPr>
        <w:t xml:space="preserve"> network node selection. For example, an </w:t>
      </w:r>
      <w:r w:rsidR="00FD54EE" w:rsidRPr="00E4365D">
        <w:rPr>
          <w:rFonts w:ascii="Times New Roman" w:hAnsi="Times New Roman" w:cs="Times New Roman"/>
          <w:color w:val="0F1115"/>
          <w:szCs w:val="21"/>
          <w:shd w:val="clear" w:color="auto" w:fill="FFFFFF"/>
        </w:rPr>
        <w:t>in-flight</w:t>
      </w:r>
      <w:r w:rsidRPr="00E4365D">
        <w:rPr>
          <w:rFonts w:ascii="Times New Roman" w:hAnsi="Times New Roman" w:cs="Times New Roman"/>
          <w:color w:val="0F1115"/>
          <w:szCs w:val="21"/>
          <w:shd w:val="clear" w:color="auto" w:fill="FFFFFF"/>
        </w:rPr>
        <w:t xml:space="preserve"> UE</w:t>
      </w:r>
      <w:r w:rsidR="00FD54EE">
        <w:rPr>
          <w:rFonts w:ascii="Times New Roman" w:hAnsi="Times New Roman" w:cs="Times New Roman"/>
          <w:color w:val="0F1115"/>
          <w:szCs w:val="21"/>
          <w:shd w:val="clear" w:color="auto" w:fill="FFFFFF"/>
        </w:rPr>
        <w:t xml:space="preserve"> in air</w:t>
      </w:r>
      <w:r w:rsidRPr="00E4365D">
        <w:rPr>
          <w:rFonts w:ascii="Times New Roman" w:hAnsi="Times New Roman" w:cs="Times New Roman"/>
          <w:color w:val="0F1115"/>
          <w:szCs w:val="21"/>
          <w:shd w:val="clear" w:color="auto" w:fill="FFFFFF"/>
        </w:rPr>
        <w:t xml:space="preserve"> (e.g., </w:t>
      </w:r>
      <w:r w:rsidR="00FD54EE" w:rsidRPr="00E4365D">
        <w:rPr>
          <w:rFonts w:ascii="Times New Roman" w:hAnsi="Times New Roman" w:cs="Times New Roman"/>
          <w:color w:val="0F1115"/>
          <w:szCs w:val="21"/>
          <w:shd w:val="clear" w:color="auto" w:fill="FFFFFF"/>
        </w:rPr>
        <w:t xml:space="preserve">a drone </w:t>
      </w:r>
      <w:r w:rsidR="00FD54EE">
        <w:rPr>
          <w:rFonts w:ascii="Times New Roman" w:hAnsi="Times New Roman" w:cs="Times New Roman"/>
          <w:color w:val="0F1115"/>
          <w:szCs w:val="21"/>
          <w:shd w:val="clear" w:color="auto" w:fill="FFFFFF"/>
        </w:rPr>
        <w:t xml:space="preserve">UE or </w:t>
      </w:r>
      <w:r w:rsidRPr="00E4365D">
        <w:rPr>
          <w:rFonts w:ascii="Times New Roman" w:hAnsi="Times New Roman" w:cs="Times New Roman"/>
          <w:color w:val="0F1115"/>
          <w:szCs w:val="21"/>
          <w:shd w:val="clear" w:color="auto" w:fill="FFFFFF"/>
        </w:rPr>
        <w:t xml:space="preserve">in </w:t>
      </w:r>
      <w:r w:rsidR="00FD54EE">
        <w:rPr>
          <w:rFonts w:ascii="Times New Roman" w:hAnsi="Times New Roman" w:cs="Times New Roman"/>
          <w:color w:val="0F1115"/>
          <w:szCs w:val="21"/>
          <w:shd w:val="clear" w:color="auto" w:fill="FFFFFF"/>
        </w:rPr>
        <w:t>a helicopter,</w:t>
      </w:r>
      <w:r w:rsidRPr="00E4365D">
        <w:rPr>
          <w:rFonts w:ascii="Times New Roman" w:hAnsi="Times New Roman" w:cs="Times New Roman"/>
          <w:color w:val="0F1115"/>
          <w:szCs w:val="21"/>
          <w:shd w:val="clear" w:color="auto" w:fill="FFFFFF"/>
        </w:rPr>
        <w:t xml:space="preserve">) should select a HAPS or LEO cell, not a ground-based </w:t>
      </w:r>
      <w:r w:rsidR="00FD54EE">
        <w:rPr>
          <w:rFonts w:ascii="Times New Roman" w:hAnsi="Times New Roman" w:cs="Times New Roman"/>
          <w:color w:val="0F1115"/>
          <w:szCs w:val="21"/>
          <w:shd w:val="clear" w:color="auto" w:fill="FFFFFF"/>
        </w:rPr>
        <w:t>cell</w:t>
      </w:r>
      <w:r w:rsidRPr="00E4365D">
        <w:rPr>
          <w:rFonts w:ascii="Times New Roman" w:hAnsi="Times New Roman" w:cs="Times New Roman"/>
          <w:color w:val="0F1115"/>
          <w:szCs w:val="21"/>
          <w:shd w:val="clear" w:color="auto" w:fill="FFFFFF"/>
        </w:rPr>
        <w:t>.</w:t>
      </w:r>
    </w:p>
    <w:p w14:paraId="762FFD4E" w14:textId="66120F05" w:rsidR="00E50FD1" w:rsidRPr="00E4365D" w:rsidRDefault="00E50FD1" w:rsidP="00CF44DA">
      <w:pPr>
        <w:widowControl/>
        <w:shd w:val="clear" w:color="auto" w:fill="FFFFFF"/>
        <w:spacing w:before="40" w:after="40"/>
        <w:ind w:left="227"/>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B. Non-Invertible PCI Confusion</w:t>
      </w:r>
      <w:r w:rsidRPr="00E4365D">
        <w:rPr>
          <w:rFonts w:ascii="Times New Roman" w:eastAsia="Times New Roman" w:hAnsi="Times New Roman" w:cs="Times New Roman"/>
          <w:color w:val="0F1115"/>
          <w:kern w:val="0"/>
          <w:szCs w:val="21"/>
          <w:lang w:val="en-GB"/>
        </w:rPr>
        <w:t xml:space="preserve">:  </w:t>
      </w:r>
      <w:r w:rsidRPr="00E4365D">
        <w:rPr>
          <w:rFonts w:ascii="Times New Roman" w:hAnsi="Times New Roman" w:cs="Times New Roman"/>
          <w:color w:val="0F1115"/>
          <w:szCs w:val="21"/>
          <w:shd w:val="clear" w:color="auto" w:fill="FFFFFF"/>
        </w:rPr>
        <w:t xml:space="preserve">The shared spectrum and mobility of NTN platforms make coverage overlap a common scenario. Under such a scenario it is very likely that a terrestrial cell, a LEO satellite beam, and a HAPS beam covering the same geographical area </w:t>
      </w:r>
      <w:r w:rsidR="001A5DD0" w:rsidRPr="00E4365D">
        <w:rPr>
          <w:rFonts w:ascii="Times New Roman" w:hAnsi="Times New Roman" w:cs="Times New Roman"/>
          <w:color w:val="0F1115"/>
          <w:szCs w:val="21"/>
          <w:shd w:val="clear" w:color="auto" w:fill="FFFFFF"/>
        </w:rPr>
        <w:t>to</w:t>
      </w:r>
      <w:r w:rsidRPr="00E4365D">
        <w:rPr>
          <w:rFonts w:ascii="Times New Roman" w:hAnsi="Times New Roman" w:cs="Times New Roman"/>
          <w:color w:val="0F1115"/>
          <w:szCs w:val="21"/>
          <w:shd w:val="clear" w:color="auto" w:fill="FFFFFF"/>
        </w:rPr>
        <w:t xml:space="preserve"> share the same Physical Cell Identity (PCI) range (0-1007). In such a case, a UE detecting a specific PCI cannot natively determine whether it originates from a terrestrial base station or a non-terrestrial platform. This leads to pervasive PCI confusion, where a serving cell has multiple neighboring cells using the same PCI, resulting in:</w:t>
      </w:r>
    </w:p>
    <w:p w14:paraId="2A6DAEFD" w14:textId="77777777" w:rsidR="00E50FD1" w:rsidRPr="00E4365D" w:rsidRDefault="00E50FD1" w:rsidP="00FD54EE">
      <w:pPr>
        <w:widowControl/>
        <w:numPr>
          <w:ilvl w:val="0"/>
          <w:numId w:val="13"/>
        </w:numPr>
        <w:shd w:val="clear" w:color="auto" w:fill="FFFFFF"/>
        <w:ind w:left="584" w:hanging="357"/>
        <w:jc w:val="left"/>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Failed Connection Attempts:</w:t>
      </w:r>
      <w:r w:rsidRPr="00E4365D">
        <w:rPr>
          <w:rFonts w:ascii="Times New Roman" w:eastAsia="Times New Roman" w:hAnsi="Times New Roman" w:cs="Times New Roman"/>
          <w:color w:val="0F1115"/>
          <w:kern w:val="0"/>
          <w:szCs w:val="21"/>
          <w:lang w:val="en-GB"/>
        </w:rPr>
        <w:t> Applying inappropriate access parameters leads to radio link failure.</w:t>
      </w:r>
    </w:p>
    <w:p w14:paraId="4CDEEC90" w14:textId="172BBA79" w:rsidR="00E50FD1" w:rsidRPr="00E4365D" w:rsidRDefault="00E50FD1" w:rsidP="00FD54EE">
      <w:pPr>
        <w:widowControl/>
        <w:numPr>
          <w:ilvl w:val="0"/>
          <w:numId w:val="13"/>
        </w:numPr>
        <w:shd w:val="clear" w:color="auto" w:fill="FFFFFF"/>
        <w:ind w:left="584" w:hanging="357"/>
        <w:jc w:val="left"/>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Incorrect Handover</w:t>
      </w:r>
      <w:r w:rsidR="00CF44DA">
        <w:rPr>
          <w:rFonts w:ascii="Times New Roman" w:eastAsia="Times New Roman" w:hAnsi="Times New Roman" w:cs="Times New Roman"/>
          <w:b/>
          <w:bCs/>
          <w:color w:val="0F1115"/>
          <w:kern w:val="0"/>
          <w:szCs w:val="21"/>
          <w:lang w:val="en-GB"/>
        </w:rPr>
        <w:t>/reselection</w:t>
      </w:r>
      <w:r w:rsidRPr="00E4365D">
        <w:rPr>
          <w:rFonts w:ascii="Times New Roman" w:eastAsia="Times New Roman" w:hAnsi="Times New Roman" w:cs="Times New Roman"/>
          <w:b/>
          <w:bCs/>
          <w:color w:val="0F1115"/>
          <w:kern w:val="0"/>
          <w:szCs w:val="21"/>
          <w:lang w:val="en-GB"/>
        </w:rPr>
        <w:t xml:space="preserve"> Decisions:</w:t>
      </w:r>
      <w:r w:rsidRPr="00E4365D">
        <w:rPr>
          <w:rFonts w:ascii="Times New Roman" w:eastAsia="Times New Roman" w:hAnsi="Times New Roman" w:cs="Times New Roman"/>
          <w:color w:val="0F1115"/>
          <w:kern w:val="0"/>
          <w:szCs w:val="21"/>
          <w:lang w:val="en-GB"/>
        </w:rPr>
        <w:t> The network may hand the UE to the wrong cell type.</w:t>
      </w:r>
    </w:p>
    <w:p w14:paraId="1F26232F" w14:textId="6AAF53F9" w:rsidR="00E50FD1" w:rsidRPr="00E4365D" w:rsidRDefault="00E50FD1" w:rsidP="00FD54EE">
      <w:pPr>
        <w:widowControl/>
        <w:numPr>
          <w:ilvl w:val="0"/>
          <w:numId w:val="13"/>
        </w:numPr>
        <w:shd w:val="clear" w:color="auto" w:fill="FFFFFF"/>
        <w:ind w:left="584" w:hanging="357"/>
        <w:jc w:val="left"/>
        <w:rPr>
          <w:rFonts w:ascii="Times New Roman" w:eastAsia="Times New Roman" w:hAnsi="Times New Roman" w:cs="Times New Roman"/>
          <w:color w:val="0F1115"/>
          <w:kern w:val="0"/>
          <w:szCs w:val="21"/>
          <w:lang w:val="en-GB"/>
        </w:rPr>
      </w:pPr>
      <w:r w:rsidRPr="00E4365D">
        <w:rPr>
          <w:rFonts w:ascii="Times New Roman" w:eastAsia="Times New Roman" w:hAnsi="Times New Roman" w:cs="Times New Roman"/>
          <w:b/>
          <w:bCs/>
          <w:color w:val="0F1115"/>
          <w:kern w:val="0"/>
          <w:szCs w:val="21"/>
          <w:lang w:val="en-GB"/>
        </w:rPr>
        <w:t>Increased Handover Delays:</w:t>
      </w:r>
      <w:r w:rsidRPr="00E4365D">
        <w:rPr>
          <w:rFonts w:ascii="Times New Roman" w:eastAsia="Times New Roman" w:hAnsi="Times New Roman" w:cs="Times New Roman"/>
          <w:color w:val="0F1115"/>
          <w:kern w:val="0"/>
          <w:szCs w:val="21"/>
          <w:lang w:val="en-GB"/>
        </w:rPr>
        <w:t> Resolving the ambiguity requires extra measurements, increasing latency and causing potential call drops.</w:t>
      </w:r>
    </w:p>
    <w:p w14:paraId="31C2407F" w14:textId="5C3759BE" w:rsidR="00E50FD1" w:rsidRPr="00724609" w:rsidRDefault="00E50FD1" w:rsidP="00724609">
      <w:pPr>
        <w:pStyle w:val="ds-markdown-paragraph"/>
        <w:numPr>
          <w:ilvl w:val="0"/>
          <w:numId w:val="8"/>
        </w:numPr>
        <w:shd w:val="clear" w:color="auto" w:fill="FFFFFF"/>
        <w:spacing w:before="40" w:beforeAutospacing="0" w:after="40" w:afterAutospacing="0"/>
        <w:ind w:left="470" w:hanging="357"/>
        <w:rPr>
          <w:b/>
          <w:sz w:val="21"/>
          <w:szCs w:val="21"/>
        </w:rPr>
      </w:pPr>
      <w:r w:rsidRPr="009B5CC6">
        <w:rPr>
          <w:b/>
        </w:rPr>
        <w:t xml:space="preserve">Observation </w:t>
      </w:r>
      <w:r w:rsidR="002A655F">
        <w:rPr>
          <w:b/>
        </w:rPr>
        <w:t>1</w:t>
      </w:r>
      <w:r w:rsidRPr="00724609">
        <w:t>:</w:t>
      </w:r>
      <w:r w:rsidRPr="00724609">
        <w:rPr>
          <w:b/>
          <w:sz w:val="21"/>
          <w:szCs w:val="21"/>
        </w:rPr>
        <w:t> The multi-dimensional coverage and shared spectrum in a unified 6G TN/NTN network introduce critical cell addressing challenges, including the multi-layer cell stack problem and non-invertible PCI confusion, which hinder intelligent initial access and mobility management</w:t>
      </w:r>
    </w:p>
    <w:p w14:paraId="04311996" w14:textId="632FB454" w:rsidR="00E50FD1" w:rsidRPr="00724609" w:rsidRDefault="00E50FD1" w:rsidP="00724609">
      <w:pPr>
        <w:pStyle w:val="ds-markdown-paragraph"/>
        <w:numPr>
          <w:ilvl w:val="0"/>
          <w:numId w:val="8"/>
        </w:numPr>
        <w:shd w:val="clear" w:color="auto" w:fill="FFFFFF"/>
        <w:spacing w:before="40" w:beforeAutospacing="0" w:after="40" w:afterAutospacing="0"/>
        <w:ind w:left="470" w:hanging="357"/>
        <w:rPr>
          <w:b/>
          <w:sz w:val="21"/>
          <w:szCs w:val="21"/>
        </w:rPr>
      </w:pPr>
      <w:r w:rsidRPr="009B5CC6">
        <w:rPr>
          <w:b/>
        </w:rPr>
        <w:t xml:space="preserve">Proposal </w:t>
      </w:r>
      <w:r w:rsidR="002A655F">
        <w:rPr>
          <w:b/>
        </w:rPr>
        <w:t>1</w:t>
      </w:r>
      <w:r w:rsidRPr="00724609">
        <w:rPr>
          <w:b/>
          <w:sz w:val="21"/>
          <w:szCs w:val="21"/>
        </w:rPr>
        <w:t>: Study and specify new TN/NTN-aware cell addressing</w:t>
      </w:r>
      <w:r w:rsidR="009B5CC6">
        <w:rPr>
          <w:b/>
          <w:sz w:val="21"/>
          <w:szCs w:val="21"/>
        </w:rPr>
        <w:t xml:space="preserve"> and identification</w:t>
      </w:r>
      <w:r w:rsidRPr="00724609">
        <w:rPr>
          <w:b/>
          <w:sz w:val="21"/>
          <w:szCs w:val="21"/>
        </w:rPr>
        <w:t xml:space="preserve"> architecture for 6G robust initial access and seamless mobility</w:t>
      </w:r>
      <w:bookmarkStart w:id="8" w:name="_GoBack"/>
      <w:bookmarkEnd w:id="8"/>
      <w:r w:rsidRPr="00724609">
        <w:rPr>
          <w:b/>
          <w:sz w:val="21"/>
          <w:szCs w:val="21"/>
        </w:rPr>
        <w:t>.</w:t>
      </w:r>
    </w:p>
    <w:p w14:paraId="7F9A97A9" w14:textId="57855743" w:rsidR="00CD6D96" w:rsidRPr="002655C0" w:rsidRDefault="00332B84" w:rsidP="00282827">
      <w:pPr>
        <w:pStyle w:val="Heading2"/>
        <w:numPr>
          <w:ilvl w:val="1"/>
          <w:numId w:val="3"/>
        </w:numPr>
        <w:tabs>
          <w:tab w:val="clear" w:pos="756"/>
          <w:tab w:val="left" w:pos="420"/>
        </w:tabs>
        <w:spacing w:before="180" w:after="120" w:line="240" w:lineRule="auto"/>
        <w:ind w:left="424" w:hanging="424"/>
        <w:rPr>
          <w:rFonts w:ascii="Times New Roman" w:eastAsia="宋体" w:hAnsi="Times New Roman" w:cs="Times New Roman"/>
          <w:sz w:val="24"/>
          <w:szCs w:val="24"/>
          <w:lang w:val="en-US" w:eastAsia="zh-CN"/>
        </w:rPr>
      </w:pPr>
      <w:r w:rsidRPr="002655C0">
        <w:rPr>
          <w:rFonts w:ascii="Times New Roman" w:hAnsi="Times New Roman" w:cs="Times New Roman"/>
          <w:sz w:val="23"/>
          <w:szCs w:val="23"/>
          <w:u w:val="single"/>
        </w:rPr>
        <w:t xml:space="preserve">Unified </w:t>
      </w:r>
      <w:r w:rsidR="00E717E5">
        <w:rPr>
          <w:rFonts w:ascii="Times New Roman" w:hAnsi="Times New Roman" w:cs="Times New Roman"/>
          <w:sz w:val="23"/>
          <w:szCs w:val="23"/>
          <w:u w:val="single"/>
        </w:rPr>
        <w:t xml:space="preserve">TN/NTN </w:t>
      </w:r>
      <w:r w:rsidRPr="002655C0">
        <w:rPr>
          <w:rFonts w:ascii="Times New Roman" w:hAnsi="Times New Roman" w:cs="Times New Roman"/>
          <w:sz w:val="23"/>
          <w:szCs w:val="23"/>
          <w:u w:val="single"/>
        </w:rPr>
        <w:t xml:space="preserve">Radio Interface </w:t>
      </w:r>
    </w:p>
    <w:p w14:paraId="68B91904" w14:textId="6E9EAC87" w:rsidR="00A56021" w:rsidRPr="002655C0" w:rsidRDefault="00A56021" w:rsidP="008C7111">
      <w:pPr>
        <w:pStyle w:val="ds-markdown-paragraph"/>
        <w:shd w:val="clear" w:color="auto" w:fill="FFFFFF"/>
        <w:spacing w:before="0" w:beforeAutospacing="0" w:after="0" w:afterAutospacing="0"/>
        <w:jc w:val="both"/>
        <w:rPr>
          <w:color w:val="0F1115"/>
          <w:sz w:val="21"/>
          <w:szCs w:val="21"/>
          <w:shd w:val="clear" w:color="auto" w:fill="FFFFFF"/>
        </w:rPr>
      </w:pPr>
      <w:r w:rsidRPr="002655C0">
        <w:rPr>
          <w:color w:val="0F1115"/>
          <w:sz w:val="21"/>
          <w:szCs w:val="21"/>
          <w:shd w:val="clear" w:color="auto" w:fill="FFFFFF"/>
        </w:rPr>
        <w:t>A unified 6G air interface must support diverse platforms with vastly different characteristics: propagation delays ranging from milliseconds (TN) to hundreds of milliseconds (GEO), extreme Doppler shifts, heterogeneous link budgets, and distinct channel conditions. Key asymmetries exist in coverage areas, beam characteristics, and dynamic topologies - with LEO constellations and UAVs requiring frequent handovers compared to relatively static GEO and terrestrial networks</w:t>
      </w:r>
      <w:r w:rsidR="008C7111" w:rsidRPr="002655C0">
        <w:rPr>
          <w:color w:val="0F1115"/>
          <w:sz w:val="21"/>
          <w:szCs w:val="21"/>
          <w:shd w:val="clear" w:color="auto" w:fill="FFFFFF"/>
        </w:rPr>
        <w:t xml:space="preserve"> (</w:t>
      </w:r>
      <w:r w:rsidR="008C7111" w:rsidRPr="00765948">
        <w:rPr>
          <w:b/>
          <w:color w:val="0F1115"/>
          <w:sz w:val="21"/>
          <w:szCs w:val="21"/>
          <w:shd w:val="clear" w:color="auto" w:fill="FFFFFF"/>
        </w:rPr>
        <w:t xml:space="preserve">Table </w:t>
      </w:r>
      <w:r w:rsidR="00E4365D">
        <w:rPr>
          <w:b/>
          <w:color w:val="0F1115"/>
          <w:sz w:val="21"/>
          <w:szCs w:val="21"/>
          <w:shd w:val="clear" w:color="auto" w:fill="FFFFFF"/>
        </w:rPr>
        <w:t>2</w:t>
      </w:r>
      <w:r w:rsidR="008C7111" w:rsidRPr="002655C0">
        <w:rPr>
          <w:color w:val="0F1115"/>
          <w:sz w:val="21"/>
          <w:szCs w:val="21"/>
          <w:shd w:val="clear" w:color="auto" w:fill="FFFFFF"/>
        </w:rPr>
        <w:t>)</w:t>
      </w:r>
      <w:r w:rsidRPr="002655C0">
        <w:rPr>
          <w:color w:val="0F1115"/>
          <w:sz w:val="21"/>
          <w:szCs w:val="21"/>
          <w:shd w:val="clear" w:color="auto" w:fill="FFFFFF"/>
        </w:rPr>
        <w:t>.</w:t>
      </w:r>
      <w:r w:rsidR="008C7111" w:rsidRPr="002655C0">
        <w:rPr>
          <w:color w:val="0F1115"/>
          <w:sz w:val="21"/>
          <w:szCs w:val="21"/>
          <w:shd w:val="clear" w:color="auto" w:fill="FFFFFF"/>
        </w:rPr>
        <w:t xml:space="preserve"> </w:t>
      </w:r>
      <w:r w:rsidR="002655C0" w:rsidRPr="002655C0">
        <w:rPr>
          <w:color w:val="0F1115"/>
          <w:sz w:val="21"/>
          <w:szCs w:val="21"/>
          <w:shd w:val="clear" w:color="auto" w:fill="FFFFFF"/>
        </w:rPr>
        <w:t>Current 5G</w:t>
      </w:r>
      <w:r w:rsidR="008C7111" w:rsidRPr="002655C0">
        <w:rPr>
          <w:color w:val="0F1115"/>
          <w:sz w:val="21"/>
          <w:szCs w:val="21"/>
          <w:shd w:val="clear" w:color="auto" w:fill="FFFFFF"/>
        </w:rPr>
        <w:t xml:space="preserve"> </w:t>
      </w:r>
      <w:r w:rsidR="00230343">
        <w:rPr>
          <w:color w:val="0F1115"/>
          <w:sz w:val="21"/>
          <w:szCs w:val="21"/>
          <w:shd w:val="clear" w:color="auto" w:fill="FFFFFF"/>
        </w:rPr>
        <w:t xml:space="preserve">initial </w:t>
      </w:r>
      <w:r w:rsidRPr="002655C0">
        <w:rPr>
          <w:color w:val="0F1115"/>
          <w:sz w:val="21"/>
          <w:szCs w:val="21"/>
          <w:shd w:val="clear" w:color="auto" w:fill="FFFFFF"/>
        </w:rPr>
        <w:t>access</w:t>
      </w:r>
      <w:r w:rsidR="00765948">
        <w:rPr>
          <w:color w:val="0F1115"/>
          <w:sz w:val="21"/>
          <w:szCs w:val="21"/>
          <w:shd w:val="clear" w:color="auto" w:fill="FFFFFF"/>
        </w:rPr>
        <w:t xml:space="preserve"> and </w:t>
      </w:r>
      <w:r w:rsidR="00765948" w:rsidRPr="00765948">
        <w:rPr>
          <w:color w:val="0F1115"/>
          <w:sz w:val="21"/>
          <w:szCs w:val="21"/>
          <w:shd w:val="clear" w:color="auto" w:fill="FFFFFF"/>
        </w:rPr>
        <w:t>RRC framework</w:t>
      </w:r>
      <w:r w:rsidR="00765948">
        <w:rPr>
          <w:color w:val="0F1115"/>
          <w:sz w:val="21"/>
          <w:szCs w:val="21"/>
          <w:shd w:val="clear" w:color="auto" w:fill="FFFFFF"/>
        </w:rPr>
        <w:t xml:space="preserve"> </w:t>
      </w:r>
      <w:r w:rsidRPr="002655C0">
        <w:rPr>
          <w:color w:val="0F1115"/>
          <w:sz w:val="21"/>
          <w:szCs w:val="21"/>
          <w:shd w:val="clear" w:color="auto" w:fill="FFFFFF"/>
        </w:rPr>
        <w:t>face significant challenges in these mixed environments</w:t>
      </w:r>
      <w:r w:rsidR="00765948">
        <w:rPr>
          <w:color w:val="0F1115"/>
          <w:sz w:val="21"/>
          <w:szCs w:val="21"/>
          <w:shd w:val="clear" w:color="auto" w:fill="FFFFFF"/>
        </w:rPr>
        <w:t xml:space="preserve"> that</w:t>
      </w:r>
      <w:r w:rsidR="00FA31DF">
        <w:rPr>
          <w:color w:val="0F1115"/>
          <w:sz w:val="21"/>
          <w:szCs w:val="21"/>
          <w:shd w:val="clear" w:color="auto" w:fill="FFFFFF"/>
        </w:rPr>
        <w:t xml:space="preserve"> demand</w:t>
      </w:r>
      <w:r w:rsidR="00765948" w:rsidRPr="00765948">
        <w:rPr>
          <w:color w:val="0F1115"/>
          <w:sz w:val="21"/>
          <w:szCs w:val="21"/>
          <w:shd w:val="clear" w:color="auto" w:fill="FFFFFF"/>
        </w:rPr>
        <w:t xml:space="preserve"> a flexible waveform and air interface configuration</w:t>
      </w:r>
      <w:r w:rsidRPr="002655C0">
        <w:rPr>
          <w:color w:val="0F1115"/>
          <w:sz w:val="21"/>
          <w:szCs w:val="21"/>
          <w:shd w:val="clear" w:color="auto" w:fill="FFFFFF"/>
        </w:rPr>
        <w:t xml:space="preserve">. This creates a fundamental requirement for </w:t>
      </w:r>
      <w:r w:rsidR="00BC54F2">
        <w:rPr>
          <w:color w:val="0F1115"/>
          <w:sz w:val="21"/>
          <w:szCs w:val="21"/>
          <w:shd w:val="clear" w:color="auto" w:fill="FFFFFF"/>
        </w:rPr>
        <w:t xml:space="preserve">unified and TN/NTN </w:t>
      </w:r>
      <w:r w:rsidRPr="002655C0">
        <w:rPr>
          <w:color w:val="0F1115"/>
          <w:sz w:val="21"/>
          <w:szCs w:val="21"/>
          <w:shd w:val="clear" w:color="auto" w:fill="FFFFFF"/>
        </w:rPr>
        <w:t xml:space="preserve">platform-agnostic initial access and </w:t>
      </w:r>
      <w:bookmarkStart w:id="9" w:name="OLE_LINK113"/>
      <w:bookmarkStart w:id="10" w:name="OLE_LINK114"/>
      <w:r w:rsidRPr="002655C0">
        <w:rPr>
          <w:color w:val="0F1115"/>
          <w:sz w:val="21"/>
          <w:szCs w:val="21"/>
          <w:shd w:val="clear" w:color="auto" w:fill="FFFFFF"/>
        </w:rPr>
        <w:t>connection</w:t>
      </w:r>
      <w:bookmarkEnd w:id="9"/>
      <w:bookmarkEnd w:id="10"/>
      <w:r w:rsidR="00C522EF">
        <w:rPr>
          <w:color w:val="0F1115"/>
          <w:sz w:val="21"/>
          <w:szCs w:val="21"/>
          <w:shd w:val="clear" w:color="auto" w:fill="FFFFFF"/>
        </w:rPr>
        <w:t xml:space="preserve"> </w:t>
      </w:r>
      <w:r w:rsidR="00BC54F2" w:rsidRPr="00580B09">
        <w:rPr>
          <w:color w:val="0F1115"/>
          <w:sz w:val="21"/>
          <w:szCs w:val="21"/>
          <w:shd w:val="clear" w:color="auto" w:fill="FFFFFF"/>
        </w:rPr>
        <w:t>management</w:t>
      </w:r>
      <w:r w:rsidRPr="002655C0">
        <w:rPr>
          <w:color w:val="0F1115"/>
          <w:sz w:val="21"/>
          <w:szCs w:val="21"/>
          <w:shd w:val="clear" w:color="auto" w:fill="FFFFFF"/>
        </w:rPr>
        <w:t xml:space="preserve"> </w:t>
      </w:r>
      <w:r w:rsidR="00BC54F2">
        <w:rPr>
          <w:color w:val="0F1115"/>
          <w:sz w:val="21"/>
          <w:szCs w:val="21"/>
          <w:shd w:val="clear" w:color="auto" w:fill="FFFFFF"/>
        </w:rPr>
        <w:t xml:space="preserve">of </w:t>
      </w:r>
      <w:r w:rsidR="00B26F80">
        <w:rPr>
          <w:color w:val="0F1115"/>
          <w:sz w:val="21"/>
          <w:szCs w:val="21"/>
          <w:shd w:val="clear" w:color="auto" w:fill="FFFFFF"/>
        </w:rPr>
        <w:t>6G</w:t>
      </w:r>
      <w:r w:rsidRPr="002655C0">
        <w:rPr>
          <w:color w:val="0F1115"/>
          <w:sz w:val="21"/>
          <w:szCs w:val="21"/>
          <w:shd w:val="clear" w:color="auto" w:fill="FFFFFF"/>
        </w:rPr>
        <w:t xml:space="preserve"> air interface.</w:t>
      </w:r>
    </w:p>
    <w:p w14:paraId="11DF8394" w14:textId="475B5F06" w:rsidR="002A655F" w:rsidRDefault="00A56021" w:rsidP="002A655F">
      <w:pPr>
        <w:pStyle w:val="ds-markdown-paragraph"/>
        <w:numPr>
          <w:ilvl w:val="0"/>
          <w:numId w:val="8"/>
        </w:numPr>
        <w:shd w:val="clear" w:color="auto" w:fill="FFFFFF"/>
        <w:spacing w:before="40" w:beforeAutospacing="0" w:after="40" w:afterAutospacing="0"/>
        <w:ind w:left="470" w:hanging="357"/>
        <w:rPr>
          <w:b/>
          <w:sz w:val="21"/>
          <w:szCs w:val="21"/>
        </w:rPr>
      </w:pPr>
      <w:bookmarkStart w:id="11" w:name="OLE_LINK109"/>
      <w:bookmarkStart w:id="12" w:name="OLE_LINK110"/>
      <w:r w:rsidRPr="002655C0">
        <w:rPr>
          <w:b/>
          <w:sz w:val="21"/>
          <w:szCs w:val="21"/>
        </w:rPr>
        <w:lastRenderedPageBreak/>
        <w:t xml:space="preserve">Observation </w:t>
      </w:r>
      <w:r w:rsidR="002A655F">
        <w:rPr>
          <w:b/>
          <w:sz w:val="21"/>
          <w:szCs w:val="21"/>
        </w:rPr>
        <w:t>2</w:t>
      </w:r>
      <w:r w:rsidRPr="002655C0">
        <w:rPr>
          <w:b/>
          <w:sz w:val="21"/>
          <w:szCs w:val="21"/>
        </w:rPr>
        <w:t xml:space="preserve">: The significant physical layer disparities between TN and NTN platforms necessitate </w:t>
      </w:r>
      <w:r w:rsidR="00554A4A">
        <w:rPr>
          <w:b/>
          <w:sz w:val="21"/>
          <w:szCs w:val="21"/>
        </w:rPr>
        <w:t>unified access and RRC modelling procedures</w:t>
      </w:r>
      <w:r w:rsidRPr="002655C0">
        <w:rPr>
          <w:b/>
          <w:sz w:val="21"/>
          <w:szCs w:val="21"/>
        </w:rPr>
        <w:t xml:space="preserve"> that can automatically adapt to different waveform and</w:t>
      </w:r>
      <w:r w:rsidR="00554A4A">
        <w:rPr>
          <w:b/>
          <w:sz w:val="21"/>
          <w:szCs w:val="21"/>
        </w:rPr>
        <w:t xml:space="preserve"> TN/NTN platform signal characteristics</w:t>
      </w:r>
      <w:r w:rsidRPr="002655C0">
        <w:rPr>
          <w:b/>
          <w:sz w:val="21"/>
          <w:szCs w:val="21"/>
        </w:rPr>
        <w:t>.</w:t>
      </w:r>
    </w:p>
    <w:p w14:paraId="7893D75C" w14:textId="175946C5" w:rsidR="00FA31DF" w:rsidRPr="002A655F" w:rsidRDefault="00A56021" w:rsidP="002A655F">
      <w:pPr>
        <w:pStyle w:val="ds-markdown-paragraph"/>
        <w:numPr>
          <w:ilvl w:val="0"/>
          <w:numId w:val="8"/>
        </w:numPr>
        <w:shd w:val="clear" w:color="auto" w:fill="FFFFFF"/>
        <w:spacing w:before="40" w:beforeAutospacing="0" w:after="40" w:afterAutospacing="0"/>
        <w:ind w:left="470" w:hanging="357"/>
        <w:rPr>
          <w:b/>
          <w:sz w:val="21"/>
          <w:szCs w:val="21"/>
        </w:rPr>
      </w:pPr>
      <w:r w:rsidRPr="002A655F">
        <w:rPr>
          <w:b/>
          <w:sz w:val="21"/>
          <w:szCs w:val="21"/>
        </w:rPr>
        <w:t xml:space="preserve">Proposal </w:t>
      </w:r>
      <w:r w:rsidR="002A655F">
        <w:rPr>
          <w:b/>
          <w:sz w:val="21"/>
          <w:szCs w:val="21"/>
        </w:rPr>
        <w:t>2</w:t>
      </w:r>
      <w:r w:rsidRPr="002A655F">
        <w:rPr>
          <w:b/>
          <w:sz w:val="21"/>
          <w:szCs w:val="21"/>
        </w:rPr>
        <w:t>:</w:t>
      </w:r>
      <w:r w:rsidR="00FA31DF" w:rsidRPr="002A655F">
        <w:rPr>
          <w:b/>
          <w:sz w:val="21"/>
          <w:szCs w:val="21"/>
        </w:rPr>
        <w:t> Study</w:t>
      </w:r>
      <w:r w:rsidRPr="002A655F">
        <w:rPr>
          <w:b/>
          <w:sz w:val="21"/>
          <w:szCs w:val="21"/>
        </w:rPr>
        <w:t xml:space="preserve"> </w:t>
      </w:r>
      <w:r w:rsidR="00554A4A" w:rsidRPr="002A655F">
        <w:rPr>
          <w:b/>
          <w:sz w:val="21"/>
          <w:szCs w:val="21"/>
        </w:rPr>
        <w:t xml:space="preserve">unified </w:t>
      </w:r>
      <w:r w:rsidRPr="002A655F">
        <w:rPr>
          <w:b/>
          <w:sz w:val="21"/>
          <w:szCs w:val="21"/>
        </w:rPr>
        <w:t xml:space="preserve">initial </w:t>
      </w:r>
      <w:r w:rsidR="00965F0F" w:rsidRPr="002A655F">
        <w:rPr>
          <w:b/>
          <w:sz w:val="21"/>
          <w:szCs w:val="21"/>
        </w:rPr>
        <w:t xml:space="preserve">access </w:t>
      </w:r>
      <w:r w:rsidR="00C522EF" w:rsidRPr="002A655F">
        <w:rPr>
          <w:b/>
          <w:sz w:val="21"/>
          <w:szCs w:val="21"/>
        </w:rPr>
        <w:t xml:space="preserve">and connection </w:t>
      </w:r>
      <w:r w:rsidR="00E717E5" w:rsidRPr="002A655F">
        <w:rPr>
          <w:b/>
          <w:sz w:val="21"/>
          <w:szCs w:val="21"/>
        </w:rPr>
        <w:t xml:space="preserve">setup procedures </w:t>
      </w:r>
      <w:r w:rsidRPr="002A655F">
        <w:rPr>
          <w:b/>
          <w:sz w:val="21"/>
          <w:szCs w:val="21"/>
        </w:rPr>
        <w:t>allo</w:t>
      </w:r>
      <w:r w:rsidR="00554A4A" w:rsidRPr="002A655F">
        <w:rPr>
          <w:b/>
          <w:sz w:val="21"/>
          <w:szCs w:val="21"/>
        </w:rPr>
        <w:t>w</w:t>
      </w:r>
      <w:r w:rsidR="00C522EF" w:rsidRPr="002A655F">
        <w:rPr>
          <w:b/>
          <w:sz w:val="21"/>
          <w:szCs w:val="21"/>
        </w:rPr>
        <w:t>ing</w:t>
      </w:r>
      <w:r w:rsidR="00554A4A" w:rsidRPr="002A655F">
        <w:rPr>
          <w:b/>
          <w:sz w:val="21"/>
          <w:szCs w:val="21"/>
        </w:rPr>
        <w:t xml:space="preserve"> UE to access 6G</w:t>
      </w:r>
      <w:r w:rsidR="00E717E5" w:rsidRPr="002A655F">
        <w:rPr>
          <w:b/>
          <w:sz w:val="21"/>
          <w:szCs w:val="21"/>
        </w:rPr>
        <w:t>R</w:t>
      </w:r>
      <w:r w:rsidR="00560292" w:rsidRPr="002A655F">
        <w:rPr>
          <w:b/>
          <w:sz w:val="21"/>
          <w:szCs w:val="21"/>
        </w:rPr>
        <w:t xml:space="preserve"> </w:t>
      </w:r>
      <w:r w:rsidR="008970F4" w:rsidRPr="002A655F">
        <w:rPr>
          <w:b/>
          <w:sz w:val="21"/>
          <w:szCs w:val="21"/>
        </w:rPr>
        <w:t xml:space="preserve">irrespective of </w:t>
      </w:r>
      <w:r w:rsidR="00560292" w:rsidRPr="002A655F">
        <w:rPr>
          <w:b/>
          <w:sz w:val="21"/>
          <w:szCs w:val="21"/>
        </w:rPr>
        <w:t xml:space="preserve">TN/NTN </w:t>
      </w:r>
      <w:r w:rsidR="00FA31DF" w:rsidRPr="002A655F">
        <w:rPr>
          <w:b/>
          <w:sz w:val="21"/>
          <w:szCs w:val="21"/>
        </w:rPr>
        <w:t>platform</w:t>
      </w:r>
      <w:r w:rsidR="00E717E5" w:rsidRPr="002A655F">
        <w:rPr>
          <w:b/>
          <w:sz w:val="21"/>
          <w:szCs w:val="21"/>
        </w:rPr>
        <w:t xml:space="preserve"> </w:t>
      </w:r>
      <w:r w:rsidR="00FA31DF" w:rsidRPr="002A655F">
        <w:rPr>
          <w:b/>
          <w:sz w:val="21"/>
          <w:szCs w:val="21"/>
        </w:rPr>
        <w:t>specific configurations</w:t>
      </w:r>
      <w:r w:rsidR="00B43BFD" w:rsidRPr="002A655F">
        <w:rPr>
          <w:b/>
          <w:sz w:val="21"/>
          <w:szCs w:val="21"/>
        </w:rPr>
        <w:t>.</w:t>
      </w:r>
    </w:p>
    <w:tbl>
      <w:tblPr>
        <w:tblStyle w:val="TableGrid"/>
        <w:tblpPr w:leftFromText="180" w:rightFromText="180" w:vertAnchor="text" w:horzAnchor="margin" w:tblpX="558" w:tblpY="518"/>
        <w:tblW w:w="8609" w:type="dxa"/>
        <w:tblLook w:val="04A0" w:firstRow="1" w:lastRow="0" w:firstColumn="1" w:lastColumn="0" w:noHBand="0" w:noVBand="1"/>
      </w:tblPr>
      <w:tblGrid>
        <w:gridCol w:w="1269"/>
        <w:gridCol w:w="1059"/>
        <w:gridCol w:w="1307"/>
        <w:gridCol w:w="1351"/>
        <w:gridCol w:w="1178"/>
        <w:gridCol w:w="1209"/>
        <w:gridCol w:w="1236"/>
      </w:tblGrid>
      <w:tr w:rsidR="00765948" w:rsidRPr="002655C0" w14:paraId="26D9ED53" w14:textId="77777777" w:rsidTr="00C134EC">
        <w:trPr>
          <w:trHeight w:val="363"/>
        </w:trPr>
        <w:tc>
          <w:tcPr>
            <w:tcW w:w="1269" w:type="dxa"/>
          </w:tcPr>
          <w:bookmarkEnd w:id="11"/>
          <w:bookmarkEnd w:id="12"/>
          <w:p w14:paraId="5AB9DC15" w14:textId="37949BB2"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Parameter</w:t>
            </w:r>
          </w:p>
        </w:tc>
        <w:tc>
          <w:tcPr>
            <w:tcW w:w="1059" w:type="dxa"/>
          </w:tcPr>
          <w:p w14:paraId="273CEE9E"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UAV (Drone)</w:t>
            </w:r>
          </w:p>
        </w:tc>
        <w:tc>
          <w:tcPr>
            <w:tcW w:w="0" w:type="auto"/>
          </w:tcPr>
          <w:p w14:paraId="679AE6D5"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HAPS</w:t>
            </w:r>
          </w:p>
        </w:tc>
        <w:tc>
          <w:tcPr>
            <w:tcW w:w="0" w:type="auto"/>
          </w:tcPr>
          <w:p w14:paraId="3C966580"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LEO Satellite</w:t>
            </w:r>
          </w:p>
        </w:tc>
        <w:tc>
          <w:tcPr>
            <w:tcW w:w="0" w:type="auto"/>
          </w:tcPr>
          <w:p w14:paraId="70C0BD75"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MEO Satellite</w:t>
            </w:r>
          </w:p>
        </w:tc>
        <w:tc>
          <w:tcPr>
            <w:tcW w:w="0" w:type="auto"/>
          </w:tcPr>
          <w:p w14:paraId="2D31292A"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GEO Satellite</w:t>
            </w:r>
          </w:p>
        </w:tc>
        <w:tc>
          <w:tcPr>
            <w:tcW w:w="0" w:type="auto"/>
          </w:tcPr>
          <w:p w14:paraId="52050D3E"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Terrestrial (TN)</w:t>
            </w:r>
          </w:p>
        </w:tc>
      </w:tr>
      <w:tr w:rsidR="00765948" w:rsidRPr="002655C0" w14:paraId="2D75A6DA" w14:textId="77777777" w:rsidTr="00C134EC">
        <w:trPr>
          <w:trHeight w:val="189"/>
        </w:trPr>
        <w:tc>
          <w:tcPr>
            <w:tcW w:w="1269" w:type="dxa"/>
            <w:shd w:val="clear" w:color="auto" w:fill="auto"/>
          </w:tcPr>
          <w:p w14:paraId="11724EEA"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Altitude</w:t>
            </w:r>
          </w:p>
        </w:tc>
        <w:tc>
          <w:tcPr>
            <w:tcW w:w="1059" w:type="dxa"/>
          </w:tcPr>
          <w:p w14:paraId="694A1E9A"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 m – 10 km</w:t>
            </w:r>
          </w:p>
        </w:tc>
        <w:tc>
          <w:tcPr>
            <w:tcW w:w="0" w:type="auto"/>
          </w:tcPr>
          <w:p w14:paraId="5B84F19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18–25 km</w:t>
            </w:r>
          </w:p>
        </w:tc>
        <w:tc>
          <w:tcPr>
            <w:tcW w:w="0" w:type="auto"/>
          </w:tcPr>
          <w:p w14:paraId="1635A439"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500–1,500 km</w:t>
            </w:r>
          </w:p>
        </w:tc>
        <w:tc>
          <w:tcPr>
            <w:tcW w:w="0" w:type="auto"/>
          </w:tcPr>
          <w:p w14:paraId="22E9DB2D"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8,000–20,000 km</w:t>
            </w:r>
          </w:p>
        </w:tc>
        <w:tc>
          <w:tcPr>
            <w:tcW w:w="0" w:type="auto"/>
          </w:tcPr>
          <w:p w14:paraId="008A173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35,786 km</w:t>
            </w:r>
          </w:p>
        </w:tc>
        <w:tc>
          <w:tcPr>
            <w:tcW w:w="0" w:type="auto"/>
          </w:tcPr>
          <w:p w14:paraId="4CA9E9A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10–50 m (Macro)</w:t>
            </w:r>
          </w:p>
        </w:tc>
      </w:tr>
      <w:tr w:rsidR="00765948" w:rsidRPr="002655C0" w14:paraId="0BA53874" w14:textId="77777777" w:rsidTr="00C134EC">
        <w:trPr>
          <w:trHeight w:val="253"/>
        </w:trPr>
        <w:tc>
          <w:tcPr>
            <w:tcW w:w="1269" w:type="dxa"/>
            <w:shd w:val="clear" w:color="auto" w:fill="auto"/>
          </w:tcPr>
          <w:p w14:paraId="158ECFD1" w14:textId="77777777" w:rsidR="008C7111" w:rsidRPr="00E717E5" w:rsidRDefault="008C7111" w:rsidP="00144E36">
            <w:pPr>
              <w:jc w:val="left"/>
              <w:rPr>
                <w:rFonts w:ascii="Times New Roman" w:hAnsi="Times New Roman" w:cs="Times New Roman"/>
                <w:b/>
                <w:sz w:val="12"/>
                <w:szCs w:val="12"/>
              </w:rPr>
            </w:pPr>
            <w:bookmarkStart w:id="13" w:name="_Hlk200911855"/>
            <w:r w:rsidRPr="00E717E5">
              <w:rPr>
                <w:rFonts w:ascii="Times New Roman" w:hAnsi="Times New Roman" w:cs="Times New Roman"/>
                <w:b/>
                <w:sz w:val="12"/>
                <w:szCs w:val="12"/>
              </w:rPr>
              <w:t>Cell Size (Diameter)</w:t>
            </w:r>
          </w:p>
        </w:tc>
        <w:tc>
          <w:tcPr>
            <w:tcW w:w="1059" w:type="dxa"/>
          </w:tcPr>
          <w:p w14:paraId="22C73781"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1–10 km</w:t>
            </w:r>
          </w:p>
        </w:tc>
        <w:tc>
          <w:tcPr>
            <w:tcW w:w="0" w:type="auto"/>
          </w:tcPr>
          <w:p w14:paraId="4FA91AA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50–200 km</w:t>
            </w:r>
          </w:p>
        </w:tc>
        <w:tc>
          <w:tcPr>
            <w:tcW w:w="0" w:type="auto"/>
          </w:tcPr>
          <w:p w14:paraId="256FEA0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50–500 km</w:t>
            </w:r>
          </w:p>
        </w:tc>
        <w:tc>
          <w:tcPr>
            <w:tcW w:w="0" w:type="auto"/>
          </w:tcPr>
          <w:p w14:paraId="51730B2E"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200–1,000 km</w:t>
            </w:r>
          </w:p>
        </w:tc>
        <w:tc>
          <w:tcPr>
            <w:tcW w:w="0" w:type="auto"/>
          </w:tcPr>
          <w:p w14:paraId="4580B35C"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200–3,500 km</w:t>
            </w:r>
          </w:p>
        </w:tc>
        <w:tc>
          <w:tcPr>
            <w:tcW w:w="0" w:type="auto"/>
          </w:tcPr>
          <w:p w14:paraId="756DAD7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0.1–3 km (Macro)</w:t>
            </w:r>
          </w:p>
        </w:tc>
      </w:tr>
      <w:tr w:rsidR="00765948" w:rsidRPr="002655C0" w14:paraId="60DE44C1" w14:textId="77777777" w:rsidTr="00C134EC">
        <w:trPr>
          <w:trHeight w:val="287"/>
        </w:trPr>
        <w:tc>
          <w:tcPr>
            <w:tcW w:w="1269" w:type="dxa"/>
            <w:shd w:val="clear" w:color="auto" w:fill="auto"/>
          </w:tcPr>
          <w:p w14:paraId="5C737BDA"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Beam Type</w:t>
            </w:r>
          </w:p>
        </w:tc>
        <w:tc>
          <w:tcPr>
            <w:tcW w:w="1059" w:type="dxa"/>
          </w:tcPr>
          <w:p w14:paraId="55633F7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Narrow (Directional)</w:t>
            </w:r>
          </w:p>
        </w:tc>
        <w:tc>
          <w:tcPr>
            <w:tcW w:w="0" w:type="auto"/>
          </w:tcPr>
          <w:p w14:paraId="5B87DB27"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Wide (Multi-beam)</w:t>
            </w:r>
          </w:p>
        </w:tc>
        <w:tc>
          <w:tcPr>
            <w:tcW w:w="0" w:type="auto"/>
          </w:tcPr>
          <w:p w14:paraId="05EF5637"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Spot Beams (Multi-beam)</w:t>
            </w:r>
          </w:p>
        </w:tc>
        <w:tc>
          <w:tcPr>
            <w:tcW w:w="0" w:type="auto"/>
          </w:tcPr>
          <w:p w14:paraId="49CB36CD"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Wide Beams</w:t>
            </w:r>
          </w:p>
        </w:tc>
        <w:tc>
          <w:tcPr>
            <w:tcW w:w="0" w:type="auto"/>
          </w:tcPr>
          <w:p w14:paraId="14022081"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Fixed Continental</w:t>
            </w:r>
          </w:p>
        </w:tc>
        <w:tc>
          <w:tcPr>
            <w:tcW w:w="0" w:type="auto"/>
          </w:tcPr>
          <w:p w14:paraId="30A5BA06"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Sectorized (120°)</w:t>
            </w:r>
          </w:p>
        </w:tc>
      </w:tr>
      <w:bookmarkEnd w:id="13"/>
      <w:tr w:rsidR="00765948" w:rsidRPr="002655C0" w14:paraId="3C2B4FC2" w14:textId="77777777" w:rsidTr="00C134EC">
        <w:trPr>
          <w:trHeight w:val="206"/>
        </w:trPr>
        <w:tc>
          <w:tcPr>
            <w:tcW w:w="1269" w:type="dxa"/>
            <w:shd w:val="clear" w:color="auto" w:fill="auto"/>
          </w:tcPr>
          <w:p w14:paraId="4A009261"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Propagation Delay (RTD)</w:t>
            </w:r>
          </w:p>
        </w:tc>
        <w:tc>
          <w:tcPr>
            <w:tcW w:w="1059" w:type="dxa"/>
          </w:tcPr>
          <w:p w14:paraId="12FC6D2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0.3–3 ms</w:t>
            </w:r>
          </w:p>
        </w:tc>
        <w:tc>
          <w:tcPr>
            <w:tcW w:w="0" w:type="auto"/>
          </w:tcPr>
          <w:p w14:paraId="78F449CE"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0.6–8 ms</w:t>
            </w:r>
          </w:p>
        </w:tc>
        <w:tc>
          <w:tcPr>
            <w:tcW w:w="0" w:type="auto"/>
          </w:tcPr>
          <w:p w14:paraId="4EC05F7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3–15 ms</w:t>
            </w:r>
          </w:p>
        </w:tc>
        <w:tc>
          <w:tcPr>
            <w:tcW w:w="0" w:type="auto"/>
          </w:tcPr>
          <w:p w14:paraId="451B4D5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50–130 ms</w:t>
            </w:r>
          </w:p>
        </w:tc>
        <w:tc>
          <w:tcPr>
            <w:tcW w:w="0" w:type="auto"/>
          </w:tcPr>
          <w:p w14:paraId="4372FF23"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250–280 ms</w:t>
            </w:r>
          </w:p>
        </w:tc>
        <w:tc>
          <w:tcPr>
            <w:tcW w:w="0" w:type="auto"/>
          </w:tcPr>
          <w:p w14:paraId="2DB2B736"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0.1–1 ms</w:t>
            </w:r>
          </w:p>
        </w:tc>
      </w:tr>
      <w:tr w:rsidR="00765948" w:rsidRPr="002655C0" w14:paraId="558DE570" w14:textId="77777777" w:rsidTr="00C134EC">
        <w:trPr>
          <w:trHeight w:val="177"/>
        </w:trPr>
        <w:tc>
          <w:tcPr>
            <w:tcW w:w="1269" w:type="dxa"/>
            <w:shd w:val="clear" w:color="auto" w:fill="auto"/>
          </w:tcPr>
          <w:p w14:paraId="649FA7B5"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Doppler Shift</w:t>
            </w:r>
          </w:p>
        </w:tc>
        <w:tc>
          <w:tcPr>
            <w:tcW w:w="1059" w:type="dxa"/>
          </w:tcPr>
          <w:p w14:paraId="5BF1A99D"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 kHz</w:t>
            </w:r>
          </w:p>
        </w:tc>
        <w:tc>
          <w:tcPr>
            <w:tcW w:w="0" w:type="auto"/>
          </w:tcPr>
          <w:p w14:paraId="6104C439"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 kHz</w:t>
            </w:r>
          </w:p>
        </w:tc>
        <w:tc>
          <w:tcPr>
            <w:tcW w:w="0" w:type="auto"/>
          </w:tcPr>
          <w:p w14:paraId="0EE8B6E5"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±100 kHz</w:t>
            </w:r>
          </w:p>
        </w:tc>
        <w:tc>
          <w:tcPr>
            <w:tcW w:w="0" w:type="auto"/>
          </w:tcPr>
          <w:p w14:paraId="10BD302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±20 kHz</w:t>
            </w:r>
          </w:p>
        </w:tc>
        <w:tc>
          <w:tcPr>
            <w:tcW w:w="0" w:type="auto"/>
          </w:tcPr>
          <w:p w14:paraId="44ED348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 kHz</w:t>
            </w:r>
          </w:p>
        </w:tc>
        <w:tc>
          <w:tcPr>
            <w:tcW w:w="0" w:type="auto"/>
          </w:tcPr>
          <w:p w14:paraId="5B04787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±500 Hz</w:t>
            </w:r>
          </w:p>
        </w:tc>
      </w:tr>
      <w:tr w:rsidR="00765948" w:rsidRPr="002655C0" w14:paraId="2AEEC3FE" w14:textId="77777777" w:rsidTr="00C134EC">
        <w:trPr>
          <w:trHeight w:val="357"/>
        </w:trPr>
        <w:tc>
          <w:tcPr>
            <w:tcW w:w="1269" w:type="dxa"/>
            <w:shd w:val="clear" w:color="auto" w:fill="auto"/>
          </w:tcPr>
          <w:p w14:paraId="3FA7D7B9"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Cell Handover Frequency</w:t>
            </w:r>
          </w:p>
        </w:tc>
        <w:tc>
          <w:tcPr>
            <w:tcW w:w="1059" w:type="dxa"/>
          </w:tcPr>
          <w:p w14:paraId="250BAC79"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Minutes (~0.1–5 km)</w:t>
            </w:r>
          </w:p>
        </w:tc>
        <w:tc>
          <w:tcPr>
            <w:tcW w:w="0" w:type="auto"/>
          </w:tcPr>
          <w:p w14:paraId="4BE476B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Minutes–Hours (~30 km)</w:t>
            </w:r>
          </w:p>
        </w:tc>
        <w:tc>
          <w:tcPr>
            <w:tcW w:w="0" w:type="auto"/>
          </w:tcPr>
          <w:p w14:paraId="16AC6098"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2–10 Seconds (Orbital)</w:t>
            </w:r>
          </w:p>
        </w:tc>
        <w:tc>
          <w:tcPr>
            <w:tcW w:w="0" w:type="auto"/>
          </w:tcPr>
          <w:p w14:paraId="6E026D93"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5–60 min (~3.9 km/s)</w:t>
            </w:r>
          </w:p>
        </w:tc>
        <w:tc>
          <w:tcPr>
            <w:tcW w:w="0" w:type="auto"/>
          </w:tcPr>
          <w:p w14:paraId="6E328FBE"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None (Geostationary)</w:t>
            </w:r>
          </w:p>
        </w:tc>
        <w:tc>
          <w:tcPr>
            <w:tcW w:w="0" w:type="auto"/>
          </w:tcPr>
          <w:p w14:paraId="24C1693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User mobility only</w:t>
            </w:r>
          </w:p>
        </w:tc>
      </w:tr>
      <w:tr w:rsidR="00765948" w:rsidRPr="002655C0" w14:paraId="5410494E" w14:textId="77777777" w:rsidTr="00C134EC">
        <w:trPr>
          <w:trHeight w:val="236"/>
        </w:trPr>
        <w:tc>
          <w:tcPr>
            <w:tcW w:w="1269" w:type="dxa"/>
            <w:shd w:val="clear" w:color="auto" w:fill="auto"/>
          </w:tcPr>
          <w:p w14:paraId="24E1ACA9"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Atmospheric Loss</w:t>
            </w:r>
          </w:p>
        </w:tc>
        <w:tc>
          <w:tcPr>
            <w:tcW w:w="1059" w:type="dxa"/>
          </w:tcPr>
          <w:p w14:paraId="00A98A8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Tropospheric</w:t>
            </w:r>
          </w:p>
        </w:tc>
        <w:tc>
          <w:tcPr>
            <w:tcW w:w="0" w:type="auto"/>
          </w:tcPr>
          <w:p w14:paraId="0333A97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Minimal</w:t>
            </w:r>
          </w:p>
        </w:tc>
        <w:tc>
          <w:tcPr>
            <w:tcW w:w="0" w:type="auto"/>
          </w:tcPr>
          <w:p w14:paraId="6FFA21CF"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Ionospheric (&lt;6 GHz)</w:t>
            </w:r>
          </w:p>
        </w:tc>
        <w:tc>
          <w:tcPr>
            <w:tcW w:w="0" w:type="auto"/>
          </w:tcPr>
          <w:p w14:paraId="69F00222"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Ionospheric</w:t>
            </w:r>
          </w:p>
        </w:tc>
        <w:tc>
          <w:tcPr>
            <w:tcW w:w="0" w:type="auto"/>
          </w:tcPr>
          <w:p w14:paraId="378ED4A7"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Rain fade (&gt;10 GHz)</w:t>
            </w:r>
          </w:p>
        </w:tc>
        <w:tc>
          <w:tcPr>
            <w:tcW w:w="0" w:type="auto"/>
          </w:tcPr>
          <w:p w14:paraId="7D80DFA2"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Minimal (LOS/NLOS)</w:t>
            </w:r>
          </w:p>
        </w:tc>
      </w:tr>
      <w:tr w:rsidR="00765948" w:rsidRPr="002655C0" w14:paraId="5311DA2C" w14:textId="77777777" w:rsidTr="00C134EC">
        <w:trPr>
          <w:trHeight w:val="285"/>
        </w:trPr>
        <w:tc>
          <w:tcPr>
            <w:tcW w:w="1269" w:type="dxa"/>
            <w:shd w:val="clear" w:color="auto" w:fill="auto"/>
          </w:tcPr>
          <w:p w14:paraId="0FD90E21" w14:textId="77777777" w:rsidR="008C7111" w:rsidRPr="00E717E5" w:rsidRDefault="008C7111" w:rsidP="00144E36">
            <w:pPr>
              <w:jc w:val="left"/>
              <w:rPr>
                <w:rFonts w:ascii="Times New Roman" w:hAnsi="Times New Roman" w:cs="Times New Roman"/>
                <w:b/>
                <w:sz w:val="12"/>
                <w:szCs w:val="12"/>
              </w:rPr>
            </w:pPr>
            <w:r w:rsidRPr="00E717E5">
              <w:rPr>
                <w:rFonts w:ascii="Times New Roman" w:hAnsi="Times New Roman" w:cs="Times New Roman"/>
                <w:b/>
                <w:sz w:val="12"/>
                <w:szCs w:val="12"/>
              </w:rPr>
              <w:t>Bit Error Rate (BER)</w:t>
            </w:r>
          </w:p>
        </w:tc>
        <w:tc>
          <w:tcPr>
            <w:tcW w:w="1059" w:type="dxa"/>
          </w:tcPr>
          <w:p w14:paraId="14FFC4D5"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10⁻⁴ – 10⁻⁶</w:t>
            </w:r>
          </w:p>
        </w:tc>
        <w:tc>
          <w:tcPr>
            <w:tcW w:w="0" w:type="auto"/>
          </w:tcPr>
          <w:p w14:paraId="332EE5BD"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10⁻⁵ – 10⁻⁷</w:t>
            </w:r>
          </w:p>
        </w:tc>
        <w:tc>
          <w:tcPr>
            <w:tcW w:w="0" w:type="auto"/>
          </w:tcPr>
          <w:p w14:paraId="29304CA4"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10⁻⁴ – 10⁻⁶</w:t>
            </w:r>
          </w:p>
        </w:tc>
        <w:tc>
          <w:tcPr>
            <w:tcW w:w="0" w:type="auto"/>
          </w:tcPr>
          <w:p w14:paraId="3CF90645"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10⁻⁵ – 10⁻⁷</w:t>
            </w:r>
          </w:p>
        </w:tc>
        <w:tc>
          <w:tcPr>
            <w:tcW w:w="0" w:type="auto"/>
          </w:tcPr>
          <w:p w14:paraId="387264FA"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10⁻³ – 10⁻⁵</w:t>
            </w:r>
          </w:p>
        </w:tc>
        <w:tc>
          <w:tcPr>
            <w:tcW w:w="0" w:type="auto"/>
          </w:tcPr>
          <w:p w14:paraId="1798917B" w14:textId="77777777" w:rsidR="008C7111" w:rsidRPr="00E717E5" w:rsidRDefault="008C7111" w:rsidP="00144E36">
            <w:pPr>
              <w:jc w:val="left"/>
              <w:rPr>
                <w:rFonts w:ascii="Times New Roman" w:hAnsi="Times New Roman" w:cs="Times New Roman"/>
                <w:sz w:val="12"/>
                <w:szCs w:val="12"/>
              </w:rPr>
            </w:pPr>
            <w:r w:rsidRPr="00E717E5">
              <w:rPr>
                <w:rFonts w:ascii="Times New Roman" w:hAnsi="Times New Roman" w:cs="Times New Roman"/>
                <w:sz w:val="12"/>
                <w:szCs w:val="12"/>
              </w:rPr>
              <w:t>10⁻⁶ – 10⁻⁹</w:t>
            </w:r>
          </w:p>
        </w:tc>
      </w:tr>
    </w:tbl>
    <w:p w14:paraId="6EEBB68E" w14:textId="11003637" w:rsidR="00A56021" w:rsidRPr="00E717E5" w:rsidRDefault="008C7111" w:rsidP="00A56021">
      <w:pPr>
        <w:pStyle w:val="ds-markdown-paragraph"/>
        <w:shd w:val="clear" w:color="auto" w:fill="FFFFFF"/>
        <w:spacing w:before="120" w:beforeAutospacing="0" w:after="120" w:afterAutospacing="0"/>
        <w:jc w:val="center"/>
        <w:rPr>
          <w:color w:val="0F1115"/>
          <w:sz w:val="20"/>
          <w:szCs w:val="20"/>
          <w:shd w:val="clear" w:color="auto" w:fill="FFFFFF"/>
        </w:rPr>
      </w:pPr>
      <w:r w:rsidRPr="002655C0">
        <w:rPr>
          <w:color w:val="0F1115"/>
          <w:shd w:val="clear" w:color="auto" w:fill="FFFFFF"/>
        </w:rPr>
        <w:t xml:space="preserve"> </w:t>
      </w:r>
      <w:r w:rsidR="00A56021" w:rsidRPr="00E717E5">
        <w:rPr>
          <w:b/>
          <w:color w:val="0F1115"/>
          <w:sz w:val="20"/>
          <w:szCs w:val="20"/>
          <w:shd w:val="clear" w:color="auto" w:fill="FFFFFF"/>
        </w:rPr>
        <w:t xml:space="preserve">Table </w:t>
      </w:r>
      <w:r w:rsidR="00E4365D" w:rsidRPr="00E717E5">
        <w:rPr>
          <w:b/>
          <w:color w:val="0F1115"/>
          <w:sz w:val="20"/>
          <w:szCs w:val="20"/>
          <w:shd w:val="clear" w:color="auto" w:fill="FFFFFF"/>
        </w:rPr>
        <w:t>2</w:t>
      </w:r>
      <w:r w:rsidR="00A56021" w:rsidRPr="00E717E5">
        <w:rPr>
          <w:color w:val="0F1115"/>
          <w:sz w:val="20"/>
          <w:szCs w:val="20"/>
          <w:shd w:val="clear" w:color="auto" w:fill="FFFFFF"/>
        </w:rPr>
        <w:t>: TN/NTN Multi-platform Parameters Variations</w:t>
      </w:r>
    </w:p>
    <w:p w14:paraId="63C746FE" w14:textId="77777777" w:rsidR="00332B84" w:rsidRPr="002655C0" w:rsidRDefault="00332B84" w:rsidP="00FD54EE">
      <w:pPr>
        <w:pStyle w:val="Heading2"/>
        <w:numPr>
          <w:ilvl w:val="1"/>
          <w:numId w:val="3"/>
        </w:numPr>
        <w:tabs>
          <w:tab w:val="clear" w:pos="756"/>
          <w:tab w:val="left" w:pos="420"/>
        </w:tabs>
        <w:spacing w:before="240" w:after="120" w:line="240" w:lineRule="auto"/>
        <w:ind w:left="425" w:hanging="425"/>
        <w:rPr>
          <w:rFonts w:ascii="Times New Roman" w:eastAsia="宋体" w:hAnsi="Times New Roman" w:cs="Times New Roman"/>
          <w:sz w:val="24"/>
          <w:szCs w:val="24"/>
          <w:lang w:val="en-US" w:eastAsia="zh-CN"/>
        </w:rPr>
      </w:pPr>
      <w:r w:rsidRPr="002655C0">
        <w:rPr>
          <w:rFonts w:ascii="Times New Roman" w:hAnsi="Times New Roman" w:cs="Times New Roman"/>
          <w:sz w:val="23"/>
          <w:szCs w:val="23"/>
          <w:u w:val="single"/>
        </w:rPr>
        <w:t xml:space="preserve">Unified Radio Protocol </w:t>
      </w:r>
      <w:r w:rsidR="00CA33B7" w:rsidRPr="002655C0">
        <w:rPr>
          <w:rFonts w:ascii="Times New Roman" w:hAnsi="Times New Roman" w:cs="Times New Roman"/>
          <w:sz w:val="23"/>
          <w:szCs w:val="23"/>
          <w:u w:val="single"/>
        </w:rPr>
        <w:t>Signalling</w:t>
      </w:r>
    </w:p>
    <w:p w14:paraId="6EFB5D34" w14:textId="77777777" w:rsidR="007C4920" w:rsidRPr="002655C0" w:rsidRDefault="007C4920" w:rsidP="001B42DA">
      <w:pPr>
        <w:pStyle w:val="ds-markdown-paragraph"/>
        <w:shd w:val="clear" w:color="auto" w:fill="FFFFFF"/>
        <w:spacing w:before="0" w:beforeAutospacing="0" w:after="0" w:afterAutospacing="0"/>
        <w:jc w:val="both"/>
        <w:rPr>
          <w:sz w:val="21"/>
          <w:szCs w:val="21"/>
        </w:rPr>
      </w:pPr>
      <w:r w:rsidRPr="002655C0">
        <w:rPr>
          <w:sz w:val="22"/>
          <w:szCs w:val="22"/>
        </w:rPr>
        <w:t xml:space="preserve">To support satellite access in 5G, the RRC layer introduces extended timers (T300, T304) for connection handling </w:t>
      </w:r>
      <w:r w:rsidRPr="002655C0">
        <w:rPr>
          <w:sz w:val="21"/>
          <w:szCs w:val="21"/>
        </w:rPr>
        <w:t xml:space="preserve">and broadcasts critical parameters via SIB19 (NR) and SIB31 (LTE/NB-IoT), including satellite ephemeris data for real-time positioning, Doppler pre-compensation, and timing adjustments to mitigate propagation delays. The MAC layer optimizes scheduling with K-offset adjustments and uplink </w:t>
      </w:r>
      <w:r w:rsidR="00AC7F7B" w:rsidRPr="002655C0">
        <w:rPr>
          <w:sz w:val="21"/>
          <w:szCs w:val="21"/>
        </w:rPr>
        <w:t xml:space="preserve">synchronization </w:t>
      </w:r>
      <w:r w:rsidRPr="002655C0">
        <w:rPr>
          <w:sz w:val="21"/>
          <w:szCs w:val="21"/>
        </w:rPr>
        <w:t>mechanisms, while expanding HARQ processes (up to 32 slots) to accommodate long round-trip times. It also reduces active HARQ processes (from 16 to 4) to prevent buffer overflow, extends Timing Advance (up to 0.86 ms), and modifies RACH procedures with longer response windows (up to 40.96 ms). The RLC layer increases the ARQ window size to prevent stalling and adjusts polling frequency, while the PDCP layer extends reordering timers (t-Reordering) and expands duplicate detection windows to handle out-of-order packets from variable satellite delays.</w:t>
      </w:r>
    </w:p>
    <w:p w14:paraId="3C33996A" w14:textId="77777777" w:rsidR="007C4920" w:rsidRPr="002655C0" w:rsidRDefault="007C4920" w:rsidP="001B42DA">
      <w:pPr>
        <w:pStyle w:val="ds-markdown-paragraph"/>
        <w:shd w:val="clear" w:color="auto" w:fill="FFFFFF"/>
        <w:spacing w:before="0" w:beforeAutospacing="0" w:after="0" w:afterAutospacing="0"/>
        <w:jc w:val="both"/>
        <w:rPr>
          <w:color w:val="0F1115"/>
          <w:sz w:val="21"/>
          <w:szCs w:val="21"/>
        </w:rPr>
      </w:pPr>
      <w:r w:rsidRPr="002655C0">
        <w:rPr>
          <w:color w:val="0F1115"/>
          <w:sz w:val="21"/>
          <w:szCs w:val="21"/>
        </w:rPr>
        <w:t xml:space="preserve">     </w:t>
      </w:r>
      <w:r w:rsidRPr="002655C0">
        <w:rPr>
          <w:sz w:val="21"/>
          <w:szCs w:val="21"/>
        </w:rPr>
        <w:t>These 5G radio enhancements (continuously sending adjustments or compensation parameters) are implemented per TN and NTN or per GEO and non-GEO (NGO) satellites. However, a radio protocol based on continuous sending of variable parameters per TN/NTN or per GEO and NGO satellites over the radio interface is not optimal for 6G's unified TN/NTN system. This is due to the asymmetrical requirements of each platform in 6G's multi-orbit and multi-platform scenario, which may require excessive information exchange over the air interface (</w:t>
      </w:r>
      <w:r w:rsidRPr="002655C0">
        <w:rPr>
          <w:b/>
          <w:sz w:val="21"/>
          <w:szCs w:val="21"/>
        </w:rPr>
        <w:t>Figure 2</w:t>
      </w:r>
      <w:r w:rsidRPr="002655C0">
        <w:rPr>
          <w:sz w:val="21"/>
          <w:szCs w:val="21"/>
        </w:rPr>
        <w:t>).</w:t>
      </w:r>
    </w:p>
    <w:p w14:paraId="5A0D9464" w14:textId="7CD3747B" w:rsidR="002A655F" w:rsidRPr="002655C0" w:rsidRDefault="007C4920" w:rsidP="002655C0">
      <w:pPr>
        <w:pStyle w:val="ds-markdown-paragraph"/>
        <w:numPr>
          <w:ilvl w:val="0"/>
          <w:numId w:val="8"/>
        </w:numPr>
        <w:shd w:val="clear" w:color="auto" w:fill="FFFFFF"/>
        <w:spacing w:before="40" w:beforeAutospacing="0" w:after="40" w:afterAutospacing="0"/>
        <w:ind w:left="414" w:hanging="357"/>
        <w:rPr>
          <w:b/>
          <w:sz w:val="21"/>
          <w:szCs w:val="21"/>
        </w:rPr>
      </w:pPr>
      <w:bookmarkStart w:id="14" w:name="OLE_LINK130"/>
      <w:bookmarkStart w:id="15" w:name="OLE_LINK131"/>
      <w:r w:rsidRPr="002655C0">
        <w:rPr>
          <w:b/>
          <w:bCs/>
          <w:sz w:val="21"/>
          <w:szCs w:val="21"/>
        </w:rPr>
        <w:t xml:space="preserve">Observation </w:t>
      </w:r>
      <w:r w:rsidR="006424BB">
        <w:rPr>
          <w:b/>
          <w:bCs/>
          <w:sz w:val="21"/>
          <w:szCs w:val="21"/>
        </w:rPr>
        <w:t>3</w:t>
      </w:r>
      <w:r w:rsidRPr="002655C0">
        <w:rPr>
          <w:b/>
          <w:bCs/>
          <w:sz w:val="21"/>
          <w:szCs w:val="21"/>
        </w:rPr>
        <w:t>:</w:t>
      </w:r>
      <w:r w:rsidRPr="002655C0">
        <w:rPr>
          <w:b/>
          <w:sz w:val="21"/>
          <w:szCs w:val="21"/>
        </w:rPr>
        <w:t> Unlike 5G, which considered TN and NTN separately, 6G radio protocol design must account for and be optimized for the diverse physical parameters and operational characteristics of different TN and NTN platforms from the beginning.</w:t>
      </w:r>
    </w:p>
    <w:p w14:paraId="3A1EA9B2" w14:textId="57289369" w:rsidR="007C4920" w:rsidRPr="002A655F" w:rsidRDefault="007C4920" w:rsidP="002A655F">
      <w:pPr>
        <w:pStyle w:val="ds-markdown-paragraph"/>
        <w:numPr>
          <w:ilvl w:val="0"/>
          <w:numId w:val="8"/>
        </w:numPr>
        <w:shd w:val="clear" w:color="auto" w:fill="FFFFFF"/>
        <w:spacing w:before="40" w:beforeAutospacing="0" w:after="40" w:afterAutospacing="0"/>
        <w:ind w:left="414" w:hanging="357"/>
        <w:rPr>
          <w:b/>
          <w:sz w:val="21"/>
          <w:szCs w:val="21"/>
        </w:rPr>
      </w:pPr>
      <w:r w:rsidRPr="002A655F">
        <w:rPr>
          <w:b/>
          <w:bCs/>
          <w:sz w:val="21"/>
          <w:szCs w:val="21"/>
        </w:rPr>
        <w:t xml:space="preserve">Proposal </w:t>
      </w:r>
      <w:r w:rsidR="006424BB">
        <w:rPr>
          <w:b/>
          <w:bCs/>
          <w:sz w:val="21"/>
          <w:szCs w:val="21"/>
        </w:rPr>
        <w:t>3</w:t>
      </w:r>
      <w:r w:rsidRPr="002A655F">
        <w:rPr>
          <w:b/>
          <w:bCs/>
          <w:sz w:val="21"/>
          <w:szCs w:val="21"/>
        </w:rPr>
        <w:t>:</w:t>
      </w:r>
      <w:r w:rsidR="00AC7F7B" w:rsidRPr="002A655F">
        <w:rPr>
          <w:b/>
          <w:sz w:val="21"/>
          <w:szCs w:val="21"/>
        </w:rPr>
        <w:t> S</w:t>
      </w:r>
      <w:r w:rsidRPr="002A655F">
        <w:rPr>
          <w:b/>
          <w:sz w:val="21"/>
          <w:szCs w:val="21"/>
        </w:rPr>
        <w:t xml:space="preserve">tudy </w:t>
      </w:r>
      <w:r w:rsidR="00580B09" w:rsidRPr="002A655F">
        <w:rPr>
          <w:b/>
          <w:sz w:val="21"/>
          <w:szCs w:val="21"/>
        </w:rPr>
        <w:t>a</w:t>
      </w:r>
      <w:r w:rsidRPr="002A655F">
        <w:rPr>
          <w:b/>
          <w:sz w:val="21"/>
          <w:szCs w:val="21"/>
        </w:rPr>
        <w:t xml:space="preserve"> unified </w:t>
      </w:r>
      <w:r w:rsidR="00580B09" w:rsidRPr="002A655F">
        <w:rPr>
          <w:b/>
          <w:sz w:val="21"/>
          <w:szCs w:val="21"/>
        </w:rPr>
        <w:t>RRC</w:t>
      </w:r>
      <w:r w:rsidRPr="002A655F">
        <w:rPr>
          <w:b/>
          <w:sz w:val="21"/>
          <w:szCs w:val="21"/>
        </w:rPr>
        <w:t xml:space="preserve"> signalling framework that is inherently adaptable to the parameter variations across terrestrial and multi-orbit non-terrestrial platforms avoiding </w:t>
      </w:r>
      <w:r w:rsidR="00580B09" w:rsidRPr="002A655F">
        <w:rPr>
          <w:b/>
          <w:sz w:val="21"/>
          <w:szCs w:val="21"/>
        </w:rPr>
        <w:t>per-</w:t>
      </w:r>
      <w:r w:rsidRPr="002A655F">
        <w:rPr>
          <w:b/>
          <w:sz w:val="21"/>
          <w:szCs w:val="21"/>
        </w:rPr>
        <w:t>platform</w:t>
      </w:r>
      <w:r w:rsidR="00580B09" w:rsidRPr="002A655F">
        <w:rPr>
          <w:b/>
          <w:sz w:val="21"/>
          <w:szCs w:val="21"/>
        </w:rPr>
        <w:t xml:space="preserve"> </w:t>
      </w:r>
      <w:r w:rsidRPr="002A655F">
        <w:rPr>
          <w:b/>
          <w:sz w:val="21"/>
          <w:szCs w:val="21"/>
        </w:rPr>
        <w:t xml:space="preserve">specific compensations </w:t>
      </w:r>
      <w:r w:rsidR="00131349" w:rsidRPr="002A655F">
        <w:rPr>
          <w:b/>
          <w:sz w:val="21"/>
          <w:szCs w:val="21"/>
        </w:rPr>
        <w:t>and</w:t>
      </w:r>
      <w:r w:rsidRPr="002A655F">
        <w:rPr>
          <w:b/>
          <w:sz w:val="21"/>
          <w:szCs w:val="21"/>
        </w:rPr>
        <w:t xml:space="preserve"> excessive signalling overhead.</w:t>
      </w:r>
    </w:p>
    <w:bookmarkEnd w:id="14"/>
    <w:bookmarkEnd w:id="15"/>
    <w:p w14:paraId="4560F23F" w14:textId="6AB44D4F" w:rsidR="007C4920" w:rsidRPr="00580B09" w:rsidRDefault="007C4920" w:rsidP="007C4920">
      <w:pPr>
        <w:pStyle w:val="NormalWeb"/>
        <w:spacing w:after="0" w:afterAutospacing="0"/>
        <w:jc w:val="both"/>
        <w:rPr>
          <w:sz w:val="21"/>
          <w:szCs w:val="21"/>
        </w:rPr>
      </w:pPr>
    </w:p>
    <w:p w14:paraId="333A39E6" w14:textId="2206BA53" w:rsidR="00AC7F7B" w:rsidRPr="002655C0" w:rsidRDefault="00734BE3" w:rsidP="00AC7F7B">
      <w:pPr>
        <w:rPr>
          <w:rFonts w:ascii="Times New Roman" w:hAnsi="Times New Roman" w:cs="Times New Roman"/>
        </w:rPr>
      </w:pPr>
      <w:r>
        <w:rPr>
          <w:rFonts w:ascii="Times New Roman" w:hAnsi="Times New Roman" w:cs="Times New Roman"/>
          <w:szCs w:val="21"/>
        </w:rPr>
        <w:object w:dxaOrig="1440" w:dyaOrig="1440" w14:anchorId="42F0EAD0">
          <v:shape id="_x0000_s1028" type="#_x0000_t75" style="position:absolute;left:0;text-align:left;margin-left:89.2pt;margin-top:.5pt;width:305.35pt;height:161.95pt;z-index:251661312;mso-wrap-distance-left:9pt;mso-wrap-distance-top:0;mso-wrap-distance-right:9pt;mso-wrap-distance-bottom:0;mso-width-relative:page;mso-height-relative:page">
            <v:imagedata r:id="rId9" o:title=""/>
            <w10:wrap type="square" side="right"/>
          </v:shape>
          <o:OLEObject Type="Embed" ProgID="Visio.Drawing.11" ShapeID="_x0000_s1028" DrawAspect="Content" ObjectID="_1824035570" r:id="rId10"/>
        </w:object>
      </w:r>
    </w:p>
    <w:p w14:paraId="5BCBEC51" w14:textId="77777777" w:rsidR="00AC7F7B" w:rsidRPr="002655C0" w:rsidRDefault="00AC7F7B" w:rsidP="00AC7F7B">
      <w:pPr>
        <w:autoSpaceDE w:val="0"/>
        <w:autoSpaceDN w:val="0"/>
        <w:adjustRightInd w:val="0"/>
        <w:jc w:val="center"/>
        <w:rPr>
          <w:rFonts w:ascii="Times New Roman" w:hAnsi="Times New Roman" w:cs="Times New Roman"/>
          <w:szCs w:val="21"/>
        </w:rPr>
      </w:pPr>
    </w:p>
    <w:p w14:paraId="3935CF5F"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60613139"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0BAA3D03"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1CF365BF"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40931911"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6635825B"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2DD6CD74"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2494A04D"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74D6768C"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628ECB20" w14:textId="77777777" w:rsidR="00AC7F7B" w:rsidRPr="002655C0" w:rsidRDefault="00AC7F7B" w:rsidP="00AC7F7B">
      <w:pPr>
        <w:autoSpaceDE w:val="0"/>
        <w:autoSpaceDN w:val="0"/>
        <w:adjustRightInd w:val="0"/>
        <w:jc w:val="center"/>
        <w:rPr>
          <w:rFonts w:ascii="Times New Roman" w:hAnsi="Times New Roman" w:cs="Times New Roman"/>
          <w:b/>
          <w:szCs w:val="21"/>
        </w:rPr>
      </w:pPr>
    </w:p>
    <w:p w14:paraId="1281D444" w14:textId="77777777" w:rsidR="001B42DA" w:rsidRDefault="001B42DA" w:rsidP="008C7111">
      <w:pPr>
        <w:autoSpaceDE w:val="0"/>
        <w:autoSpaceDN w:val="0"/>
        <w:adjustRightInd w:val="0"/>
        <w:jc w:val="center"/>
        <w:rPr>
          <w:rFonts w:ascii="Times New Roman" w:hAnsi="Times New Roman" w:cs="Times New Roman"/>
          <w:b/>
          <w:szCs w:val="21"/>
        </w:rPr>
      </w:pPr>
    </w:p>
    <w:p w14:paraId="48FA90E3" w14:textId="77777777" w:rsidR="00150D12" w:rsidRDefault="00150D12" w:rsidP="008C7111">
      <w:pPr>
        <w:autoSpaceDE w:val="0"/>
        <w:autoSpaceDN w:val="0"/>
        <w:adjustRightInd w:val="0"/>
        <w:jc w:val="center"/>
        <w:rPr>
          <w:rStyle w:val="Strong"/>
          <w:rFonts w:ascii="Times New Roman" w:eastAsia="KaiTi" w:hAnsi="Times New Roman" w:cs="Times New Roman"/>
          <w:szCs w:val="21"/>
        </w:rPr>
      </w:pPr>
    </w:p>
    <w:p w14:paraId="6CB8CA54" w14:textId="4C4688CA" w:rsidR="00496AEF" w:rsidRPr="00E717E5" w:rsidRDefault="00AC7F7B" w:rsidP="008C7111">
      <w:pPr>
        <w:autoSpaceDE w:val="0"/>
        <w:autoSpaceDN w:val="0"/>
        <w:adjustRightInd w:val="0"/>
        <w:jc w:val="center"/>
        <w:rPr>
          <w:rStyle w:val="Strong"/>
          <w:rFonts w:ascii="Times New Roman" w:hAnsi="Times New Roman" w:cs="Times New Roman"/>
          <w:b w:val="0"/>
          <w:bCs w:val="0"/>
        </w:rPr>
      </w:pPr>
      <w:r w:rsidRPr="002655C0">
        <w:rPr>
          <w:rStyle w:val="Strong"/>
          <w:rFonts w:ascii="Times New Roman" w:eastAsia="KaiTi" w:hAnsi="Times New Roman" w:cs="Times New Roman"/>
          <w:szCs w:val="21"/>
        </w:rPr>
        <w:t xml:space="preserve">Figure 2: </w:t>
      </w:r>
      <w:r w:rsidRPr="00E717E5">
        <w:rPr>
          <w:rStyle w:val="Strong"/>
          <w:rFonts w:ascii="Times New Roman" w:eastAsia="KaiTi" w:hAnsi="Times New Roman" w:cs="Times New Roman"/>
          <w:b w:val="0"/>
          <w:szCs w:val="21"/>
        </w:rPr>
        <w:t>Non-terrestrial Multi-platform Specific Constraints</w:t>
      </w:r>
    </w:p>
    <w:p w14:paraId="0836E398" w14:textId="77777777" w:rsidR="00496AEF" w:rsidRPr="002655C0" w:rsidRDefault="00496AEF" w:rsidP="00496AEF">
      <w:pPr>
        <w:pStyle w:val="Heading1"/>
        <w:keepLines/>
        <w:numPr>
          <w:ilvl w:val="0"/>
          <w:numId w:val="2"/>
        </w:numPr>
        <w:pBdr>
          <w:top w:val="single" w:sz="12" w:space="3" w:color="auto"/>
        </w:pBdr>
        <w:tabs>
          <w:tab w:val="left" w:pos="432"/>
        </w:tabs>
        <w:overflowPunct w:val="0"/>
        <w:snapToGrid/>
        <w:spacing w:before="240" w:after="180"/>
        <w:ind w:left="432" w:hanging="432"/>
        <w:jc w:val="left"/>
        <w:textAlignment w:val="baseline"/>
        <w:rPr>
          <w:rFonts w:ascii="Times New Roman" w:hAnsi="Times New Roman"/>
        </w:rPr>
      </w:pPr>
      <w:r w:rsidRPr="002655C0">
        <w:rPr>
          <w:rFonts w:ascii="Times New Roman" w:hAnsi="Times New Roman"/>
          <w:lang w:val="en-US" w:eastAsia="zh-CN"/>
        </w:rPr>
        <w:lastRenderedPageBreak/>
        <w:t xml:space="preserve"> </w:t>
      </w:r>
      <w:r w:rsidRPr="002655C0">
        <w:rPr>
          <w:rFonts w:ascii="Times New Roman" w:hAnsi="Times New Roman"/>
        </w:rPr>
        <w:t>Conclusion</w:t>
      </w:r>
    </w:p>
    <w:p w14:paraId="3CC5E110" w14:textId="60605066" w:rsidR="002655C0" w:rsidRPr="002655C0" w:rsidRDefault="00496AEF" w:rsidP="002655C0">
      <w:pPr>
        <w:pStyle w:val="ds-markdown-paragraph"/>
        <w:shd w:val="clear" w:color="auto" w:fill="FFFFFF"/>
        <w:spacing w:before="0" w:beforeAutospacing="0" w:after="0" w:afterAutospacing="0"/>
        <w:jc w:val="both"/>
        <w:rPr>
          <w:szCs w:val="21"/>
        </w:rPr>
      </w:pPr>
      <w:r w:rsidRPr="002655C0">
        <w:rPr>
          <w:szCs w:val="21"/>
        </w:rPr>
        <w:t xml:space="preserve">In this contribution, we discussed </w:t>
      </w:r>
      <w:r w:rsidR="00BA1BEB">
        <w:rPr>
          <w:sz w:val="21"/>
          <w:szCs w:val="21"/>
        </w:rPr>
        <w:t xml:space="preserve">cell architecture, </w:t>
      </w:r>
      <w:r w:rsidR="00BA1BEB" w:rsidRPr="002655C0">
        <w:rPr>
          <w:sz w:val="21"/>
          <w:szCs w:val="21"/>
        </w:rPr>
        <w:t xml:space="preserve">initial access and RRC modelling </w:t>
      </w:r>
      <w:r w:rsidR="00BA1BEB">
        <w:rPr>
          <w:sz w:val="21"/>
          <w:szCs w:val="21"/>
        </w:rPr>
        <w:t xml:space="preserve">for </w:t>
      </w:r>
      <w:r w:rsidR="00BA1BEB" w:rsidRPr="002655C0">
        <w:rPr>
          <w:sz w:val="21"/>
          <w:szCs w:val="21"/>
        </w:rPr>
        <w:t>harmonized 6G TN/NTN radio system</w:t>
      </w:r>
      <w:r w:rsidR="00BA1BEB" w:rsidRPr="002655C0" w:rsidDel="00BA1BEB">
        <w:rPr>
          <w:szCs w:val="21"/>
        </w:rPr>
        <w:t xml:space="preserve"> </w:t>
      </w:r>
      <w:r w:rsidR="00BA1BEB">
        <w:rPr>
          <w:szCs w:val="21"/>
        </w:rPr>
        <w:t xml:space="preserve">and </w:t>
      </w:r>
      <w:r w:rsidR="002655C0" w:rsidRPr="002655C0">
        <w:rPr>
          <w:szCs w:val="21"/>
        </w:rPr>
        <w:t>provided the following observations and proposals</w:t>
      </w:r>
      <w:r w:rsidRPr="002655C0">
        <w:rPr>
          <w:szCs w:val="21"/>
        </w:rPr>
        <w:t>:</w:t>
      </w:r>
    </w:p>
    <w:p w14:paraId="71E5839F" w14:textId="77777777" w:rsidR="006424BB" w:rsidRPr="00724609" w:rsidRDefault="006424BB" w:rsidP="006424BB">
      <w:pPr>
        <w:pStyle w:val="ds-markdown-paragraph"/>
        <w:numPr>
          <w:ilvl w:val="0"/>
          <w:numId w:val="8"/>
        </w:numPr>
        <w:shd w:val="clear" w:color="auto" w:fill="FFFFFF"/>
        <w:spacing w:before="40" w:beforeAutospacing="0" w:after="40" w:afterAutospacing="0"/>
        <w:ind w:left="470" w:hanging="357"/>
        <w:rPr>
          <w:b/>
          <w:sz w:val="21"/>
          <w:szCs w:val="21"/>
        </w:rPr>
      </w:pPr>
      <w:r w:rsidRPr="009B5CC6">
        <w:rPr>
          <w:b/>
        </w:rPr>
        <w:t xml:space="preserve">Observation </w:t>
      </w:r>
      <w:r>
        <w:rPr>
          <w:b/>
        </w:rPr>
        <w:t>1</w:t>
      </w:r>
      <w:r w:rsidRPr="00724609">
        <w:t>:</w:t>
      </w:r>
      <w:r w:rsidRPr="00724609">
        <w:rPr>
          <w:b/>
          <w:sz w:val="21"/>
          <w:szCs w:val="21"/>
        </w:rPr>
        <w:t> The multi-dimensional coverage and shared spectrum in a unified 6G TN/NTN network introduce critical cell addressing challenges, including the multi-layer cell stack problem and non-invertible PCI confusion, which hinder intelligent initial access and mobility management</w:t>
      </w:r>
    </w:p>
    <w:p w14:paraId="0CF7547D" w14:textId="6D48A56B" w:rsidR="006424BB" w:rsidRPr="00724609" w:rsidRDefault="006424BB" w:rsidP="006424BB">
      <w:pPr>
        <w:pStyle w:val="ds-markdown-paragraph"/>
        <w:numPr>
          <w:ilvl w:val="0"/>
          <w:numId w:val="8"/>
        </w:numPr>
        <w:shd w:val="clear" w:color="auto" w:fill="FFFFFF"/>
        <w:spacing w:before="40" w:beforeAutospacing="0" w:after="40" w:afterAutospacing="0"/>
        <w:ind w:left="470" w:hanging="357"/>
        <w:rPr>
          <w:b/>
          <w:sz w:val="21"/>
          <w:szCs w:val="21"/>
        </w:rPr>
      </w:pPr>
      <w:r w:rsidRPr="009B5CC6">
        <w:rPr>
          <w:b/>
        </w:rPr>
        <w:t xml:space="preserve">Proposal </w:t>
      </w:r>
      <w:r>
        <w:rPr>
          <w:b/>
        </w:rPr>
        <w:t>1</w:t>
      </w:r>
      <w:r w:rsidRPr="00724609">
        <w:rPr>
          <w:b/>
          <w:sz w:val="21"/>
          <w:szCs w:val="21"/>
        </w:rPr>
        <w:t>: Study new TN/NTN-aware cell addressing</w:t>
      </w:r>
      <w:r>
        <w:rPr>
          <w:b/>
          <w:sz w:val="21"/>
          <w:szCs w:val="21"/>
        </w:rPr>
        <w:t xml:space="preserve"> and identification</w:t>
      </w:r>
      <w:r w:rsidRPr="00724609">
        <w:rPr>
          <w:b/>
          <w:sz w:val="21"/>
          <w:szCs w:val="21"/>
        </w:rPr>
        <w:t xml:space="preserve"> architecture for 6G robust initial access and seamless mobility.</w:t>
      </w:r>
    </w:p>
    <w:p w14:paraId="4C591541" w14:textId="77777777" w:rsidR="006424BB" w:rsidRDefault="006424BB" w:rsidP="006424BB">
      <w:pPr>
        <w:pStyle w:val="ds-markdown-paragraph"/>
        <w:numPr>
          <w:ilvl w:val="0"/>
          <w:numId w:val="8"/>
        </w:numPr>
        <w:shd w:val="clear" w:color="auto" w:fill="FFFFFF"/>
        <w:spacing w:before="40" w:beforeAutospacing="0" w:after="40" w:afterAutospacing="0"/>
        <w:ind w:left="470" w:hanging="357"/>
        <w:rPr>
          <w:b/>
          <w:sz w:val="21"/>
          <w:szCs w:val="21"/>
        </w:rPr>
      </w:pPr>
      <w:r w:rsidRPr="002655C0">
        <w:rPr>
          <w:b/>
          <w:sz w:val="21"/>
          <w:szCs w:val="21"/>
        </w:rPr>
        <w:t xml:space="preserve">Observation </w:t>
      </w:r>
      <w:r>
        <w:rPr>
          <w:b/>
          <w:sz w:val="21"/>
          <w:szCs w:val="21"/>
        </w:rPr>
        <w:t>2</w:t>
      </w:r>
      <w:r w:rsidRPr="002655C0">
        <w:rPr>
          <w:b/>
          <w:sz w:val="21"/>
          <w:szCs w:val="21"/>
        </w:rPr>
        <w:t xml:space="preserve">: The significant physical layer disparities between TN and NTN platforms necessitate </w:t>
      </w:r>
      <w:r>
        <w:rPr>
          <w:b/>
          <w:sz w:val="21"/>
          <w:szCs w:val="21"/>
        </w:rPr>
        <w:t>unified access and RRC modelling procedures</w:t>
      </w:r>
      <w:r w:rsidRPr="002655C0">
        <w:rPr>
          <w:b/>
          <w:sz w:val="21"/>
          <w:szCs w:val="21"/>
        </w:rPr>
        <w:t xml:space="preserve"> that can automatically adapt to different waveform and</w:t>
      </w:r>
      <w:r>
        <w:rPr>
          <w:b/>
          <w:sz w:val="21"/>
          <w:szCs w:val="21"/>
        </w:rPr>
        <w:t xml:space="preserve"> TN/NTN platform signal characteristics</w:t>
      </w:r>
      <w:r w:rsidRPr="002655C0">
        <w:rPr>
          <w:b/>
          <w:sz w:val="21"/>
          <w:szCs w:val="21"/>
        </w:rPr>
        <w:t>.</w:t>
      </w:r>
    </w:p>
    <w:p w14:paraId="765B15BE" w14:textId="77777777" w:rsidR="006424BB" w:rsidRDefault="006424BB" w:rsidP="006424BB">
      <w:pPr>
        <w:pStyle w:val="ds-markdown-paragraph"/>
        <w:numPr>
          <w:ilvl w:val="0"/>
          <w:numId w:val="8"/>
        </w:numPr>
        <w:shd w:val="clear" w:color="auto" w:fill="FFFFFF"/>
        <w:spacing w:before="40" w:beforeAutospacing="0" w:after="40" w:afterAutospacing="0"/>
        <w:ind w:left="470" w:hanging="357"/>
        <w:rPr>
          <w:b/>
          <w:sz w:val="21"/>
          <w:szCs w:val="21"/>
        </w:rPr>
      </w:pPr>
      <w:r w:rsidRPr="002A655F">
        <w:rPr>
          <w:b/>
          <w:sz w:val="21"/>
          <w:szCs w:val="21"/>
        </w:rPr>
        <w:t xml:space="preserve">Proposal </w:t>
      </w:r>
      <w:r>
        <w:rPr>
          <w:b/>
          <w:sz w:val="21"/>
          <w:szCs w:val="21"/>
        </w:rPr>
        <w:t>2</w:t>
      </w:r>
      <w:r w:rsidRPr="002A655F">
        <w:rPr>
          <w:b/>
          <w:sz w:val="21"/>
          <w:szCs w:val="21"/>
        </w:rPr>
        <w:t>: Study unified initial access and connection setup procedures allowing UE to access 6GR irrespective of TN/NTN platform specific configurations</w:t>
      </w:r>
      <w:r>
        <w:rPr>
          <w:b/>
          <w:sz w:val="21"/>
          <w:szCs w:val="21"/>
        </w:rPr>
        <w:t>.</w:t>
      </w:r>
    </w:p>
    <w:p w14:paraId="1F5E180E" w14:textId="77777777" w:rsidR="006424BB" w:rsidRPr="002655C0" w:rsidRDefault="006424BB" w:rsidP="006424BB">
      <w:pPr>
        <w:pStyle w:val="ds-markdown-paragraph"/>
        <w:numPr>
          <w:ilvl w:val="0"/>
          <w:numId w:val="8"/>
        </w:numPr>
        <w:shd w:val="clear" w:color="auto" w:fill="FFFFFF"/>
        <w:spacing w:before="40" w:beforeAutospacing="0" w:after="40" w:afterAutospacing="0"/>
        <w:ind w:left="414" w:hanging="357"/>
        <w:rPr>
          <w:b/>
          <w:sz w:val="21"/>
          <w:szCs w:val="21"/>
        </w:rPr>
      </w:pPr>
      <w:r w:rsidRPr="002655C0">
        <w:rPr>
          <w:b/>
          <w:bCs/>
          <w:sz w:val="21"/>
          <w:szCs w:val="21"/>
        </w:rPr>
        <w:t xml:space="preserve">Observation </w:t>
      </w:r>
      <w:r>
        <w:rPr>
          <w:b/>
          <w:bCs/>
          <w:sz w:val="21"/>
          <w:szCs w:val="21"/>
        </w:rPr>
        <w:t>3</w:t>
      </w:r>
      <w:r w:rsidRPr="002655C0">
        <w:rPr>
          <w:b/>
          <w:bCs/>
          <w:sz w:val="21"/>
          <w:szCs w:val="21"/>
        </w:rPr>
        <w:t>:</w:t>
      </w:r>
      <w:r w:rsidRPr="002655C0">
        <w:rPr>
          <w:b/>
          <w:sz w:val="21"/>
          <w:szCs w:val="21"/>
        </w:rPr>
        <w:t> Unlike 5G, which considered TN and NTN separately, 6G radio protocol design must account for and be optimized for the diverse physical parameters and operational characteristics of different TN and NTN platforms from the beginning.</w:t>
      </w:r>
    </w:p>
    <w:p w14:paraId="77CD98A4" w14:textId="77777777" w:rsidR="006424BB" w:rsidRPr="002A655F" w:rsidRDefault="006424BB" w:rsidP="006424BB">
      <w:pPr>
        <w:pStyle w:val="ds-markdown-paragraph"/>
        <w:numPr>
          <w:ilvl w:val="0"/>
          <w:numId w:val="8"/>
        </w:numPr>
        <w:shd w:val="clear" w:color="auto" w:fill="FFFFFF"/>
        <w:spacing w:before="40" w:beforeAutospacing="0" w:after="40" w:afterAutospacing="0"/>
        <w:ind w:left="414" w:hanging="357"/>
        <w:rPr>
          <w:b/>
          <w:sz w:val="21"/>
          <w:szCs w:val="21"/>
        </w:rPr>
      </w:pPr>
      <w:r w:rsidRPr="002A655F">
        <w:rPr>
          <w:b/>
          <w:bCs/>
          <w:sz w:val="21"/>
          <w:szCs w:val="21"/>
        </w:rPr>
        <w:t xml:space="preserve">Proposal </w:t>
      </w:r>
      <w:r>
        <w:rPr>
          <w:b/>
          <w:bCs/>
          <w:sz w:val="21"/>
          <w:szCs w:val="21"/>
        </w:rPr>
        <w:t>3</w:t>
      </w:r>
      <w:r w:rsidRPr="002A655F">
        <w:rPr>
          <w:b/>
          <w:bCs/>
          <w:sz w:val="21"/>
          <w:szCs w:val="21"/>
        </w:rPr>
        <w:t>:</w:t>
      </w:r>
      <w:r w:rsidRPr="002A655F">
        <w:rPr>
          <w:b/>
          <w:sz w:val="21"/>
          <w:szCs w:val="21"/>
        </w:rPr>
        <w:t> Study a unified RRC signalling framework that is inherently adaptable to the parameter variations across terrestrial and multi-orbit non-terrestrial platforms avoiding per-platform specific compensations and excessive signalling overhead.</w:t>
      </w:r>
    </w:p>
    <w:p w14:paraId="2F2AFA14" w14:textId="77777777" w:rsidR="00496AEF" w:rsidRPr="002655C0" w:rsidRDefault="00496AEF" w:rsidP="00496AEF">
      <w:pPr>
        <w:pStyle w:val="Heading1"/>
        <w:keepLines/>
        <w:numPr>
          <w:ilvl w:val="0"/>
          <w:numId w:val="2"/>
        </w:numPr>
        <w:pBdr>
          <w:top w:val="single" w:sz="12" w:space="3" w:color="auto"/>
        </w:pBdr>
        <w:tabs>
          <w:tab w:val="left" w:pos="432"/>
        </w:tabs>
        <w:overflowPunct w:val="0"/>
        <w:snapToGrid/>
        <w:spacing w:before="240" w:after="180"/>
        <w:ind w:left="432" w:hanging="432"/>
        <w:jc w:val="left"/>
        <w:textAlignment w:val="baseline"/>
        <w:rPr>
          <w:rFonts w:ascii="Times New Roman" w:hAnsi="Times New Roman"/>
        </w:rPr>
      </w:pPr>
      <w:r w:rsidRPr="002655C0">
        <w:rPr>
          <w:rFonts w:ascii="Times New Roman" w:hAnsi="Times New Roman"/>
        </w:rPr>
        <w:t>References</w:t>
      </w:r>
    </w:p>
    <w:p w14:paraId="1EC8AE41" w14:textId="77777777" w:rsidR="002655C0" w:rsidRPr="002655C0" w:rsidRDefault="002655C0" w:rsidP="002655C0">
      <w:pPr>
        <w:widowControl/>
        <w:numPr>
          <w:ilvl w:val="0"/>
          <w:numId w:val="5"/>
        </w:numPr>
        <w:tabs>
          <w:tab w:val="clear" w:pos="657"/>
          <w:tab w:val="left" w:pos="567"/>
        </w:tabs>
        <w:overflowPunct w:val="0"/>
        <w:autoSpaceDE w:val="0"/>
        <w:autoSpaceDN w:val="0"/>
        <w:adjustRightInd w:val="0"/>
        <w:ind w:left="561" w:hanging="561"/>
        <w:jc w:val="left"/>
        <w:textAlignment w:val="baseline"/>
        <w:rPr>
          <w:rFonts w:ascii="Times New Roman" w:hAnsi="Times New Roman" w:cs="Times New Roman"/>
        </w:rPr>
      </w:pPr>
      <w:r w:rsidRPr="002655C0">
        <w:rPr>
          <w:rFonts w:ascii="Times New Roman" w:hAnsi="Times New Roman" w:cs="Times New Roman"/>
        </w:rPr>
        <w:t>TR 22.870: "Study on 6G Use Cases and Service Requirements".</w:t>
      </w:r>
    </w:p>
    <w:p w14:paraId="13D1B70D" w14:textId="77777777" w:rsidR="00571C2A" w:rsidRPr="002655C0" w:rsidRDefault="00496AEF" w:rsidP="00571C2A">
      <w:pPr>
        <w:widowControl/>
        <w:numPr>
          <w:ilvl w:val="0"/>
          <w:numId w:val="5"/>
        </w:numPr>
        <w:tabs>
          <w:tab w:val="clear" w:pos="657"/>
          <w:tab w:val="left" w:pos="567"/>
        </w:tabs>
        <w:overflowPunct w:val="0"/>
        <w:autoSpaceDE w:val="0"/>
        <w:autoSpaceDN w:val="0"/>
        <w:adjustRightInd w:val="0"/>
        <w:ind w:left="561" w:hanging="561"/>
        <w:jc w:val="left"/>
        <w:textAlignment w:val="baseline"/>
        <w:rPr>
          <w:rFonts w:ascii="Times New Roman" w:hAnsi="Times New Roman" w:cs="Times New Roman"/>
        </w:rPr>
      </w:pPr>
      <w:r w:rsidRPr="002655C0">
        <w:rPr>
          <w:rFonts w:ascii="Times New Roman" w:hAnsi="Times New Roman" w:cs="Times New Roman"/>
        </w:rPr>
        <w:t>TR 38.914: "Study on 6G Scenarios and Requirements"</w:t>
      </w:r>
    </w:p>
    <w:p w14:paraId="0B8BD3A6" w14:textId="7D51CBC4" w:rsidR="00571C2A" w:rsidRPr="00C3148C" w:rsidRDefault="00496AEF" w:rsidP="00C3148C">
      <w:pPr>
        <w:widowControl/>
        <w:numPr>
          <w:ilvl w:val="0"/>
          <w:numId w:val="5"/>
        </w:numPr>
        <w:tabs>
          <w:tab w:val="clear" w:pos="657"/>
          <w:tab w:val="left" w:pos="567"/>
        </w:tabs>
        <w:overflowPunct w:val="0"/>
        <w:autoSpaceDE w:val="0"/>
        <w:autoSpaceDN w:val="0"/>
        <w:adjustRightInd w:val="0"/>
        <w:ind w:left="561" w:hanging="561"/>
        <w:jc w:val="left"/>
        <w:textAlignment w:val="baseline"/>
        <w:rPr>
          <w:rFonts w:ascii="Times New Roman" w:hAnsi="Times New Roman" w:cs="Times New Roman"/>
        </w:rPr>
      </w:pPr>
      <w:r w:rsidRPr="002655C0">
        <w:rPr>
          <w:rFonts w:ascii="Times New Roman" w:hAnsi="Times New Roman" w:cs="Times New Roman"/>
        </w:rPr>
        <w:t>RP-252912: "</w:t>
      </w:r>
      <w:r w:rsidR="00571C2A" w:rsidRPr="002655C0">
        <w:rPr>
          <w:rFonts w:ascii="Times New Roman" w:hAnsi="Times New Roman" w:cs="Times New Roman"/>
        </w:rPr>
        <w:t xml:space="preserve"> Revised SID: Study on 6G Radio“</w:t>
      </w:r>
      <w:r w:rsidR="00A071C0">
        <w:rPr>
          <w:rFonts w:ascii="Times New Roman" w:hAnsi="Times New Roman" w:cs="Times New Roman"/>
        </w:rPr>
        <w:t xml:space="preserve"> </w:t>
      </w:r>
      <w:r w:rsidR="00571C2A" w:rsidRPr="002655C0">
        <w:rPr>
          <w:rFonts w:ascii="Times New Roman" w:hAnsi="Times New Roman" w:cs="Times New Roman"/>
        </w:rPr>
        <w:t xml:space="preserve">NTT DOCOMO, CMCC, AT&amp;T, Vodafone Beijing, China, September 15-18, 2025, </w:t>
      </w:r>
    </w:p>
    <w:sectPr w:rsidR="00571C2A" w:rsidRPr="00C3148C">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30339" w14:textId="77777777" w:rsidR="00734BE3" w:rsidRDefault="00734BE3" w:rsidP="006C3593">
      <w:r>
        <w:separator/>
      </w:r>
    </w:p>
  </w:endnote>
  <w:endnote w:type="continuationSeparator" w:id="0">
    <w:p w14:paraId="424D7553" w14:textId="77777777" w:rsidR="00734BE3" w:rsidRDefault="00734BE3" w:rsidP="006C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apple-system">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6F61A" w14:textId="77777777" w:rsidR="00734BE3" w:rsidRDefault="00734BE3" w:rsidP="006C3593">
      <w:r>
        <w:separator/>
      </w:r>
    </w:p>
  </w:footnote>
  <w:footnote w:type="continuationSeparator" w:id="0">
    <w:p w14:paraId="5F7B28D2" w14:textId="77777777" w:rsidR="00734BE3" w:rsidRDefault="00734BE3" w:rsidP="006C3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4FB349"/>
    <w:multiLevelType w:val="multilevel"/>
    <w:tmpl w:val="B64FB349"/>
    <w:lvl w:ilvl="0">
      <w:start w:val="2"/>
      <w:numFmt w:val="decimal"/>
      <w:lvlText w:val="%1"/>
      <w:lvlJc w:val="left"/>
      <w:pPr>
        <w:tabs>
          <w:tab w:val="left" w:pos="612"/>
        </w:tabs>
        <w:ind w:left="0" w:firstLine="0"/>
      </w:pPr>
      <w:rPr>
        <w:rFonts w:ascii="宋体" w:eastAsia="宋体" w:hAnsi="宋体" w:cs="宋体" w:hint="default"/>
        <w:u w:val="none"/>
      </w:rPr>
    </w:lvl>
    <w:lvl w:ilvl="1">
      <w:start w:val="2"/>
      <w:numFmt w:val="decimal"/>
      <w:lvlText w:val="2.%2"/>
      <w:lvlJc w:val="left"/>
      <w:pPr>
        <w:tabs>
          <w:tab w:val="left" w:pos="756"/>
        </w:tabs>
        <w:ind w:left="624" w:hanging="624"/>
      </w:pPr>
      <w:rPr>
        <w:rFonts w:ascii="宋体" w:eastAsia="宋体" w:hAnsi="宋体" w:cs="宋体" w:hint="default"/>
        <w:b/>
        <w:i w:val="0"/>
        <w:sz w:val="21"/>
        <w:szCs w:val="21"/>
        <w:u w:val="none"/>
      </w:rPr>
    </w:lvl>
    <w:lvl w:ilvl="2">
      <w:start w:val="1"/>
      <w:numFmt w:val="decimal"/>
      <w:lvlText w:val="%1.%2.%3"/>
      <w:lvlJc w:val="left"/>
      <w:pPr>
        <w:tabs>
          <w:tab w:val="left" w:pos="900"/>
        </w:tabs>
        <w:ind w:left="900" w:hanging="900"/>
      </w:pPr>
      <w:rPr>
        <w:rFonts w:ascii="Times New Roman" w:eastAsia="宋体" w:hAnsi="Times New Roman" w:cs="Times New Roman"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1"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2" w15:restartNumberingAfterBreak="0">
    <w:nsid w:val="0E2433C1"/>
    <w:multiLevelType w:val="multilevel"/>
    <w:tmpl w:val="0E2433C1"/>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sz w:val="24"/>
        <w:szCs w:val="24"/>
        <w:lang w:val="en-US"/>
      </w:rPr>
    </w:lvl>
    <w:lvl w:ilvl="2">
      <w:start w:val="1"/>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1B06DFF"/>
    <w:multiLevelType w:val="hybridMultilevel"/>
    <w:tmpl w:val="18804FE0"/>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EC4807"/>
    <w:multiLevelType w:val="multilevel"/>
    <w:tmpl w:val="EDF21E92"/>
    <w:lvl w:ilvl="0">
      <w:numFmt w:val="bullet"/>
      <w:lvlText w:val="-"/>
      <w:lvlJc w:val="left"/>
      <w:pPr>
        <w:tabs>
          <w:tab w:val="num" w:pos="720"/>
        </w:tabs>
        <w:ind w:left="720" w:hanging="360"/>
      </w:pPr>
      <w:rPr>
        <w:rFonts w:ascii="Calibri" w:eastAsiaTheme="minorEastAsia"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EB0460"/>
    <w:multiLevelType w:val="multilevel"/>
    <w:tmpl w:val="41EB0460"/>
    <w:lvl w:ilvl="0">
      <w:start w:val="1"/>
      <w:numFmt w:val="decimal"/>
      <w:lvlText w:val="%1."/>
      <w:lvlJc w:val="left"/>
      <w:pPr>
        <w:ind w:left="360" w:hanging="360"/>
      </w:pPr>
      <w:rPr>
        <w:rFonts w:hint="default"/>
        <w:sz w:val="28"/>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CA93D9C"/>
    <w:multiLevelType w:val="multilevel"/>
    <w:tmpl w:val="7770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9A18FC"/>
    <w:multiLevelType w:val="hybridMultilevel"/>
    <w:tmpl w:val="9730A116"/>
    <w:lvl w:ilvl="0" w:tplc="A40A8D7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B16729"/>
    <w:multiLevelType w:val="multilevel"/>
    <w:tmpl w:val="BBA6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37DD"/>
    <w:multiLevelType w:val="multilevel"/>
    <w:tmpl w:val="748A37DD"/>
    <w:lvl w:ilvl="0">
      <w:start w:val="2"/>
      <w:numFmt w:val="decimal"/>
      <w:pStyle w:val="Heading1"/>
      <w:lvlText w:val="%1"/>
      <w:lvlJc w:val="left"/>
      <w:pPr>
        <w:tabs>
          <w:tab w:val="left" w:pos="612"/>
        </w:tabs>
        <w:ind w:left="0" w:firstLine="0"/>
      </w:pPr>
      <w:rPr>
        <w:rFonts w:ascii="宋体" w:eastAsia="宋体" w:hAnsi="宋体" w:cs="宋体" w:hint="default"/>
        <w:u w:val="none"/>
      </w:rPr>
    </w:lvl>
    <w:lvl w:ilvl="1">
      <w:start w:val="1"/>
      <w:numFmt w:val="decimal"/>
      <w:lvlText w:val="2.%2"/>
      <w:lvlJc w:val="left"/>
      <w:pPr>
        <w:tabs>
          <w:tab w:val="left" w:pos="756"/>
        </w:tabs>
        <w:ind w:left="624" w:hanging="624"/>
      </w:pPr>
      <w:rPr>
        <w:rFonts w:ascii="宋体" w:eastAsia="宋体" w:hAnsi="宋体" w:cs="宋体" w:hint="default"/>
        <w:b/>
        <w:i w:val="0"/>
        <w:sz w:val="21"/>
        <w:szCs w:val="21"/>
        <w:u w:val="none"/>
      </w:rPr>
    </w:lvl>
    <w:lvl w:ilvl="2">
      <w:start w:val="1"/>
      <w:numFmt w:val="decimal"/>
      <w:pStyle w:val="Heading3"/>
      <w:lvlText w:val="%1.%2.%3"/>
      <w:lvlJc w:val="left"/>
      <w:pPr>
        <w:tabs>
          <w:tab w:val="left" w:pos="2034"/>
        </w:tabs>
        <w:ind w:left="2034" w:hanging="900"/>
      </w:pPr>
      <w:rPr>
        <w:rFonts w:ascii="Times New Roman" w:eastAsia="宋体" w:hAnsi="Times New Roman" w:cs="Times New Roman"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0" w15:restartNumberingAfterBreak="0">
    <w:nsid w:val="7BED18BC"/>
    <w:multiLevelType w:val="multilevel"/>
    <w:tmpl w:val="7BED18BC"/>
    <w:lvl w:ilvl="0">
      <w:start w:val="1"/>
      <w:numFmt w:val="decimal"/>
      <w:lvlText w:val="%1"/>
      <w:lvlJc w:val="left"/>
      <w:pPr>
        <w:tabs>
          <w:tab w:val="left" w:pos="612"/>
        </w:tabs>
        <w:ind w:left="0" w:firstLine="0"/>
      </w:pPr>
      <w:rPr>
        <w:rFonts w:hint="eastAsia"/>
        <w:u w:val="none"/>
      </w:rPr>
    </w:lvl>
    <w:lvl w:ilvl="1">
      <w:start w:val="1"/>
      <w:numFmt w:val="decimal"/>
      <w:lvlText w:val="2.%2"/>
      <w:lvlJc w:val="left"/>
      <w:pPr>
        <w:tabs>
          <w:tab w:val="left" w:pos="1890"/>
        </w:tabs>
        <w:ind w:left="1758" w:hanging="624"/>
      </w:pPr>
      <w:rPr>
        <w:rFonts w:hint="default"/>
        <w:b/>
        <w:i w:val="0"/>
        <w:sz w:val="24"/>
        <w:szCs w:val="24"/>
        <w:u w:val="none"/>
      </w:rPr>
    </w:lvl>
    <w:lvl w:ilvl="2">
      <w:start w:val="1"/>
      <w:numFmt w:val="decimal"/>
      <w:lvlText w:val="%1.%2.%3"/>
      <w:lvlJc w:val="left"/>
      <w:pPr>
        <w:tabs>
          <w:tab w:val="left" w:pos="900"/>
        </w:tabs>
        <w:ind w:left="900" w:hanging="900"/>
      </w:pPr>
      <w:rPr>
        <w:rFonts w:ascii="Times New Roman" w:hAnsi="Times New Roman" w:cs="Times New Roman" w:hint="default"/>
        <w:b/>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num w:numId="1">
    <w:abstractNumId w:val="9"/>
  </w:num>
  <w:num w:numId="2">
    <w:abstractNumId w:val="5"/>
  </w:num>
  <w:num w:numId="3">
    <w:abstractNumId w:val="10"/>
  </w:num>
  <w:num w:numId="4">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9"/>
  </w:num>
  <w:num w:numId="8">
    <w:abstractNumId w:val="3"/>
  </w:num>
  <w:num w:numId="9">
    <w:abstractNumId w:val="9"/>
  </w:num>
  <w:num w:numId="10">
    <w:abstractNumId w:val="4"/>
  </w:num>
  <w:num w:numId="11">
    <w:abstractNumId w:val="7"/>
  </w:num>
  <w:num w:numId="12">
    <w:abstractNumId w:val="8"/>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EF"/>
    <w:rsid w:val="00030262"/>
    <w:rsid w:val="000555F4"/>
    <w:rsid w:val="000806E7"/>
    <w:rsid w:val="00130914"/>
    <w:rsid w:val="00131349"/>
    <w:rsid w:val="00136D1F"/>
    <w:rsid w:val="00144E36"/>
    <w:rsid w:val="00150D12"/>
    <w:rsid w:val="00193C4E"/>
    <w:rsid w:val="001A5DD0"/>
    <w:rsid w:val="001B42DA"/>
    <w:rsid w:val="00224FD7"/>
    <w:rsid w:val="00230343"/>
    <w:rsid w:val="002655C0"/>
    <w:rsid w:val="00282827"/>
    <w:rsid w:val="002A655F"/>
    <w:rsid w:val="002E18C1"/>
    <w:rsid w:val="002F3EE2"/>
    <w:rsid w:val="00302E4E"/>
    <w:rsid w:val="003329C3"/>
    <w:rsid w:val="00332B84"/>
    <w:rsid w:val="00347E67"/>
    <w:rsid w:val="00376B12"/>
    <w:rsid w:val="003859CE"/>
    <w:rsid w:val="00462FF9"/>
    <w:rsid w:val="0048427D"/>
    <w:rsid w:val="004935CB"/>
    <w:rsid w:val="00496AEF"/>
    <w:rsid w:val="00554A4A"/>
    <w:rsid w:val="00560292"/>
    <w:rsid w:val="0056526D"/>
    <w:rsid w:val="00571C2A"/>
    <w:rsid w:val="00580B09"/>
    <w:rsid w:val="0059712C"/>
    <w:rsid w:val="005F6F31"/>
    <w:rsid w:val="00602A3F"/>
    <w:rsid w:val="00605358"/>
    <w:rsid w:val="006424BB"/>
    <w:rsid w:val="006457B1"/>
    <w:rsid w:val="006C3593"/>
    <w:rsid w:val="00724609"/>
    <w:rsid w:val="00734BE3"/>
    <w:rsid w:val="00751DC6"/>
    <w:rsid w:val="00765948"/>
    <w:rsid w:val="00783335"/>
    <w:rsid w:val="007917ED"/>
    <w:rsid w:val="007C4920"/>
    <w:rsid w:val="00801D33"/>
    <w:rsid w:val="00812DAC"/>
    <w:rsid w:val="008970F4"/>
    <w:rsid w:val="008C7111"/>
    <w:rsid w:val="008E4A93"/>
    <w:rsid w:val="00965F0F"/>
    <w:rsid w:val="009906F1"/>
    <w:rsid w:val="009B5CC6"/>
    <w:rsid w:val="00A071C0"/>
    <w:rsid w:val="00A31EF4"/>
    <w:rsid w:val="00A52699"/>
    <w:rsid w:val="00A56021"/>
    <w:rsid w:val="00A91718"/>
    <w:rsid w:val="00AA4B6B"/>
    <w:rsid w:val="00AC7F7B"/>
    <w:rsid w:val="00AE772F"/>
    <w:rsid w:val="00B0151E"/>
    <w:rsid w:val="00B26F80"/>
    <w:rsid w:val="00B334D1"/>
    <w:rsid w:val="00B43BFD"/>
    <w:rsid w:val="00B648EE"/>
    <w:rsid w:val="00BA1BEB"/>
    <w:rsid w:val="00BC54F2"/>
    <w:rsid w:val="00BD0296"/>
    <w:rsid w:val="00BE2A6B"/>
    <w:rsid w:val="00C134EC"/>
    <w:rsid w:val="00C3148C"/>
    <w:rsid w:val="00C522EF"/>
    <w:rsid w:val="00CA33B7"/>
    <w:rsid w:val="00CD6D96"/>
    <w:rsid w:val="00CF44DA"/>
    <w:rsid w:val="00D51BBE"/>
    <w:rsid w:val="00D70DB4"/>
    <w:rsid w:val="00D76CA0"/>
    <w:rsid w:val="00D81207"/>
    <w:rsid w:val="00D94C67"/>
    <w:rsid w:val="00DC0315"/>
    <w:rsid w:val="00DE7500"/>
    <w:rsid w:val="00E4365D"/>
    <w:rsid w:val="00E50FD1"/>
    <w:rsid w:val="00E71177"/>
    <w:rsid w:val="00E717E5"/>
    <w:rsid w:val="00E74561"/>
    <w:rsid w:val="00E7565D"/>
    <w:rsid w:val="00EB4900"/>
    <w:rsid w:val="00ED7CEB"/>
    <w:rsid w:val="00F15AE2"/>
    <w:rsid w:val="00F813ED"/>
    <w:rsid w:val="00FA31DF"/>
    <w:rsid w:val="00FA4497"/>
    <w:rsid w:val="00FA6ACC"/>
    <w:rsid w:val="00FD54EE"/>
    <w:rsid w:val="00FF307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655B9"/>
  <w15:chartTrackingRefBased/>
  <w15:docId w15:val="{9E5158C9-1554-4596-AC55-B651E86B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96AEF"/>
    <w:pPr>
      <w:widowControl w:val="0"/>
      <w:spacing w:after="0" w:line="240" w:lineRule="auto"/>
      <w:jc w:val="both"/>
    </w:pPr>
    <w:rPr>
      <w:kern w:val="2"/>
      <w:sz w:val="21"/>
      <w:lang w:val="en-US"/>
    </w:rPr>
  </w:style>
  <w:style w:type="paragraph" w:styleId="Heading1">
    <w:name w:val="heading 1"/>
    <w:basedOn w:val="Normal"/>
    <w:next w:val="Normal"/>
    <w:link w:val="Heading1Char"/>
    <w:autoRedefine/>
    <w:uiPriority w:val="9"/>
    <w:qFormat/>
    <w:rsid w:val="00496AEF"/>
    <w:pPr>
      <w:keepNext/>
      <w:widowControl/>
      <w:numPr>
        <w:numId w:val="1"/>
      </w:numPr>
      <w:autoSpaceDE w:val="0"/>
      <w:autoSpaceDN w:val="0"/>
      <w:adjustRightInd w:val="0"/>
      <w:snapToGrid w:val="0"/>
      <w:spacing w:before="120" w:after="120"/>
      <w:outlineLvl w:val="0"/>
    </w:pPr>
    <w:rPr>
      <w:rFonts w:ascii="Arial" w:eastAsia="宋体" w:hAnsi="Arial" w:cs="Times New Roman"/>
      <w:b/>
      <w:kern w:val="0"/>
      <w:sz w:val="28"/>
      <w:szCs w:val="20"/>
      <w:lang w:val="en-GB" w:eastAsia="en-US"/>
    </w:rPr>
  </w:style>
  <w:style w:type="paragraph" w:styleId="Heading2">
    <w:name w:val="heading 2"/>
    <w:basedOn w:val="Heading1"/>
    <w:next w:val="Normal"/>
    <w:link w:val="Heading2Char"/>
    <w:autoRedefine/>
    <w:uiPriority w:val="9"/>
    <w:unhideWhenUsed/>
    <w:qFormat/>
    <w:rsid w:val="00496AEF"/>
    <w:pPr>
      <w:keepLines/>
      <w:spacing w:before="260" w:after="260" w:line="416" w:lineRule="auto"/>
      <w:outlineLvl w:val="1"/>
    </w:pPr>
    <w:rPr>
      <w:rFonts w:asciiTheme="majorHAnsi" w:eastAsia="Times New Roman" w:hAnsiTheme="majorHAnsi" w:cstheme="majorBidi"/>
      <w:bCs/>
      <w:sz w:val="18"/>
      <w:szCs w:val="32"/>
    </w:rPr>
  </w:style>
  <w:style w:type="paragraph" w:styleId="Heading3">
    <w:name w:val="heading 3"/>
    <w:basedOn w:val="Heading2"/>
    <w:next w:val="Normal"/>
    <w:link w:val="Heading3Char"/>
    <w:autoRedefine/>
    <w:uiPriority w:val="9"/>
    <w:unhideWhenUsed/>
    <w:qFormat/>
    <w:rsid w:val="00496AEF"/>
    <w:pPr>
      <w:numPr>
        <w:ilvl w:val="2"/>
      </w:numPr>
      <w:tabs>
        <w:tab w:val="left" w:pos="900"/>
      </w:tabs>
      <w:outlineLvl w:val="2"/>
    </w:pPr>
    <w:rPr>
      <w:sz w:val="32"/>
    </w:rPr>
  </w:style>
  <w:style w:type="paragraph" w:styleId="Heading4">
    <w:name w:val="heading 4"/>
    <w:basedOn w:val="Heading3"/>
    <w:next w:val="Normal"/>
    <w:link w:val="Heading4Char"/>
    <w:autoRedefine/>
    <w:qFormat/>
    <w:rsid w:val="00496AEF"/>
    <w:pPr>
      <w:numPr>
        <w:ilvl w:val="3"/>
      </w:numPr>
      <w:spacing w:before="240" w:after="60"/>
      <w:jc w:val="left"/>
      <w:outlineLvl w:val="3"/>
    </w:pPr>
    <w:rPr>
      <w:rFonts w:ascii="Times New Roman" w:eastAsia="MS Mincho" w:hAnsi="Times New Roman" w:cs="Times New Roman"/>
      <w:sz w:val="28"/>
      <w:szCs w:val="28"/>
    </w:rPr>
  </w:style>
  <w:style w:type="paragraph" w:styleId="Heading5">
    <w:name w:val="heading 5"/>
    <w:basedOn w:val="Heading4"/>
    <w:next w:val="Normal"/>
    <w:link w:val="Heading5Char"/>
    <w:autoRedefine/>
    <w:qFormat/>
    <w:rsid w:val="00496AEF"/>
    <w:pPr>
      <w:numPr>
        <w:ilvl w:val="4"/>
      </w:numPr>
      <w:spacing w:before="280" w:after="290" w:line="376" w:lineRule="auto"/>
      <w:outlineLvl w:val="4"/>
    </w:pPr>
    <w:rPr>
      <w:rFonts w:eastAsia="Times New Roman"/>
    </w:rPr>
  </w:style>
  <w:style w:type="paragraph" w:styleId="Heading6">
    <w:name w:val="heading 6"/>
    <w:basedOn w:val="Normal"/>
    <w:next w:val="Normal"/>
    <w:link w:val="Heading6Char"/>
    <w:autoRedefine/>
    <w:qFormat/>
    <w:rsid w:val="00496AEF"/>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Heading7">
    <w:name w:val="heading 7"/>
    <w:basedOn w:val="Normal"/>
    <w:next w:val="Normal"/>
    <w:link w:val="Heading7Char"/>
    <w:autoRedefine/>
    <w:qFormat/>
    <w:rsid w:val="00496AEF"/>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Heading8">
    <w:name w:val="heading 8"/>
    <w:basedOn w:val="Normal"/>
    <w:next w:val="Normal"/>
    <w:link w:val="Heading8Char"/>
    <w:autoRedefine/>
    <w:qFormat/>
    <w:rsid w:val="00496AEF"/>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Heading9">
    <w:name w:val="heading 9"/>
    <w:basedOn w:val="Normal"/>
    <w:next w:val="Normal"/>
    <w:link w:val="Heading9Char"/>
    <w:autoRedefine/>
    <w:qFormat/>
    <w:rsid w:val="00496AEF"/>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96AEF"/>
    <w:rPr>
      <w:rFonts w:ascii="Arial" w:eastAsia="宋体" w:hAnsi="Arial" w:cs="Times New Roman"/>
      <w:b/>
      <w:sz w:val="28"/>
      <w:szCs w:val="20"/>
      <w:lang w:eastAsia="en-US"/>
    </w:rPr>
  </w:style>
  <w:style w:type="character" w:customStyle="1" w:styleId="Heading2Char">
    <w:name w:val="Heading 2 Char"/>
    <w:basedOn w:val="DefaultParagraphFont"/>
    <w:link w:val="Heading2"/>
    <w:uiPriority w:val="9"/>
    <w:qFormat/>
    <w:rsid w:val="00496AEF"/>
    <w:rPr>
      <w:rFonts w:asciiTheme="majorHAnsi" w:eastAsia="Times New Roman" w:hAnsiTheme="majorHAnsi" w:cstheme="majorBidi"/>
      <w:b/>
      <w:bCs/>
      <w:sz w:val="18"/>
      <w:szCs w:val="32"/>
      <w:lang w:eastAsia="en-US"/>
    </w:rPr>
  </w:style>
  <w:style w:type="character" w:customStyle="1" w:styleId="Heading3Char">
    <w:name w:val="Heading 3 Char"/>
    <w:basedOn w:val="DefaultParagraphFont"/>
    <w:link w:val="Heading3"/>
    <w:uiPriority w:val="9"/>
    <w:qFormat/>
    <w:rsid w:val="00496AEF"/>
    <w:rPr>
      <w:rFonts w:asciiTheme="majorHAnsi" w:eastAsia="Times New Roman" w:hAnsiTheme="majorHAnsi" w:cstheme="majorBidi"/>
      <w:b/>
      <w:bCs/>
      <w:sz w:val="32"/>
      <w:szCs w:val="32"/>
      <w:lang w:eastAsia="en-US"/>
    </w:rPr>
  </w:style>
  <w:style w:type="character" w:customStyle="1" w:styleId="Heading4Char">
    <w:name w:val="Heading 4 Char"/>
    <w:basedOn w:val="DefaultParagraphFont"/>
    <w:link w:val="Heading4"/>
    <w:rsid w:val="00496AEF"/>
    <w:rPr>
      <w:rFonts w:ascii="Times New Roman" w:eastAsia="MS Mincho" w:hAnsi="Times New Roman" w:cs="Times New Roman"/>
      <w:b/>
      <w:bCs/>
      <w:sz w:val="28"/>
      <w:szCs w:val="28"/>
      <w:lang w:eastAsia="en-US"/>
    </w:rPr>
  </w:style>
  <w:style w:type="character" w:customStyle="1" w:styleId="Heading5Char">
    <w:name w:val="Heading 5 Char"/>
    <w:basedOn w:val="DefaultParagraphFont"/>
    <w:link w:val="Heading5"/>
    <w:rsid w:val="00496AEF"/>
    <w:rPr>
      <w:rFonts w:ascii="Times New Roman" w:eastAsia="Times New Roman" w:hAnsi="Times New Roman" w:cs="Times New Roman"/>
      <w:b/>
      <w:bCs/>
      <w:sz w:val="28"/>
      <w:szCs w:val="28"/>
      <w:lang w:eastAsia="en-US"/>
    </w:rPr>
  </w:style>
  <w:style w:type="character" w:customStyle="1" w:styleId="Heading6Char">
    <w:name w:val="Heading 6 Char"/>
    <w:basedOn w:val="DefaultParagraphFont"/>
    <w:link w:val="Heading6"/>
    <w:rsid w:val="00496AEF"/>
    <w:rPr>
      <w:rFonts w:ascii="Arial" w:eastAsia="黑体" w:hAnsi="Arial" w:cs="Times New Roman"/>
      <w:b/>
      <w:bCs/>
      <w:sz w:val="24"/>
      <w:szCs w:val="24"/>
      <w:lang w:val="en-US" w:eastAsia="en-US"/>
    </w:rPr>
  </w:style>
  <w:style w:type="character" w:customStyle="1" w:styleId="Heading7Char">
    <w:name w:val="Heading 7 Char"/>
    <w:basedOn w:val="DefaultParagraphFont"/>
    <w:link w:val="Heading7"/>
    <w:rsid w:val="00496AEF"/>
    <w:rPr>
      <w:rFonts w:ascii="Times New Roman" w:eastAsia="Times New Roman" w:hAnsi="Times New Roman" w:cs="Times New Roman"/>
      <w:b/>
      <w:bCs/>
      <w:sz w:val="24"/>
      <w:szCs w:val="24"/>
      <w:lang w:val="en-US" w:eastAsia="en-US"/>
    </w:rPr>
  </w:style>
  <w:style w:type="character" w:customStyle="1" w:styleId="Heading8Char">
    <w:name w:val="Heading 8 Char"/>
    <w:basedOn w:val="DefaultParagraphFont"/>
    <w:link w:val="Heading8"/>
    <w:rsid w:val="00496AEF"/>
    <w:rPr>
      <w:rFonts w:ascii="Arial" w:eastAsia="黑体" w:hAnsi="Arial" w:cs="Times New Roman"/>
      <w:sz w:val="24"/>
      <w:szCs w:val="24"/>
      <w:lang w:val="en-US" w:eastAsia="en-US"/>
    </w:rPr>
  </w:style>
  <w:style w:type="character" w:customStyle="1" w:styleId="Heading9Char">
    <w:name w:val="Heading 9 Char"/>
    <w:basedOn w:val="DefaultParagraphFont"/>
    <w:link w:val="Heading9"/>
    <w:rsid w:val="00496AEF"/>
    <w:rPr>
      <w:rFonts w:ascii="Arial" w:eastAsia="黑体" w:hAnsi="Arial" w:cs="Times New Roman"/>
      <w:sz w:val="21"/>
      <w:szCs w:val="21"/>
      <w:lang w:val="en-US" w:eastAsia="en-US"/>
    </w:rPr>
  </w:style>
  <w:style w:type="paragraph" w:styleId="BodyText">
    <w:name w:val="Body Text"/>
    <w:basedOn w:val="Normal"/>
    <w:link w:val="BodyTextChar"/>
    <w:autoRedefine/>
    <w:qFormat/>
    <w:rsid w:val="00496AEF"/>
    <w:pPr>
      <w:adjustRightInd w:val="0"/>
      <w:snapToGrid w:val="0"/>
      <w:spacing w:line="360" w:lineRule="auto"/>
      <w:ind w:firstLine="420"/>
    </w:pPr>
    <w:rPr>
      <w:rFonts w:eastAsia="KaiTi"/>
      <w:snapToGrid w:val="0"/>
    </w:rPr>
  </w:style>
  <w:style w:type="character" w:customStyle="1" w:styleId="BodyTextChar">
    <w:name w:val="Body Text Char"/>
    <w:basedOn w:val="DefaultParagraphFont"/>
    <w:link w:val="BodyText"/>
    <w:qFormat/>
    <w:rsid w:val="00496AEF"/>
    <w:rPr>
      <w:rFonts w:eastAsia="KaiTi"/>
      <w:snapToGrid w:val="0"/>
      <w:kern w:val="2"/>
      <w:sz w:val="21"/>
      <w:lang w:val="en-US"/>
    </w:rPr>
  </w:style>
  <w:style w:type="paragraph" w:styleId="ListParagraph">
    <w:name w:val="List Paragraph"/>
    <w:aliases w:val="- Bullets,?? ??,?????,????,Lista1,列出段落,목록 단락,リスト段落,列出段落1,中等深浅网格 1 - 着色 21,¥¡¡¡¡ì¬º¥¹¥È¶ÎÂä,ÁÐ³ö¶ÎÂä,¥ê¥¹¥È¶ÎÂä,列表段落1,—ño’i—Ž,1st level - Bullet List Paragraph,Lettre d'introduction,Paragrafo elenco,Normal bullet 2,Bullet list,목록단락,列,列表段落"/>
    <w:basedOn w:val="Normal"/>
    <w:link w:val="ListParagraphChar"/>
    <w:uiPriority w:val="34"/>
    <w:qFormat/>
    <w:rsid w:val="00496AEF"/>
    <w:pPr>
      <w:ind w:left="720"/>
      <w:contextualSpacing/>
    </w:pPr>
  </w:style>
  <w:style w:type="paragraph" w:customStyle="1" w:styleId="ds-markdown-paragraph">
    <w:name w:val="ds-markdown-paragraph"/>
    <w:basedOn w:val="Normal"/>
    <w:qFormat/>
    <w:rsid w:val="00FF307D"/>
    <w:pPr>
      <w:widowControl/>
      <w:spacing w:before="100" w:beforeAutospacing="1" w:after="100" w:afterAutospacing="1"/>
      <w:jc w:val="left"/>
    </w:pPr>
    <w:rPr>
      <w:rFonts w:ascii="Times New Roman" w:eastAsia="Times New Roman" w:hAnsi="Times New Roman" w:cs="Times New Roman"/>
      <w:kern w:val="0"/>
      <w:sz w:val="24"/>
      <w:szCs w:val="24"/>
      <w:lang w:val="en-GB"/>
    </w:rPr>
  </w:style>
  <w:style w:type="character" w:styleId="FollowedHyperlink">
    <w:name w:val="FollowedHyperlink"/>
    <w:uiPriority w:val="99"/>
    <w:semiHidden/>
    <w:unhideWhenUsed/>
    <w:qFormat/>
    <w:rsid w:val="00FF307D"/>
    <w:rPr>
      <w:color w:val="954F72"/>
      <w:u w:val="single"/>
    </w:rPr>
  </w:style>
  <w:style w:type="character" w:styleId="Hyperlink">
    <w:name w:val="Hyperlink"/>
    <w:uiPriority w:val="99"/>
    <w:qFormat/>
    <w:rsid w:val="00FF307D"/>
    <w:rPr>
      <w:color w:val="0000FF"/>
      <w:u w:val="single"/>
    </w:rPr>
  </w:style>
  <w:style w:type="table" w:styleId="TableGrid">
    <w:name w:val="Table Grid"/>
    <w:aliases w:val="TableGrid"/>
    <w:basedOn w:val="TableNormal"/>
    <w:uiPriority w:val="39"/>
    <w:qFormat/>
    <w:rsid w:val="00FF307D"/>
    <w:pPr>
      <w:spacing w:after="0" w:line="240" w:lineRule="auto"/>
    </w:pPr>
    <w:rPr>
      <w:rFonts w:ascii="等线" w:eastAsia="等线" w:hAnsi="等线"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91718"/>
    <w:pPr>
      <w:spacing w:after="120" w:line="240" w:lineRule="auto"/>
    </w:pPr>
    <w:rPr>
      <w:rFonts w:ascii="Arial" w:eastAsia="MS Mincho" w:hAnsi="Arial" w:cs="Times New Roman"/>
      <w:sz w:val="20"/>
      <w:szCs w:val="20"/>
      <w:lang w:eastAsia="en-US"/>
    </w:rPr>
  </w:style>
  <w:style w:type="paragraph" w:styleId="NormalWeb">
    <w:name w:val="Normal (Web)"/>
    <w:basedOn w:val="Normal"/>
    <w:uiPriority w:val="99"/>
    <w:unhideWhenUsed/>
    <w:qFormat/>
    <w:rsid w:val="007C4920"/>
    <w:pPr>
      <w:widowControl/>
      <w:spacing w:after="100" w:afterAutospacing="1"/>
      <w:jc w:val="left"/>
    </w:pPr>
    <w:rPr>
      <w:rFonts w:ascii="Times New Roman" w:eastAsia="Times New Roman" w:hAnsi="Times New Roman" w:cs="Times New Roman"/>
      <w:kern w:val="0"/>
      <w:sz w:val="24"/>
      <w:szCs w:val="24"/>
      <w:lang w:val="en-GB"/>
    </w:rPr>
  </w:style>
  <w:style w:type="character" w:styleId="Strong">
    <w:name w:val="Strong"/>
    <w:uiPriority w:val="22"/>
    <w:qFormat/>
    <w:rsid w:val="007C4920"/>
    <w:rPr>
      <w:b/>
      <w:bCs/>
    </w:rPr>
  </w:style>
  <w:style w:type="paragraph" w:styleId="Header">
    <w:name w:val="header"/>
    <w:basedOn w:val="Normal"/>
    <w:link w:val="HeaderChar"/>
    <w:uiPriority w:val="99"/>
    <w:unhideWhenUsed/>
    <w:rsid w:val="006C3593"/>
    <w:pPr>
      <w:tabs>
        <w:tab w:val="center" w:pos="4153"/>
        <w:tab w:val="right" w:pos="8306"/>
      </w:tabs>
    </w:pPr>
  </w:style>
  <w:style w:type="character" w:customStyle="1" w:styleId="HeaderChar">
    <w:name w:val="Header Char"/>
    <w:basedOn w:val="DefaultParagraphFont"/>
    <w:link w:val="Header"/>
    <w:uiPriority w:val="99"/>
    <w:rsid w:val="006C3593"/>
    <w:rPr>
      <w:kern w:val="2"/>
      <w:sz w:val="21"/>
      <w:lang w:val="en-US"/>
    </w:rPr>
  </w:style>
  <w:style w:type="paragraph" w:styleId="Footer">
    <w:name w:val="footer"/>
    <w:basedOn w:val="Normal"/>
    <w:link w:val="FooterChar"/>
    <w:uiPriority w:val="99"/>
    <w:unhideWhenUsed/>
    <w:rsid w:val="006C3593"/>
    <w:pPr>
      <w:tabs>
        <w:tab w:val="center" w:pos="4153"/>
        <w:tab w:val="right" w:pos="8306"/>
      </w:tabs>
    </w:pPr>
  </w:style>
  <w:style w:type="character" w:customStyle="1" w:styleId="FooterChar">
    <w:name w:val="Footer Char"/>
    <w:basedOn w:val="DefaultParagraphFont"/>
    <w:link w:val="Footer"/>
    <w:uiPriority w:val="99"/>
    <w:rsid w:val="006C3593"/>
    <w:rPr>
      <w:kern w:val="2"/>
      <w:sz w:val="21"/>
      <w:lang w:val="en-US"/>
    </w:rPr>
  </w:style>
  <w:style w:type="paragraph" w:styleId="BalloonText">
    <w:name w:val="Balloon Text"/>
    <w:basedOn w:val="Normal"/>
    <w:link w:val="BalloonTextChar"/>
    <w:uiPriority w:val="99"/>
    <w:semiHidden/>
    <w:unhideWhenUsed/>
    <w:rsid w:val="00E74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561"/>
    <w:rPr>
      <w:rFonts w:ascii="Segoe UI" w:hAnsi="Segoe UI" w:cs="Segoe UI"/>
      <w:kern w:val="2"/>
      <w:sz w:val="18"/>
      <w:szCs w:val="18"/>
      <w:lang w:val="en-US"/>
    </w:rPr>
  </w:style>
  <w:style w:type="paragraph" w:styleId="CommentText">
    <w:name w:val="annotation text"/>
    <w:basedOn w:val="Normal"/>
    <w:link w:val="CommentTextChar"/>
    <w:uiPriority w:val="99"/>
    <w:unhideWhenUsed/>
    <w:qFormat/>
    <w:rsid w:val="008E4A93"/>
    <w:pPr>
      <w:widowControl/>
      <w:jc w:val="left"/>
    </w:pPr>
    <w:rPr>
      <w:rFonts w:ascii="Times New Roman" w:eastAsia="Times New Roman" w:hAnsi="Times New Roman" w:cs="Times New Roman"/>
      <w:kern w:val="0"/>
      <w:sz w:val="24"/>
      <w:szCs w:val="24"/>
      <w:lang w:val="en-GB"/>
    </w:rPr>
  </w:style>
  <w:style w:type="character" w:customStyle="1" w:styleId="CommentTextChar">
    <w:name w:val="Comment Text Char"/>
    <w:basedOn w:val="DefaultParagraphFont"/>
    <w:link w:val="CommentText"/>
    <w:uiPriority w:val="99"/>
    <w:qFormat/>
    <w:rsid w:val="008E4A93"/>
    <w:rPr>
      <w:rFonts w:ascii="Times New Roman" w:eastAsia="Times New Roman" w:hAnsi="Times New Roman" w:cs="Times New Roman"/>
      <w:sz w:val="24"/>
      <w:szCs w:val="24"/>
    </w:rPr>
  </w:style>
  <w:style w:type="character" w:styleId="CommentReference">
    <w:name w:val="annotation reference"/>
    <w:qFormat/>
    <w:rsid w:val="008E4A93"/>
    <w:rPr>
      <w:sz w:val="16"/>
      <w:szCs w:val="16"/>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ê¥¹¥È¶ÎÂä Char,列表段落1 Char,—ño’i—Ž Char,Lettre d'introduction Char"/>
    <w:link w:val="ListParagraph"/>
    <w:uiPriority w:val="34"/>
    <w:qFormat/>
    <w:locked/>
    <w:rsid w:val="00AE772F"/>
    <w:rPr>
      <w:kern w:val="2"/>
      <w:sz w:val="21"/>
      <w:lang w:val="en-US"/>
    </w:rPr>
  </w:style>
  <w:style w:type="paragraph" w:customStyle="1" w:styleId="TF">
    <w:name w:val="TF"/>
    <w:aliases w:val="left"/>
    <w:basedOn w:val="Normal"/>
    <w:link w:val="TFChar"/>
    <w:qFormat/>
    <w:rsid w:val="00DE7500"/>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4"/>
      <w:lang w:val="zh-CN"/>
    </w:rPr>
  </w:style>
  <w:style w:type="character" w:customStyle="1" w:styleId="TFChar">
    <w:name w:val="TF Char"/>
    <w:link w:val="TF"/>
    <w:qFormat/>
    <w:rsid w:val="00DE7500"/>
    <w:rPr>
      <w:rFonts w:ascii="Arial" w:eastAsia="Times New Roman" w:hAnsi="Arial" w:cs="Times New Roman"/>
      <w:b/>
      <w:sz w:val="20"/>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654794">
      <w:bodyDiv w:val="1"/>
      <w:marLeft w:val="0"/>
      <w:marRight w:val="0"/>
      <w:marTop w:val="0"/>
      <w:marBottom w:val="0"/>
      <w:divBdr>
        <w:top w:val="none" w:sz="0" w:space="0" w:color="auto"/>
        <w:left w:val="none" w:sz="0" w:space="0" w:color="auto"/>
        <w:bottom w:val="none" w:sz="0" w:space="0" w:color="auto"/>
        <w:right w:val="none" w:sz="0" w:space="0" w:color="auto"/>
      </w:divBdr>
    </w:div>
    <w:div w:id="1402558589">
      <w:bodyDiv w:val="1"/>
      <w:marLeft w:val="0"/>
      <w:marRight w:val="0"/>
      <w:marTop w:val="0"/>
      <w:marBottom w:val="0"/>
      <w:divBdr>
        <w:top w:val="none" w:sz="0" w:space="0" w:color="auto"/>
        <w:left w:val="none" w:sz="0" w:space="0" w:color="auto"/>
        <w:bottom w:val="none" w:sz="0" w:space="0" w:color="auto"/>
        <w:right w:val="none" w:sz="0" w:space="0" w:color="auto"/>
      </w:divBdr>
    </w:div>
    <w:div w:id="1455520772">
      <w:bodyDiv w:val="1"/>
      <w:marLeft w:val="0"/>
      <w:marRight w:val="0"/>
      <w:marTop w:val="0"/>
      <w:marBottom w:val="0"/>
      <w:divBdr>
        <w:top w:val="none" w:sz="0" w:space="0" w:color="auto"/>
        <w:left w:val="none" w:sz="0" w:space="0" w:color="auto"/>
        <w:bottom w:val="none" w:sz="0" w:space="0" w:color="auto"/>
        <w:right w:val="none" w:sz="0" w:space="0" w:color="auto"/>
      </w:divBdr>
    </w:div>
    <w:div w:id="145787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1914</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MOHAMMED MIKAE</dc:creator>
  <cp:keywords/>
  <dc:description/>
  <cp:lastModifiedBy>AHMED MOHAMMED MIKAE</cp:lastModifiedBy>
  <cp:revision>4</cp:revision>
  <dcterms:created xsi:type="dcterms:W3CDTF">2025-11-07T07:34:00Z</dcterms:created>
  <dcterms:modified xsi:type="dcterms:W3CDTF">2025-11-07T07:36:00Z</dcterms:modified>
</cp:coreProperties>
</file>