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32</w:t>
      </w:r>
      <w:r>
        <w:rPr>
          <w:rFonts w:hint="eastAsia" w:ascii="Arial" w:hAnsi="Arial" w:eastAsia="宋体" w:cs="Times New Roman"/>
          <w:b/>
          <w:sz w:val="24"/>
          <w:szCs w:val="24"/>
          <w:lang w:val="en-US" w:eastAsia="zh-CN" w:bidi="ar-SA"/>
        </w:rPr>
        <w:t xml:space="preserve">                            R2-2508225</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Dallas, USA, Nov.17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–21</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2025</w:t>
      </w:r>
    </w:p>
    <w:p>
      <w:pPr>
        <w:pStyle w:val="20"/>
        <w:jc w:val="both"/>
        <w:rPr>
          <w:rFonts w:cs="Arial" w:eastAsiaTheme="minorEastAsia"/>
          <w:sz w:val="22"/>
          <w:szCs w:val="22"/>
          <w:lang w:val="en-GB" w:eastAsia="zh-CN"/>
        </w:rPr>
      </w:pPr>
      <w:r>
        <w:rPr>
          <w:rFonts w:cs="Arial"/>
          <w:sz w:val="22"/>
          <w:szCs w:val="22"/>
          <w:lang w:val="en-GB"/>
        </w:rPr>
        <w:t xml:space="preserve">                                              </w:t>
      </w:r>
    </w:p>
    <w:p>
      <w:pPr>
        <w:pStyle w:val="20"/>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10.3.1.3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w:t>
      </w:r>
      <w:r>
        <w:rPr>
          <w:rFonts w:hint="eastAsia" w:ascii="Arial" w:hAnsi="Arial" w:cs="Arial" w:eastAsiaTheme="minorEastAsia"/>
          <w:b/>
          <w:sz w:val="22"/>
          <w:szCs w:val="22"/>
          <w:lang w:val="en-US" w:eastAsia="zh-CN" w:bidi="ar-SA"/>
        </w:rPr>
        <w:t xml:space="preserve"> L2</w:t>
      </w:r>
      <w:r>
        <w:rPr>
          <w:rFonts w:ascii="Arial" w:hAnsi="Arial" w:cs="Arial" w:eastAsiaTheme="minorEastAsia"/>
          <w:b/>
          <w:sz w:val="22"/>
          <w:szCs w:val="22"/>
          <w:lang w:val="en-US" w:eastAsia="zh-CN" w:bidi="ar-SA"/>
        </w:rPr>
        <w:t xml:space="preserve"> </w:t>
      </w:r>
      <w:bookmarkEnd w:id="0"/>
      <w:r>
        <w:rPr>
          <w:rFonts w:hint="eastAsia" w:ascii="Arial" w:hAnsi="Arial" w:cs="Arial" w:eastAsiaTheme="minorEastAsia"/>
          <w:b/>
          <w:sz w:val="22"/>
          <w:szCs w:val="22"/>
          <w:lang w:val="en-US" w:eastAsia="zh-CN" w:bidi="ar-SA"/>
        </w:rPr>
        <w:t>re-transmission and scheduling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3"/>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UP for 6G were discussed, and the following agreements were made[1]:</w:t>
      </w:r>
      <w:r>
        <w:rPr>
          <w:rFonts w:hint="eastAsia" w:ascii="Arial" w:hAnsi="Arial" w:cs="Arial" w:eastAsiaTheme="minorEastAsia"/>
          <w:szCs w:val="20"/>
          <w:lang w:val="en-GB" w:eastAsia="zh-CN"/>
        </w:rPr>
        <w:t xml:space="preserve"> </w:t>
      </w:r>
    </w:p>
    <w:p>
      <w:pPr>
        <w:pStyle w:val="6"/>
        <w:pBdr>
          <w:top w:val="single" w:color="auto" w:sz="4" w:space="1"/>
          <w:left w:val="single" w:color="auto" w:sz="4" w:space="4"/>
          <w:bottom w:val="single" w:color="auto" w:sz="4" w:space="1"/>
          <w:right w:val="single" w:color="auto" w:sz="4" w:space="4"/>
        </w:pBdr>
        <w:rPr>
          <w:b/>
          <w:bCs/>
        </w:rPr>
      </w:pPr>
      <w:r>
        <w:rPr>
          <w:b/>
          <w:bCs/>
        </w:rPr>
        <w:t>Agreements on UP</w:t>
      </w:r>
    </w:p>
    <w:p>
      <w:pPr>
        <w:pStyle w:val="79"/>
        <w:numPr>
          <w:ilvl w:val="0"/>
          <w:numId w:val="0"/>
        </w:numPr>
        <w:pBdr>
          <w:top w:val="single" w:color="auto" w:sz="4" w:space="1"/>
          <w:left w:val="single" w:color="auto" w:sz="4" w:space="4"/>
          <w:bottom w:val="single" w:color="auto" w:sz="4" w:space="1"/>
          <w:right w:val="single" w:color="auto" w:sz="4" w:space="4"/>
        </w:pBdr>
        <w:ind w:left="1619" w:hanging="360"/>
        <w:rPr>
          <w:b w:val="0"/>
          <w:bCs/>
        </w:rPr>
      </w:pPr>
      <w:r>
        <w:rPr>
          <w:b w:val="0"/>
          <w:bCs/>
        </w:rPr>
        <w:t>1.</w:t>
      </w:r>
      <w:r>
        <w:rPr>
          <w:b w:val="0"/>
          <w:bCs/>
        </w:rPr>
        <w:tab/>
      </w:r>
      <w:r>
        <w:rPr>
          <w:b w:val="0"/>
          <w:bCs/>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pPr>
        <w:pStyle w:val="6"/>
        <w:pBdr>
          <w:top w:val="single" w:color="auto" w:sz="4" w:space="1"/>
          <w:left w:val="single" w:color="auto" w:sz="4" w:space="4"/>
          <w:bottom w:val="single" w:color="auto" w:sz="4" w:space="1"/>
          <w:right w:val="single" w:color="auto" w:sz="4" w:space="4"/>
        </w:pBdr>
      </w:pPr>
      <w:r>
        <w:t xml:space="preserve">2.  </w:t>
      </w:r>
      <w:r>
        <w:tab/>
      </w:r>
      <w:r>
        <w:t xml:space="preserve">UP design should aim to be hardware-processing friendly while keeping memory requirements low and minimize data movements across protocol layer.  </w:t>
      </w:r>
    </w:p>
    <w:p>
      <w:pPr>
        <w:pStyle w:val="6"/>
        <w:pBdr>
          <w:top w:val="single" w:color="auto" w:sz="4" w:space="1"/>
          <w:left w:val="single" w:color="auto" w:sz="4" w:space="4"/>
          <w:bottom w:val="single" w:color="auto" w:sz="4" w:space="1"/>
          <w:right w:val="single" w:color="auto" w:sz="4" w:space="4"/>
        </w:pBdr>
      </w:pPr>
      <w:r>
        <w:t>3.</w:t>
      </w:r>
      <w:r>
        <w:tab/>
      </w:r>
      <w:r>
        <w:t xml:space="preserve">6G user plane should aim to reduce the radio and end-to-end latency for general services (including eMBB)   </w:t>
      </w:r>
    </w:p>
    <w:p>
      <w:pPr>
        <w:pStyle w:val="6"/>
        <w:pBdr>
          <w:top w:val="single" w:color="auto" w:sz="4" w:space="1"/>
          <w:left w:val="single" w:color="auto" w:sz="4" w:space="4"/>
          <w:bottom w:val="single" w:color="auto" w:sz="4" w:space="1"/>
          <w:right w:val="single" w:color="auto" w:sz="4" w:space="4"/>
        </w:pBdr>
      </w:pPr>
      <w:r>
        <w:t>4.</w:t>
      </w:r>
      <w:r>
        <w:tab/>
      </w:r>
      <w:r>
        <w:t xml:space="preserve">Study potential benefits and standardized mechanisms for applications/service-awareness in the RAN (e.g. immersive communications, AI mobile traffic).  Understand the issues and shortcoming with the current NR QoS.   Aim to look at a general framework.     </w:t>
      </w:r>
    </w:p>
    <w:p>
      <w:pPr>
        <w:pStyle w:val="6"/>
        <w:pBdr>
          <w:top w:val="single" w:color="auto" w:sz="4" w:space="1"/>
          <w:left w:val="single" w:color="auto" w:sz="4" w:space="4"/>
          <w:bottom w:val="single" w:color="auto" w:sz="4" w:space="1"/>
          <w:right w:val="single" w:color="auto" w:sz="4" w:space="4"/>
        </w:pBdr>
      </w:pPr>
      <w:r>
        <w:t>5.</w:t>
      </w:r>
      <w:r>
        <w:tab/>
      </w:r>
      <w:r>
        <w:t xml:space="preserve">Support at least the following scheduling schemes: dynamic grant and configured grant.  Further study configured grant. </w:t>
      </w:r>
    </w:p>
    <w:p>
      <w:pPr>
        <w:pStyle w:val="6"/>
        <w:pBdr>
          <w:top w:val="single" w:color="auto" w:sz="4" w:space="1"/>
          <w:left w:val="single" w:color="auto" w:sz="4" w:space="4"/>
          <w:bottom w:val="single" w:color="auto" w:sz="4" w:space="1"/>
          <w:right w:val="single" w:color="auto" w:sz="4" w:space="4"/>
        </w:pBdr>
      </w:pPr>
      <w:r>
        <w:t>6.</w:t>
      </w:r>
      <w:r>
        <w:tab/>
      </w:r>
      <w:r>
        <w:t xml:space="preserve">Study need for scheduling enhancements to address the SR/BSR/DSR latency </w:t>
      </w:r>
    </w:p>
    <w:p>
      <w:pPr>
        <w:pStyle w:val="6"/>
        <w:pBdr>
          <w:top w:val="single" w:color="auto" w:sz="4" w:space="1"/>
          <w:left w:val="single" w:color="auto" w:sz="4" w:space="4"/>
          <w:bottom w:val="single" w:color="auto" w:sz="4" w:space="1"/>
          <w:right w:val="single" w:color="auto" w:sz="4" w:space="4"/>
        </w:pBdr>
      </w:pPr>
      <w:r>
        <w:t>7.</w:t>
      </w:r>
      <w:r>
        <w:tab/>
      </w:r>
      <w:r>
        <w:t xml:space="preserve">Study how to improve L2 ARQ latency/efficiency in 6GR based on tight coordination with HARQ.  Study should identify enhancements needed for HARQ and L2 ARQ.  </w:t>
      </w:r>
    </w:p>
    <w:p>
      <w:pPr>
        <w:pStyle w:val="13"/>
        <w:rPr>
          <w:rFonts w:hint="eastAsia" w:ascii="Arial" w:hAnsi="Arial" w:cs="Arial" w:eastAsiaTheme="minorEastAsia"/>
          <w:szCs w:val="20"/>
          <w:lang w:val="en-GB" w:eastAsia="zh-CN"/>
        </w:rPr>
      </w:pPr>
    </w:p>
    <w:p>
      <w:pPr>
        <w:pStyle w:val="13"/>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bidi w:val="0"/>
        <w:rPr>
          <w:rFonts w:hint="eastAsia"/>
          <w:lang w:val="en-US" w:eastAsia="zh-CN"/>
        </w:rPr>
      </w:pPr>
      <w:r>
        <w:rPr>
          <w:rFonts w:hint="eastAsia"/>
          <w:lang w:val="en-US" w:eastAsia="zh-CN"/>
        </w:rPr>
        <w:t xml:space="preserve"> Re-transmission functions in Layer 2 for 6G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The L2 re-transmission function includes HARQ in MAC and ARQ in RLC. The HARQ in MAC can provide fast error detection feedback and fast retransmission, but the reliability can</w:t>
      </w:r>
      <w:r>
        <w:rPr>
          <w:rFonts w:hint="default" w:ascii="Arial" w:hAnsi="Arial" w:eastAsia="宋体" w:cs="Arial"/>
          <w:b w:val="0"/>
          <w:bCs w:val="0"/>
          <w:i w:val="0"/>
          <w:iCs w:val="0"/>
          <w:lang w:val="en-US" w:eastAsia="zh-CN"/>
        </w:rPr>
        <w:t>’</w:t>
      </w:r>
      <w:r>
        <w:rPr>
          <w:rFonts w:hint="eastAsia" w:ascii="Arial" w:hAnsi="Arial" w:eastAsia="宋体" w:cs="Arial"/>
          <w:b w:val="0"/>
          <w:bCs w:val="0"/>
          <w:i w:val="0"/>
          <w:iCs w:val="0"/>
          <w:lang w:val="en-US" w:eastAsia="zh-CN"/>
        </w:rPr>
        <w:t>t be 100% guaranteed due to the possible NACK-to-ACK detection in L1, the ARQ in RLC is provided as a supplement to solve the HARQ error and also the ARQ can solve other errors caused by the non-channel conditions. So we think the HRAQ in MAC and ARQ in RLC are still needed in 6G.</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eastAsia="宋体" w:cs="Arial"/>
          <w:b w:val="0"/>
          <w:bCs w:val="0"/>
          <w:i w:val="0"/>
          <w:iCs w:val="0"/>
          <w:lang w:val="en-US" w:eastAsia="zh-CN"/>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Both the HARQ in MAC and ARQ in RLC are still needed if the MAC Layer and RLC layer exists in 6G.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For ARQ the re-transmission decision is based on RLC STATUS report from the receiving side which is mainly based on timer and the polling from the sending side, so the re-transmission decision is much later compared with HARQ which may not suitable for some services. So the RLC ARQ can be enhanced to ensure reliability while reducing the delay in retransmission decision-making. Now the ARQ decision is based on the STATUS report from the peer entity, but before the status report indicating a missing RLC SDU, the HARQ feedback of NACK in MAC related to the missing RLC SDU may has already provided multiple times, but do the the lack of the real-time HARQ information of MAC, the RLC re-transmission decision is quit delayed. So to reducing the ARQ re-transmission decision delay, the HARQ feedback information in MAC related to a RLC SDU can be provided to RLC.</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t>
      </w:r>
      <w:r>
        <w:rPr>
          <w:rFonts w:hint="eastAsia" w:ascii="Arial" w:hAnsi="Arial" w:eastAsia="宋体" w:cs="Arial"/>
          <w:b/>
          <w:bCs w:val="0"/>
          <w:i w:val="0"/>
          <w:iCs w:val="0"/>
          <w:lang w:val="en-US" w:eastAsia="zh-CN"/>
        </w:rPr>
        <w:t>The HARQ feedback information in MAC related to a RLC SDU can be provided to RLC to enabled a fast RLC re-transmission decision</w:t>
      </w:r>
      <w:r>
        <w:rPr>
          <w:rFonts w:hint="eastAsia" w:ascii="Arial" w:hAnsi="Arial" w:cs="Arial"/>
          <w:b/>
          <w:bCs w:val="0"/>
          <w:i w:val="0"/>
          <w:iCs w:val="0"/>
          <w:sz w:val="20"/>
          <w:szCs w:val="20"/>
          <w:lang w:val="en-US" w:eastAsia="zh-CN" w:bidi="ar-SA"/>
        </w:rPr>
        <w:t>.</w:t>
      </w:r>
    </w:p>
    <w:p>
      <w:pPr>
        <w:pStyle w:val="3"/>
        <w:bidi w:val="0"/>
        <w:rPr>
          <w:rFonts w:hint="eastAsia"/>
          <w:lang w:val="en-US" w:eastAsia="zh-CN"/>
        </w:rPr>
      </w:pPr>
      <w:r>
        <w:rPr>
          <w:rFonts w:hint="eastAsia"/>
          <w:lang w:val="en-US" w:eastAsia="zh-CN"/>
        </w:rPr>
        <w:t xml:space="preserve"> Scheduling enhancement for 6G</w:t>
      </w:r>
    </w:p>
    <w:p>
      <w:pPr>
        <w:pStyle w:val="3"/>
        <w:keepNext/>
        <w:keepLines w:val="0"/>
        <w:pageBreakBefore w:val="0"/>
        <w:widowControl/>
        <w:numPr>
          <w:ilvl w:val="1"/>
          <w:numId w:val="0"/>
        </w:numPr>
        <w:tabs>
          <w:tab w:val="clear" w:pos="1277"/>
        </w:tabs>
        <w:kinsoku/>
        <w:wordWrap/>
        <w:overflowPunct/>
        <w:topLinePunct w:val="0"/>
        <w:autoSpaceDE/>
        <w:autoSpaceDN/>
        <w:bidi w:val="0"/>
        <w:adjustRightInd/>
        <w:snapToGrid/>
        <w:spacing w:line="360" w:lineRule="auto"/>
        <w:textAlignment w:val="auto"/>
        <w:rPr>
          <w:rFonts w:hint="eastAsia"/>
          <w:lang w:val="en-US" w:eastAsia="zh-CN"/>
        </w:rPr>
      </w:pPr>
      <w:r>
        <w:rPr>
          <w:rFonts w:hint="eastAsia" w:ascii="Arial" w:hAnsi="Arial" w:eastAsia="宋体" w:cs="Arial"/>
          <w:b w:val="0"/>
          <w:bCs w:val="0"/>
          <w:i w:val="0"/>
          <w:iCs w:val="0"/>
          <w:sz w:val="21"/>
          <w:szCs w:val="24"/>
          <w:lang w:val="en-US" w:eastAsia="zh-CN" w:bidi="ar-SA"/>
        </w:rPr>
        <w:t>In last meeting it has been agreed to support at least dynamic grant and configured grant and further study configured grant. One of the configured grant enhancement</w:t>
      </w:r>
      <w:r>
        <w:rPr>
          <w:rFonts w:hint="eastAsia" w:eastAsia="宋体" w:cs="Arial"/>
          <w:b w:val="0"/>
          <w:bCs w:val="0"/>
          <w:i w:val="0"/>
          <w:iCs w:val="0"/>
          <w:sz w:val="21"/>
          <w:szCs w:val="24"/>
          <w:lang w:val="en-US" w:eastAsia="zh-CN" w:bidi="ar-SA"/>
        </w:rPr>
        <w:t xml:space="preserve"> discussed in the meeting</w:t>
      </w:r>
      <w:r>
        <w:rPr>
          <w:rFonts w:hint="eastAsia" w:ascii="Arial" w:hAnsi="Arial" w:eastAsia="宋体" w:cs="Arial"/>
          <w:b w:val="0"/>
          <w:bCs w:val="0"/>
          <w:i w:val="0"/>
          <w:iCs w:val="0"/>
          <w:sz w:val="21"/>
          <w:szCs w:val="24"/>
          <w:lang w:val="en-US" w:eastAsia="zh-CN" w:bidi="ar-SA"/>
        </w:rPr>
        <w:t xml:space="preserve"> is the contention based configured grant, thus the configured grant are shared by UEs. In R19 IoT-NTN, the CB-Msg3-EDT procedure </w:t>
      </w:r>
      <w:r>
        <w:rPr>
          <w:rFonts w:hint="eastAsia" w:eastAsia="宋体" w:cs="Arial"/>
          <w:b w:val="0"/>
          <w:bCs w:val="0"/>
          <w:i w:val="0"/>
          <w:iCs w:val="0"/>
          <w:sz w:val="21"/>
          <w:szCs w:val="24"/>
          <w:lang w:val="en-US" w:eastAsia="zh-CN" w:bidi="ar-SA"/>
        </w:rPr>
        <w:t>was</w:t>
      </w:r>
      <w:r>
        <w:rPr>
          <w:rFonts w:hint="eastAsia" w:ascii="Arial" w:hAnsi="Arial" w:eastAsia="宋体" w:cs="Arial"/>
          <w:b w:val="0"/>
          <w:bCs w:val="0"/>
          <w:i w:val="0"/>
          <w:iCs w:val="0"/>
          <w:sz w:val="21"/>
          <w:szCs w:val="24"/>
          <w:lang w:val="en-US" w:eastAsia="zh-CN" w:bidi="ar-SA"/>
        </w:rPr>
        <w:t xml:space="preserve"> introduce</w:t>
      </w:r>
      <w:r>
        <w:rPr>
          <w:rFonts w:hint="eastAsia" w:eastAsia="宋体" w:cs="Arial"/>
          <w:b w:val="0"/>
          <w:bCs w:val="0"/>
          <w:i w:val="0"/>
          <w:iCs w:val="0"/>
          <w:sz w:val="21"/>
          <w:szCs w:val="24"/>
          <w:lang w:val="en-US" w:eastAsia="zh-CN" w:bidi="ar-SA"/>
        </w:rPr>
        <w:t>d</w:t>
      </w:r>
      <w:r>
        <w:rPr>
          <w:rFonts w:hint="eastAsia" w:ascii="Arial" w:hAnsi="Arial" w:eastAsia="宋体" w:cs="Arial"/>
          <w:b w:val="0"/>
          <w:bCs w:val="0"/>
          <w:i w:val="0"/>
          <w:iCs w:val="0"/>
          <w:sz w:val="21"/>
          <w:szCs w:val="24"/>
          <w:lang w:val="en-US" w:eastAsia="zh-CN" w:bidi="ar-SA"/>
        </w:rPr>
        <w:t xml:space="preserve"> in which the PUSCH resources are shared by UEs to send Msg3</w:t>
      </w:r>
      <w:r>
        <w:rPr>
          <w:rFonts w:hint="eastAsia" w:eastAsia="宋体" w:cs="Arial"/>
          <w:b w:val="0"/>
          <w:bCs w:val="0"/>
          <w:i w:val="0"/>
          <w:iCs w:val="0"/>
          <w:sz w:val="21"/>
          <w:szCs w:val="24"/>
          <w:lang w:val="en-US" w:eastAsia="zh-CN" w:bidi="ar-SA"/>
        </w:rPr>
        <w:t>, with these UE can initiate Msg3 transmission without msg1/RAR, it is considered to be capable of improving the uplink capacity, we think the similar mechanism can be introduce in 6G, thus the shared PUSCH resources can be shared by UEs to initiate Msg3 transmission without msg1/RAR if UEs have a valid TA value</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Introducing shared configured grant for UEs to initiate access in 6G, the CB-Msg3-EDT procedure in R19 IoT-NTN can be a baseline.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Arial" w:hAnsi="Arial" w:cs="Arial"/>
          <w:b/>
          <w:bCs w:val="0"/>
          <w:i w:val="0"/>
          <w:iCs w:val="0"/>
          <w:sz w:val="20"/>
          <w:szCs w:val="20"/>
          <w:lang w:val="en-US" w:eastAsia="zh-CN" w:bidi="ar-SA"/>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the </w:t>
      </w:r>
      <w:r>
        <w:rPr>
          <w:rFonts w:hint="eastAsia"/>
          <w:lang w:val="en-US" w:eastAsia="zh-CN"/>
        </w:rPr>
        <w:t>Re-transmission functions in Layer 2</w:t>
      </w:r>
      <w:r>
        <w:rPr>
          <w:rFonts w:hint="eastAsia" w:eastAsia="宋体" w:cs="Times New Roman"/>
          <w:color w:val="000000" w:themeColor="text1"/>
          <w:lang w:val="en-US" w:eastAsia="zh-CN"/>
          <w14:textFill>
            <w14:solidFill>
              <w14:schemeClr w14:val="tx1"/>
            </w14:solidFill>
          </w14:textFill>
        </w:rPr>
        <w:t xml:space="preserve">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Both the HARQ in MAC and ARQ in RLC are still needed if the MAC Layer and RLC layer exists in 6G.</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t>
      </w:r>
      <w:r>
        <w:rPr>
          <w:rFonts w:hint="eastAsia" w:ascii="Arial" w:hAnsi="Arial" w:eastAsia="宋体" w:cs="Arial"/>
          <w:b/>
          <w:bCs w:val="0"/>
          <w:i w:val="0"/>
          <w:iCs w:val="0"/>
          <w:lang w:val="en-US" w:eastAsia="zh-CN"/>
        </w:rPr>
        <w:t>The HARQ feedback info</w:t>
      </w:r>
      <w:bookmarkStart w:id="6" w:name="_GoBack"/>
      <w:bookmarkEnd w:id="6"/>
      <w:r>
        <w:rPr>
          <w:rFonts w:hint="eastAsia" w:ascii="Arial" w:hAnsi="Arial" w:eastAsia="宋体" w:cs="Arial"/>
          <w:b/>
          <w:bCs w:val="0"/>
          <w:i w:val="0"/>
          <w:iCs w:val="0"/>
          <w:lang w:val="en-US" w:eastAsia="zh-CN"/>
        </w:rPr>
        <w:t>rmation in MAC related to a RLC SDU can be provided to RLC to enabled a fast RLC re-transmission decision</w:t>
      </w:r>
      <w:r>
        <w:rPr>
          <w:rFonts w:hint="eastAsia" w:ascii="Arial" w:hAnsi="Arial" w:cs="Arial"/>
          <w:b/>
          <w:bCs w:val="0"/>
          <w:i w:val="0"/>
          <w:iCs w:val="0"/>
          <w:sz w:val="20"/>
          <w:szCs w:val="20"/>
          <w:lang w:val="en-US" w:eastAsia="zh-CN" w:bidi="ar-SA"/>
        </w:rPr>
        <w: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Introducing shared configured grant for UEs to initiate access in 6G, the CB-Msg3-EDT procedure in R19 IoT-NTN can be a baseline.</w:t>
      </w:r>
    </w:p>
    <w:p>
      <w:pPr>
        <w:pStyle w:val="2"/>
        <w:keepLines/>
        <w:pBdr>
          <w:top w:val="single" w:color="auto" w:sz="12" w:space="3"/>
        </w:pBdr>
        <w:spacing w:before="240" w:after="180"/>
        <w:ind w:left="425" w:hanging="425"/>
        <w:jc w:val="both"/>
      </w:pPr>
      <w:bookmarkStart w:id="1" w:name="OLE_LINK60"/>
      <w:bookmarkStart w:id="2" w:name="OLE_LINK48"/>
      <w:bookmarkStart w:id="3" w:name="OLE_LINK47"/>
      <w:bookmarkStart w:id="4" w:name="OLE_LINK59"/>
      <w:bookmarkStart w:id="5" w:name="OLE_LINK58"/>
      <w:r>
        <w:t>Reference</w:t>
      </w:r>
      <w:bookmarkEnd w:id="1"/>
      <w:bookmarkEnd w:id="2"/>
      <w:bookmarkEnd w:id="3"/>
      <w:bookmarkEnd w:id="4"/>
      <w:bookmarkEnd w:id="5"/>
    </w:p>
    <w:p>
      <w:pPr>
        <w:pStyle w:val="13"/>
        <w:numPr>
          <w:ilvl w:val="0"/>
          <w:numId w:val="8"/>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Draft_RAN2_131bis_MeetingReport_v1.docx</w:t>
      </w:r>
      <w:r>
        <w:rPr>
          <w:rFonts w:hint="default" w:eastAsia="宋体"/>
          <w:lang w:val="en-US" w:eastAsia="zh-CN"/>
        </w:rPr>
        <w:t>”</w:t>
      </w:r>
    </w:p>
    <w:p>
      <w:pPr>
        <w:pStyle w:val="13"/>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4</w:t>
    </w:r>
    <w:r>
      <w:rPr>
        <w:rStyle w:val="30"/>
      </w:rPr>
      <w:fldChar w:fldCharType="end"/>
    </w:r>
  </w:p>
  <w:p>
    <w:pPr>
      <w:pStyle w:val="19"/>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725116"/>
    <w:rsid w:val="02971FAC"/>
    <w:rsid w:val="02DB6612"/>
    <w:rsid w:val="0304423A"/>
    <w:rsid w:val="030F2DBB"/>
    <w:rsid w:val="031A7915"/>
    <w:rsid w:val="032A2972"/>
    <w:rsid w:val="035F60CC"/>
    <w:rsid w:val="03F47970"/>
    <w:rsid w:val="03FD5501"/>
    <w:rsid w:val="04044F9A"/>
    <w:rsid w:val="04563C30"/>
    <w:rsid w:val="04603C0A"/>
    <w:rsid w:val="04E2411E"/>
    <w:rsid w:val="050C0141"/>
    <w:rsid w:val="054B685C"/>
    <w:rsid w:val="0590487E"/>
    <w:rsid w:val="05C11854"/>
    <w:rsid w:val="05DA3A66"/>
    <w:rsid w:val="05E15600"/>
    <w:rsid w:val="06510970"/>
    <w:rsid w:val="065336FA"/>
    <w:rsid w:val="06797CD3"/>
    <w:rsid w:val="06A00757"/>
    <w:rsid w:val="06B350B9"/>
    <w:rsid w:val="06B709CF"/>
    <w:rsid w:val="06DF7E6D"/>
    <w:rsid w:val="06FF294D"/>
    <w:rsid w:val="07331E25"/>
    <w:rsid w:val="07752096"/>
    <w:rsid w:val="07EF5BD4"/>
    <w:rsid w:val="08141073"/>
    <w:rsid w:val="082F6FF7"/>
    <w:rsid w:val="08415DB4"/>
    <w:rsid w:val="08451EBA"/>
    <w:rsid w:val="08454AB2"/>
    <w:rsid w:val="084C139F"/>
    <w:rsid w:val="08A22A43"/>
    <w:rsid w:val="08A30F0B"/>
    <w:rsid w:val="094D21CC"/>
    <w:rsid w:val="09621B2A"/>
    <w:rsid w:val="0A043404"/>
    <w:rsid w:val="0A6D15CC"/>
    <w:rsid w:val="0AE260E4"/>
    <w:rsid w:val="0B3E5988"/>
    <w:rsid w:val="0D4D09D0"/>
    <w:rsid w:val="0D860A22"/>
    <w:rsid w:val="0DD2564C"/>
    <w:rsid w:val="0DE42EAB"/>
    <w:rsid w:val="0DF53660"/>
    <w:rsid w:val="0F417E38"/>
    <w:rsid w:val="0F6840A4"/>
    <w:rsid w:val="0F9D7474"/>
    <w:rsid w:val="0FC2310E"/>
    <w:rsid w:val="103C0B3D"/>
    <w:rsid w:val="105B4363"/>
    <w:rsid w:val="108123D4"/>
    <w:rsid w:val="10AB51ED"/>
    <w:rsid w:val="10AD2D6E"/>
    <w:rsid w:val="10C66D19"/>
    <w:rsid w:val="11D50053"/>
    <w:rsid w:val="12105415"/>
    <w:rsid w:val="122B53CA"/>
    <w:rsid w:val="126256E5"/>
    <w:rsid w:val="128F6218"/>
    <w:rsid w:val="12BE746C"/>
    <w:rsid w:val="12CF3C82"/>
    <w:rsid w:val="12D67422"/>
    <w:rsid w:val="12F04A3F"/>
    <w:rsid w:val="12F04DDF"/>
    <w:rsid w:val="132B45C8"/>
    <w:rsid w:val="132C7392"/>
    <w:rsid w:val="13880395"/>
    <w:rsid w:val="143F4A9F"/>
    <w:rsid w:val="145B124E"/>
    <w:rsid w:val="147A52C8"/>
    <w:rsid w:val="14926ED8"/>
    <w:rsid w:val="14FE66D0"/>
    <w:rsid w:val="15215CC8"/>
    <w:rsid w:val="15242CCD"/>
    <w:rsid w:val="15462052"/>
    <w:rsid w:val="157D323E"/>
    <w:rsid w:val="15C26CB5"/>
    <w:rsid w:val="15DE1242"/>
    <w:rsid w:val="15F9137B"/>
    <w:rsid w:val="166C39B7"/>
    <w:rsid w:val="16AA6D34"/>
    <w:rsid w:val="16AE69F8"/>
    <w:rsid w:val="16E91472"/>
    <w:rsid w:val="170B0E02"/>
    <w:rsid w:val="176647AC"/>
    <w:rsid w:val="179A1B0C"/>
    <w:rsid w:val="1821572D"/>
    <w:rsid w:val="198E0015"/>
    <w:rsid w:val="1AA02376"/>
    <w:rsid w:val="1AB17D6E"/>
    <w:rsid w:val="1ABB6560"/>
    <w:rsid w:val="1ACE6621"/>
    <w:rsid w:val="1B3C3F15"/>
    <w:rsid w:val="1B445D6E"/>
    <w:rsid w:val="1B59397D"/>
    <w:rsid w:val="1B8E4E83"/>
    <w:rsid w:val="1BA10850"/>
    <w:rsid w:val="1BA75823"/>
    <w:rsid w:val="1C4C3C34"/>
    <w:rsid w:val="1C5A0A52"/>
    <w:rsid w:val="1C7B4CA3"/>
    <w:rsid w:val="1CA1384F"/>
    <w:rsid w:val="1E0B7CB6"/>
    <w:rsid w:val="1E523033"/>
    <w:rsid w:val="1E6A7BDD"/>
    <w:rsid w:val="1F045CEA"/>
    <w:rsid w:val="1F122966"/>
    <w:rsid w:val="1F2C7D23"/>
    <w:rsid w:val="1F7A0A62"/>
    <w:rsid w:val="1FAF7026"/>
    <w:rsid w:val="1FC52E19"/>
    <w:rsid w:val="1FEE2B9E"/>
    <w:rsid w:val="200D14E3"/>
    <w:rsid w:val="20306F9B"/>
    <w:rsid w:val="20462FD7"/>
    <w:rsid w:val="20601317"/>
    <w:rsid w:val="21CD368A"/>
    <w:rsid w:val="21D57E4C"/>
    <w:rsid w:val="21FE04CA"/>
    <w:rsid w:val="221016C7"/>
    <w:rsid w:val="228D678C"/>
    <w:rsid w:val="22A27F45"/>
    <w:rsid w:val="22AC3DD3"/>
    <w:rsid w:val="22BD1B6C"/>
    <w:rsid w:val="22D41CE6"/>
    <w:rsid w:val="234222D8"/>
    <w:rsid w:val="23967BC1"/>
    <w:rsid w:val="23BF020B"/>
    <w:rsid w:val="24564BEA"/>
    <w:rsid w:val="24805F2B"/>
    <w:rsid w:val="24966A58"/>
    <w:rsid w:val="24E86231"/>
    <w:rsid w:val="250321B6"/>
    <w:rsid w:val="250C14F4"/>
    <w:rsid w:val="25456006"/>
    <w:rsid w:val="26131534"/>
    <w:rsid w:val="26672625"/>
    <w:rsid w:val="26D039C0"/>
    <w:rsid w:val="26F37D22"/>
    <w:rsid w:val="26F53B52"/>
    <w:rsid w:val="273C2AE6"/>
    <w:rsid w:val="27487239"/>
    <w:rsid w:val="27E9536C"/>
    <w:rsid w:val="27FB282B"/>
    <w:rsid w:val="2809782E"/>
    <w:rsid w:val="282B7F1A"/>
    <w:rsid w:val="282E6418"/>
    <w:rsid w:val="284C12BD"/>
    <w:rsid w:val="28514B4F"/>
    <w:rsid w:val="28D34D20"/>
    <w:rsid w:val="28E90160"/>
    <w:rsid w:val="28EC5630"/>
    <w:rsid w:val="297B4326"/>
    <w:rsid w:val="299106BB"/>
    <w:rsid w:val="2A2E724F"/>
    <w:rsid w:val="2A696F42"/>
    <w:rsid w:val="2B016919"/>
    <w:rsid w:val="2B4873C9"/>
    <w:rsid w:val="2B4C13D3"/>
    <w:rsid w:val="2BC97744"/>
    <w:rsid w:val="2BDF7690"/>
    <w:rsid w:val="2C167DFF"/>
    <w:rsid w:val="2C3F31AA"/>
    <w:rsid w:val="2C5E3FAA"/>
    <w:rsid w:val="2C881EDF"/>
    <w:rsid w:val="2CDD6296"/>
    <w:rsid w:val="2D5331DA"/>
    <w:rsid w:val="2D997E12"/>
    <w:rsid w:val="2DF85D92"/>
    <w:rsid w:val="2E3E1AA5"/>
    <w:rsid w:val="2E452750"/>
    <w:rsid w:val="2E477C26"/>
    <w:rsid w:val="2E5978AD"/>
    <w:rsid w:val="2E6218E5"/>
    <w:rsid w:val="2EB13602"/>
    <w:rsid w:val="2EB978EE"/>
    <w:rsid w:val="2F652A33"/>
    <w:rsid w:val="2FC554FF"/>
    <w:rsid w:val="2FE018AF"/>
    <w:rsid w:val="30137453"/>
    <w:rsid w:val="305C4D55"/>
    <w:rsid w:val="308138F8"/>
    <w:rsid w:val="30A42460"/>
    <w:rsid w:val="30AD73A5"/>
    <w:rsid w:val="318D1AC9"/>
    <w:rsid w:val="322B0AF9"/>
    <w:rsid w:val="329B7C99"/>
    <w:rsid w:val="32C77F8C"/>
    <w:rsid w:val="32CB387D"/>
    <w:rsid w:val="32D55AB9"/>
    <w:rsid w:val="330E07EF"/>
    <w:rsid w:val="3310192D"/>
    <w:rsid w:val="335B0D8A"/>
    <w:rsid w:val="33B41D34"/>
    <w:rsid w:val="33D37A84"/>
    <w:rsid w:val="33E72CDC"/>
    <w:rsid w:val="33EF0217"/>
    <w:rsid w:val="34A57BDD"/>
    <w:rsid w:val="34DD1820"/>
    <w:rsid w:val="34F62FB2"/>
    <w:rsid w:val="35196579"/>
    <w:rsid w:val="354766E8"/>
    <w:rsid w:val="35653AE9"/>
    <w:rsid w:val="356754B7"/>
    <w:rsid w:val="35A53430"/>
    <w:rsid w:val="35A57324"/>
    <w:rsid w:val="35E66AD8"/>
    <w:rsid w:val="35E8621F"/>
    <w:rsid w:val="3638675B"/>
    <w:rsid w:val="368A567F"/>
    <w:rsid w:val="36F83A1D"/>
    <w:rsid w:val="37426E6E"/>
    <w:rsid w:val="37831E43"/>
    <w:rsid w:val="37B26508"/>
    <w:rsid w:val="38421A87"/>
    <w:rsid w:val="38486C88"/>
    <w:rsid w:val="387B63E3"/>
    <w:rsid w:val="388B34B6"/>
    <w:rsid w:val="38C9369A"/>
    <w:rsid w:val="3918629F"/>
    <w:rsid w:val="392A2A61"/>
    <w:rsid w:val="393B37B4"/>
    <w:rsid w:val="39DB56A4"/>
    <w:rsid w:val="3A0E2941"/>
    <w:rsid w:val="3A3A09C6"/>
    <w:rsid w:val="3A4C112D"/>
    <w:rsid w:val="3A7E65BE"/>
    <w:rsid w:val="3A9B5A8B"/>
    <w:rsid w:val="3AE27506"/>
    <w:rsid w:val="3AED4363"/>
    <w:rsid w:val="3B656647"/>
    <w:rsid w:val="3B8D13D0"/>
    <w:rsid w:val="3B957525"/>
    <w:rsid w:val="3BB317CC"/>
    <w:rsid w:val="3BE514B4"/>
    <w:rsid w:val="3C2603FE"/>
    <w:rsid w:val="3C5E32F5"/>
    <w:rsid w:val="3C7A0817"/>
    <w:rsid w:val="3CBF641E"/>
    <w:rsid w:val="3CCB3076"/>
    <w:rsid w:val="3CD70242"/>
    <w:rsid w:val="3CED3074"/>
    <w:rsid w:val="3D265051"/>
    <w:rsid w:val="3D564BD1"/>
    <w:rsid w:val="3E2248D8"/>
    <w:rsid w:val="3E5E198F"/>
    <w:rsid w:val="3ED50C73"/>
    <w:rsid w:val="3F217C21"/>
    <w:rsid w:val="3F735677"/>
    <w:rsid w:val="3FCC4E93"/>
    <w:rsid w:val="3FE0616F"/>
    <w:rsid w:val="4016756E"/>
    <w:rsid w:val="40973E49"/>
    <w:rsid w:val="40997FCD"/>
    <w:rsid w:val="40E05B05"/>
    <w:rsid w:val="40E10F3E"/>
    <w:rsid w:val="410769C8"/>
    <w:rsid w:val="41B362DB"/>
    <w:rsid w:val="41D14C1D"/>
    <w:rsid w:val="42353253"/>
    <w:rsid w:val="425B5EB0"/>
    <w:rsid w:val="42F46F0D"/>
    <w:rsid w:val="42FD4C37"/>
    <w:rsid w:val="435F628D"/>
    <w:rsid w:val="43AE4F12"/>
    <w:rsid w:val="43FF5969"/>
    <w:rsid w:val="448F0F64"/>
    <w:rsid w:val="44BE0D74"/>
    <w:rsid w:val="459B5582"/>
    <w:rsid w:val="45B063D8"/>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564079"/>
    <w:rsid w:val="4A736A5C"/>
    <w:rsid w:val="4A870271"/>
    <w:rsid w:val="4B070FCC"/>
    <w:rsid w:val="4B5667E1"/>
    <w:rsid w:val="4B911EAD"/>
    <w:rsid w:val="4BBE0820"/>
    <w:rsid w:val="4BC0064E"/>
    <w:rsid w:val="4BD9044D"/>
    <w:rsid w:val="4BEA3EF9"/>
    <w:rsid w:val="4C3A5607"/>
    <w:rsid w:val="4C7211B7"/>
    <w:rsid w:val="4C8A48AA"/>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1951B3D"/>
    <w:rsid w:val="51E62DD0"/>
    <w:rsid w:val="5215436D"/>
    <w:rsid w:val="523A43B1"/>
    <w:rsid w:val="52B13856"/>
    <w:rsid w:val="53DC0DCE"/>
    <w:rsid w:val="5486183B"/>
    <w:rsid w:val="54BF0AED"/>
    <w:rsid w:val="559079F4"/>
    <w:rsid w:val="55DD2A5B"/>
    <w:rsid w:val="55EB6E4E"/>
    <w:rsid w:val="561B49FC"/>
    <w:rsid w:val="56335CDC"/>
    <w:rsid w:val="56561485"/>
    <w:rsid w:val="5795565A"/>
    <w:rsid w:val="57C82AEC"/>
    <w:rsid w:val="58196C7F"/>
    <w:rsid w:val="59713A74"/>
    <w:rsid w:val="59852DB4"/>
    <w:rsid w:val="59A84483"/>
    <w:rsid w:val="59E35615"/>
    <w:rsid w:val="5A0B344B"/>
    <w:rsid w:val="5A9204BD"/>
    <w:rsid w:val="5B395F6B"/>
    <w:rsid w:val="5C0031E7"/>
    <w:rsid w:val="5C0111E3"/>
    <w:rsid w:val="5C2D4542"/>
    <w:rsid w:val="5C481980"/>
    <w:rsid w:val="5CBF2F92"/>
    <w:rsid w:val="5CD224A4"/>
    <w:rsid w:val="5CEE0CA7"/>
    <w:rsid w:val="5D223C0F"/>
    <w:rsid w:val="5D474464"/>
    <w:rsid w:val="5DB939F7"/>
    <w:rsid w:val="5E8221A6"/>
    <w:rsid w:val="5EE9029B"/>
    <w:rsid w:val="5F7C0711"/>
    <w:rsid w:val="5FEF1D4F"/>
    <w:rsid w:val="5FEF6ACE"/>
    <w:rsid w:val="60686D13"/>
    <w:rsid w:val="60B34005"/>
    <w:rsid w:val="60E953AA"/>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6B2CC0"/>
    <w:rsid w:val="6372016D"/>
    <w:rsid w:val="63B174E3"/>
    <w:rsid w:val="63DD280D"/>
    <w:rsid w:val="63E1421B"/>
    <w:rsid w:val="64034EA4"/>
    <w:rsid w:val="64591967"/>
    <w:rsid w:val="64C862AF"/>
    <w:rsid w:val="65184C81"/>
    <w:rsid w:val="651923CA"/>
    <w:rsid w:val="656D337B"/>
    <w:rsid w:val="65A742D7"/>
    <w:rsid w:val="65FE2659"/>
    <w:rsid w:val="66176952"/>
    <w:rsid w:val="663B653F"/>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A9400D"/>
    <w:rsid w:val="69B17817"/>
    <w:rsid w:val="69FD25CC"/>
    <w:rsid w:val="6A351E0C"/>
    <w:rsid w:val="6A9D7635"/>
    <w:rsid w:val="6AA04556"/>
    <w:rsid w:val="6ABC46FD"/>
    <w:rsid w:val="6AF42729"/>
    <w:rsid w:val="6B0E2FDC"/>
    <w:rsid w:val="6B363329"/>
    <w:rsid w:val="6B8D221A"/>
    <w:rsid w:val="6B9735DC"/>
    <w:rsid w:val="6BAD1D2D"/>
    <w:rsid w:val="6BBB6ACB"/>
    <w:rsid w:val="6BD3025D"/>
    <w:rsid w:val="6BF4272A"/>
    <w:rsid w:val="6C060A5C"/>
    <w:rsid w:val="6C750DEF"/>
    <w:rsid w:val="6CE858CE"/>
    <w:rsid w:val="6D16046B"/>
    <w:rsid w:val="6D3A401F"/>
    <w:rsid w:val="6D8E2554"/>
    <w:rsid w:val="6D9A5E61"/>
    <w:rsid w:val="6DF072BB"/>
    <w:rsid w:val="6DFE6C33"/>
    <w:rsid w:val="6E0D1FE7"/>
    <w:rsid w:val="6E154221"/>
    <w:rsid w:val="6E47645D"/>
    <w:rsid w:val="6E756306"/>
    <w:rsid w:val="6EEF6BFA"/>
    <w:rsid w:val="6F115FFC"/>
    <w:rsid w:val="6F740CE2"/>
    <w:rsid w:val="6FD30B68"/>
    <w:rsid w:val="70123D3A"/>
    <w:rsid w:val="70436DC4"/>
    <w:rsid w:val="7055318F"/>
    <w:rsid w:val="70871801"/>
    <w:rsid w:val="70BF3FC4"/>
    <w:rsid w:val="70C10123"/>
    <w:rsid w:val="71314C8A"/>
    <w:rsid w:val="716003E0"/>
    <w:rsid w:val="719543AA"/>
    <w:rsid w:val="71B9201A"/>
    <w:rsid w:val="71D51B2C"/>
    <w:rsid w:val="721B250C"/>
    <w:rsid w:val="72402019"/>
    <w:rsid w:val="72421B8D"/>
    <w:rsid w:val="726111DF"/>
    <w:rsid w:val="727A4FD4"/>
    <w:rsid w:val="72806935"/>
    <w:rsid w:val="72AA6937"/>
    <w:rsid w:val="73064FF5"/>
    <w:rsid w:val="731D23A2"/>
    <w:rsid w:val="73707DE3"/>
    <w:rsid w:val="74201914"/>
    <w:rsid w:val="742D63FB"/>
    <w:rsid w:val="745C718B"/>
    <w:rsid w:val="746E4AB6"/>
    <w:rsid w:val="7475031D"/>
    <w:rsid w:val="74F97BE7"/>
    <w:rsid w:val="75372E17"/>
    <w:rsid w:val="7588716E"/>
    <w:rsid w:val="76700534"/>
    <w:rsid w:val="76A345D7"/>
    <w:rsid w:val="76FB48FB"/>
    <w:rsid w:val="77154E6A"/>
    <w:rsid w:val="77230C1C"/>
    <w:rsid w:val="773D13C1"/>
    <w:rsid w:val="77685D20"/>
    <w:rsid w:val="77760276"/>
    <w:rsid w:val="77CD09ED"/>
    <w:rsid w:val="78091420"/>
    <w:rsid w:val="784A657C"/>
    <w:rsid w:val="78732003"/>
    <w:rsid w:val="78911E34"/>
    <w:rsid w:val="78DB6A34"/>
    <w:rsid w:val="78E214B2"/>
    <w:rsid w:val="791B56D6"/>
    <w:rsid w:val="79805D08"/>
    <w:rsid w:val="7A145066"/>
    <w:rsid w:val="7A160D32"/>
    <w:rsid w:val="7A4B5FBA"/>
    <w:rsid w:val="7A5E174B"/>
    <w:rsid w:val="7A9C4D88"/>
    <w:rsid w:val="7A9C7192"/>
    <w:rsid w:val="7AAB7979"/>
    <w:rsid w:val="7AF74612"/>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5"/>
    <w:link w:val="95"/>
    <w:qFormat/>
    <w:uiPriority w:val="0"/>
    <w:pPr>
      <w:keepNext/>
      <w:numPr>
        <w:ilvl w:val="2"/>
        <w:numId w:val="1"/>
      </w:numPr>
      <w:spacing w:before="240" w:after="60"/>
      <w:outlineLvl w:val="2"/>
    </w:pPr>
    <w:rPr>
      <w:rFonts w:ascii="Arial" w:hAnsi="Arial" w:eastAsia="MS Mincho" w:cs="Arial"/>
      <w:sz w:val="26"/>
      <w:szCs w:val="26"/>
    </w:rPr>
  </w:style>
  <w:style w:type="paragraph" w:styleId="7">
    <w:name w:val="heading 4"/>
    <w:basedOn w:val="4"/>
    <w:next w:val="5"/>
    <w:qFormat/>
    <w:uiPriority w:val="0"/>
    <w:pPr>
      <w:keepNext/>
      <w:spacing w:before="240" w:after="60"/>
      <w:outlineLvl w:val="3"/>
    </w:pPr>
    <w:rPr>
      <w:rFonts w:eastAsia="MS Mincho"/>
      <w:sz w:val="28"/>
      <w:szCs w:val="28"/>
    </w:rPr>
  </w:style>
  <w:style w:type="paragraph" w:styleId="8">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8">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5">
    <w:name w:val="Doc-title"/>
    <w:basedOn w:val="1"/>
    <w:next w:val="6"/>
    <w:link w:val="49"/>
    <w:qFormat/>
    <w:uiPriority w:val="0"/>
    <w:pPr>
      <w:spacing w:before="60"/>
      <w:ind w:left="1259" w:hanging="1259"/>
    </w:pPr>
    <w:rPr>
      <w:rFonts w:ascii="Arial" w:hAnsi="Arial" w:eastAsia="MS Mincho"/>
      <w:lang w:val="en-GB" w:eastAsia="en-GB"/>
    </w:rPr>
  </w:style>
  <w:style w:type="paragraph" w:customStyle="1" w:styleId="6">
    <w:name w:val="Doc-text2"/>
    <w:basedOn w:val="1"/>
    <w:link w:val="43"/>
    <w:qFormat/>
    <w:uiPriority w:val="0"/>
    <w:pPr>
      <w:tabs>
        <w:tab w:val="left" w:pos="1622"/>
      </w:tabs>
      <w:ind w:left="1622" w:hanging="363"/>
    </w:pPr>
    <w:rPr>
      <w:rFonts w:ascii="Arial" w:hAnsi="Arial" w:eastAsia="MS Mincho"/>
      <w:lang w:val="en-GB" w:eastAsia="en-GB"/>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5"/>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68"/>
    <w:qFormat/>
    <w:uiPriority w:val="99"/>
  </w:style>
  <w:style w:type="paragraph" w:styleId="13">
    <w:name w:val="Body Text"/>
    <w:basedOn w:val="1"/>
    <w:link w:val="40"/>
    <w:qFormat/>
    <w:uiPriority w:val="0"/>
    <w:pPr>
      <w:spacing w:after="120"/>
      <w:jc w:val="both"/>
    </w:pPr>
    <w:rPr>
      <w:rFonts w:eastAsia="MS Mincho"/>
    </w:rPr>
  </w:style>
  <w:style w:type="paragraph" w:styleId="14">
    <w:name w:val="List 2"/>
    <w:basedOn w:val="15"/>
    <w:qFormat/>
    <w:uiPriority w:val="0"/>
    <w:pPr>
      <w:numPr>
        <w:ilvl w:val="0"/>
        <w:numId w:val="2"/>
      </w:numPr>
      <w:spacing w:before="180"/>
    </w:pPr>
    <w:rPr>
      <w:rFonts w:ascii="Arial" w:hAnsi="Arial"/>
      <w:sz w:val="22"/>
      <w:szCs w:val="20"/>
    </w:rPr>
  </w:style>
  <w:style w:type="paragraph" w:styleId="15">
    <w:name w:val="List"/>
    <w:basedOn w:val="1"/>
    <w:qFormat/>
    <w:uiPriority w:val="0"/>
    <w:pPr>
      <w:ind w:left="283" w:hanging="283"/>
    </w:pPr>
  </w:style>
  <w:style w:type="paragraph" w:styleId="16">
    <w:name w:val="toc 8"/>
    <w:basedOn w:val="17"/>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7">
    <w:name w:val="toc 1"/>
    <w:basedOn w:val="1"/>
    <w:next w:val="1"/>
    <w:qFormat/>
    <w:uiPriority w:val="0"/>
    <w:pPr>
      <w:spacing w:after="100"/>
    </w:pPr>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link w:val="47"/>
    <w:qFormat/>
    <w:uiPriority w:val="99"/>
    <w:pPr>
      <w:tabs>
        <w:tab w:val="center" w:pos="4536"/>
        <w:tab w:val="right" w:pos="9072"/>
      </w:tabs>
    </w:pPr>
    <w:rPr>
      <w:rFonts w:ascii="Arial" w:hAnsi="Arial" w:eastAsia="MS Mincho"/>
      <w:b/>
    </w:rPr>
  </w:style>
  <w:style w:type="paragraph" w:styleId="21">
    <w:name w:val="footnote text"/>
    <w:basedOn w:val="1"/>
    <w:link w:val="45"/>
    <w:qFormat/>
    <w:uiPriority w:val="0"/>
    <w:rPr>
      <w:szCs w:val="20"/>
    </w:rPr>
  </w:style>
  <w:style w:type="paragraph" w:styleId="22">
    <w:name w:val="Normal (Web)"/>
    <w:basedOn w:val="1"/>
    <w:unhideWhenUsed/>
    <w:qFormat/>
    <w:uiPriority w:val="99"/>
    <w:pPr>
      <w:spacing w:before="100" w:beforeAutospacing="1" w:after="100" w:afterAutospacing="1"/>
    </w:pPr>
    <w:rPr>
      <w:sz w:val="24"/>
      <w:lang w:eastAsia="zh-CN"/>
    </w:rPr>
  </w:style>
  <w:style w:type="paragraph" w:styleId="23">
    <w:name w:val="annotation subject"/>
    <w:basedOn w:val="12"/>
    <w:next w:val="12"/>
    <w:semiHidden/>
    <w:qFormat/>
    <w:uiPriority w:val="0"/>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6">
    <w:name w:val="Table Classic 3"/>
    <w:basedOn w:val="24"/>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7">
    <w:name w:val="Table Grid 8"/>
    <w:basedOn w:val="24"/>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9">
    <w:name w:val="Strong"/>
    <w:basedOn w:val="28"/>
    <w:qFormat/>
    <w:uiPriority w:val="0"/>
    <w:rPr>
      <w:b/>
      <w:bCs/>
    </w:rPr>
  </w:style>
  <w:style w:type="character" w:styleId="30">
    <w:name w:val="page number"/>
    <w:basedOn w:val="28"/>
    <w:qFormat/>
    <w:uiPriority w:val="0"/>
  </w:style>
  <w:style w:type="character" w:styleId="31">
    <w:name w:val="Emphasis"/>
    <w:basedOn w:val="28"/>
    <w:qFormat/>
    <w:uiPriority w:val="20"/>
    <w:rPr>
      <w:color w:val="CC0000"/>
    </w:rPr>
  </w:style>
  <w:style w:type="character" w:styleId="32">
    <w:name w:val="Hyperlink"/>
    <w:basedOn w:val="28"/>
    <w:unhideWhenUsed/>
    <w:qFormat/>
    <w:uiPriority w:val="0"/>
    <w:rPr>
      <w:color w:val="0000FF"/>
      <w:u w:val="single"/>
    </w:rPr>
  </w:style>
  <w:style w:type="character" w:styleId="33">
    <w:name w:val="annotation reference"/>
    <w:qFormat/>
    <w:uiPriority w:val="0"/>
    <w:rPr>
      <w:sz w:val="21"/>
      <w:szCs w:val="21"/>
    </w:rPr>
  </w:style>
  <w:style w:type="character" w:styleId="34">
    <w:name w:val="footnote reference"/>
    <w:basedOn w:val="28"/>
    <w:qFormat/>
    <w:uiPriority w:val="0"/>
    <w:rPr>
      <w:vertAlign w:val="superscript"/>
    </w:rPr>
  </w:style>
  <w:style w:type="character" w:customStyle="1" w:styleId="35">
    <w:name w:val="题注 Char"/>
    <w:link w:val="10"/>
    <w:qFormat/>
    <w:uiPriority w:val="35"/>
    <w:rPr>
      <w:lang w:val="en-GB" w:eastAsia="en-US" w:bidi="ar-SA"/>
    </w:rPr>
  </w:style>
  <w:style w:type="paragraph" w:styleId="36">
    <w:name w:val="List Paragraph"/>
    <w:basedOn w:val="1"/>
    <w:link w:val="41"/>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7">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8">
    <w:name w:val="Comments Char"/>
    <w:link w:val="39"/>
    <w:qFormat/>
    <w:locked/>
    <w:uiPriority w:val="0"/>
    <w:rPr>
      <w:rFonts w:ascii="Arial" w:hAnsi="Arial" w:eastAsia="MS Mincho" w:cs="Arial"/>
      <w:i/>
      <w:sz w:val="18"/>
      <w:szCs w:val="24"/>
    </w:rPr>
  </w:style>
  <w:style w:type="paragraph" w:customStyle="1" w:styleId="39">
    <w:name w:val="Comments"/>
    <w:basedOn w:val="1"/>
    <w:link w:val="38"/>
    <w:qFormat/>
    <w:uiPriority w:val="0"/>
    <w:pPr>
      <w:spacing w:before="40"/>
    </w:pPr>
    <w:rPr>
      <w:rFonts w:ascii="Arial" w:hAnsi="Arial" w:eastAsia="MS Mincho"/>
      <w:i/>
      <w:sz w:val="18"/>
    </w:rPr>
  </w:style>
  <w:style w:type="character" w:customStyle="1" w:styleId="40">
    <w:name w:val="正文文本 Char"/>
    <w:link w:val="13"/>
    <w:qFormat/>
    <w:uiPriority w:val="0"/>
    <w:rPr>
      <w:rFonts w:eastAsia="MS Mincho"/>
      <w:szCs w:val="24"/>
      <w:lang w:eastAsia="en-US"/>
    </w:rPr>
  </w:style>
  <w:style w:type="character" w:customStyle="1" w:styleId="41">
    <w:name w:val="列出段落 Char"/>
    <w:link w:val="36"/>
    <w:qFormat/>
    <w:uiPriority w:val="34"/>
    <w:rPr>
      <w:rFonts w:eastAsia="MS Mincho"/>
      <w:lang w:val="en-GB" w:eastAsia="en-US"/>
    </w:rPr>
  </w:style>
  <w:style w:type="character" w:styleId="42">
    <w:name w:val="Placeholder Text"/>
    <w:basedOn w:val="28"/>
    <w:semiHidden/>
    <w:qFormat/>
    <w:uiPriority w:val="99"/>
    <w:rPr>
      <w:color w:val="808080"/>
    </w:rPr>
  </w:style>
  <w:style w:type="character" w:customStyle="1" w:styleId="43">
    <w:name w:val="Doc-text2 Char"/>
    <w:link w:val="6"/>
    <w:qFormat/>
    <w:uiPriority w:val="0"/>
    <w:rPr>
      <w:rFonts w:ascii="Arial" w:hAnsi="Arial" w:eastAsia="MS Mincho"/>
      <w:szCs w:val="24"/>
      <w:lang w:val="en-GB" w:eastAsia="en-GB"/>
    </w:rPr>
  </w:style>
  <w:style w:type="paragraph" w:customStyle="1" w:styleId="44">
    <w:name w:val="Revision"/>
    <w:hidden/>
    <w:semiHidden/>
    <w:qFormat/>
    <w:uiPriority w:val="99"/>
    <w:rPr>
      <w:rFonts w:ascii="Times New Roman" w:hAnsi="Times New Roman" w:eastAsia="Times New Roman" w:cs="Times New Roman"/>
      <w:szCs w:val="24"/>
      <w:lang w:val="en-US" w:eastAsia="en-US" w:bidi="ar-SA"/>
    </w:rPr>
  </w:style>
  <w:style w:type="character" w:customStyle="1" w:styleId="45">
    <w:name w:val="脚注文本 Char"/>
    <w:basedOn w:val="28"/>
    <w:link w:val="21"/>
    <w:qFormat/>
    <w:uiPriority w:val="0"/>
    <w:rPr>
      <w:rFonts w:eastAsia="Times New Roman"/>
      <w:lang w:eastAsia="en-US"/>
    </w:rPr>
  </w:style>
  <w:style w:type="character" w:customStyle="1" w:styleId="46">
    <w:name w:val="标题 1 Char"/>
    <w:basedOn w:val="28"/>
    <w:link w:val="2"/>
    <w:qFormat/>
    <w:uiPriority w:val="0"/>
    <w:rPr>
      <w:rFonts w:ascii="Arial" w:hAnsi="Arial" w:eastAsia="宋体" w:cs="Arial"/>
      <w:b/>
      <w:bCs/>
      <w:kern w:val="32"/>
      <w:sz w:val="28"/>
      <w:szCs w:val="32"/>
    </w:rPr>
  </w:style>
  <w:style w:type="character" w:customStyle="1" w:styleId="47">
    <w:name w:val="页眉 Char"/>
    <w:basedOn w:val="28"/>
    <w:link w:val="20"/>
    <w:qFormat/>
    <w:uiPriority w:val="99"/>
    <w:rPr>
      <w:rFonts w:ascii="Arial" w:hAnsi="Arial" w:eastAsia="MS Mincho"/>
      <w:b/>
      <w:szCs w:val="24"/>
      <w:lang w:eastAsia="en-US"/>
    </w:rPr>
  </w:style>
  <w:style w:type="character" w:customStyle="1" w:styleId="48">
    <w:name w:val="op_dict3_font241"/>
    <w:basedOn w:val="28"/>
    <w:qFormat/>
    <w:uiPriority w:val="0"/>
    <w:rPr>
      <w:rFonts w:hint="default" w:ascii="Arial" w:hAnsi="Arial" w:cs="Arial"/>
      <w:sz w:val="22"/>
      <w:szCs w:val="22"/>
    </w:rPr>
  </w:style>
  <w:style w:type="character" w:customStyle="1" w:styleId="49">
    <w:name w:val="Doc-title Char"/>
    <w:link w:val="5"/>
    <w:qFormat/>
    <w:uiPriority w:val="0"/>
    <w:rPr>
      <w:rFonts w:ascii="Arial" w:hAnsi="Arial" w:eastAsia="MS Mincho"/>
      <w:szCs w:val="24"/>
      <w:lang w:val="en-GB" w:eastAsia="en-GB"/>
    </w:rPr>
  </w:style>
  <w:style w:type="character" w:customStyle="1" w:styleId="50">
    <w:name w:val="op_dict_text12"/>
    <w:basedOn w:val="28"/>
    <w:qFormat/>
    <w:uiPriority w:val="0"/>
    <w:rPr>
      <w:color w:val="999999"/>
    </w:rPr>
  </w:style>
  <w:style w:type="character" w:customStyle="1" w:styleId="51">
    <w:name w:val="op_dict_text22"/>
    <w:basedOn w:val="28"/>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8"/>
    <w:link w:val="8"/>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8"/>
    <w:link w:val="12"/>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5"/>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9"/>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4"/>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6"/>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8"/>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8"/>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3"/>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0</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2025-11-07T03:10:10Z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