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Phase3 for UAS, UAV and UAM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Single Subscription for UAS Events per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CP-253148</vt:lpwstr>
  </property>
  <property fmtid="{D5CDD505-2E9C-101B-9397-08002B2CF9AE}" pid="19" name="CrpackTitle">
    <vt:lpwstr>CR Pack on CT Aspects of Phase3 for UAS, UAV and UAM</vt:lpwstr>
  </property>
  <property fmtid="{D5CDD505-2E9C-101B-9397-08002B2CF9AE}" pid="20" name="Agenda#">
    <vt:lpwstr>19.31</vt:lpwstr>
  </property>
  <property fmtid="{D5CDD505-2E9C-101B-9397-08002B2CF9AE}" pid="21" name="Source">
    <vt:lpwstr>CT4</vt:lpwstr>
  </property>
</Properties>
</file>