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CP-253147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QoS monitoring enhancement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QoS Monitoring per QoS flow interworking with the NG-RAN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TEI19_QME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CP-253147</vt:lpwstr>
  </property>
  <property fmtid="{D5CDD505-2E9C-101B-9397-08002B2CF9AE}" pid="19" name="CrpackTitle">
    <vt:lpwstr>CR Pack on CT aspects of QoS monitoring enhancement</vt:lpwstr>
  </property>
  <property fmtid="{D5CDD505-2E9C-101B-9397-08002B2CF9AE}" pid="20" name="Agenda#">
    <vt:lpwstr>19.30</vt:lpwstr>
  </property>
  <property fmtid="{D5CDD505-2E9C-101B-9397-08002B2CF9AE}" pid="21" name="Source">
    <vt:lpwstr>CT4</vt:lpwstr>
  </property>
</Properties>
</file>