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7E78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highlight w:val="none"/>
          <w:lang w:val="en-US" w:eastAsia="zh-CN"/>
        </w:rPr>
      </w:pPr>
      <w:bookmarkStart w:id="0" w:name="_Hlk127531451"/>
      <w:bookmarkEnd w:id="0"/>
      <w:bookmarkStart w:id="1" w:name="OLE_LINK6"/>
      <w:bookmarkStart w:id="2" w:name="OLE_LINK7"/>
      <w:bookmarkStart w:id="3" w:name="OLE_LINK5"/>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bookmarkStart w:id="10" w:name="_GoBack"/>
      <w:r>
        <w:rPr>
          <w:rFonts w:hint="eastAsia" w:ascii="Arial" w:hAnsi="Arial" w:cs="Arial"/>
          <w:b/>
          <w:sz w:val="24"/>
          <w:szCs w:val="24"/>
          <w:highlight w:val="none"/>
        </w:rPr>
        <w:t>R4-25</w:t>
      </w:r>
      <w:r>
        <w:rPr>
          <w:rFonts w:hint="eastAsia" w:ascii="Arial" w:hAnsi="Arial" w:eastAsia="宋体" w:cs="Arial"/>
          <w:b/>
          <w:sz w:val="24"/>
          <w:szCs w:val="24"/>
          <w:highlight w:val="none"/>
          <w:lang w:val="en-US" w:eastAsia="zh-CN"/>
        </w:rPr>
        <w:t>13133</w:t>
      </w:r>
      <w:bookmarkEnd w:id="10"/>
    </w:p>
    <w:p w14:paraId="7EB7DE3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ascii="Arial" w:hAnsi="Arial" w:cs="Arial"/>
          <w:b/>
          <w:sz w:val="24"/>
          <w:szCs w:val="24"/>
          <w:highlight w:val="none"/>
        </w:rPr>
      </w:pPr>
      <w:r>
        <w:rPr>
          <w:rFonts w:hint="eastAsia" w:ascii="Arial" w:hAnsi="Arial" w:cs="Arial"/>
          <w:b/>
          <w:sz w:val="24"/>
          <w:szCs w:val="24"/>
          <w:highlight w:val="none"/>
        </w:rPr>
        <w:t>Prague, Czech Republic, Oct. 13-17, 2025</w:t>
      </w:r>
    </w:p>
    <w:p w14:paraId="3F070464">
      <w:pPr>
        <w:tabs>
          <w:tab w:val="left" w:pos="2160"/>
        </w:tabs>
        <w:spacing w:before="180"/>
        <w:rPr>
          <w:rFonts w:ascii="Arial" w:hAnsi="Arial" w:cs="Arial"/>
          <w:b/>
          <w:sz w:val="24"/>
          <w:szCs w:val="24"/>
          <w:highlight w:val="yellow"/>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8.4</w:t>
      </w:r>
    </w:p>
    <w:p w14:paraId="185D1CC5">
      <w:pPr>
        <w:tabs>
          <w:tab w:val="left" w:pos="2160"/>
        </w:tabs>
        <w:rPr>
          <w:rFonts w:hint="default" w:ascii="Arial" w:hAnsi="Arial" w:eastAsia="宋体" w:cs="Arial"/>
          <w:b/>
          <w:sz w:val="24"/>
          <w:szCs w:val="24"/>
          <w:lang w:val="en-US" w:eastAsia="zh-CN"/>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w:t>
      </w:r>
      <w:bookmarkEnd w:id="5"/>
      <w:r>
        <w:rPr>
          <w:rFonts w:hint="eastAsia" w:ascii="Arial" w:hAnsi="Arial" w:eastAsia="宋体" w:cs="Arial"/>
          <w:b/>
          <w:sz w:val="24"/>
          <w:szCs w:val="24"/>
          <w:lang w:val="en-US" w:eastAsia="zh-CN"/>
        </w:rPr>
        <w:t>MCC</w:t>
      </w:r>
    </w:p>
    <w:bookmarkEnd w:id="4"/>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6"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6"/>
      <w:r>
        <w:rPr>
          <w:rFonts w:hint="eastAsia" w:ascii="Arial" w:hAnsi="Arial" w:eastAsia="宋体" w:cs="Arial"/>
          <w:b/>
          <w:sz w:val="24"/>
          <w:szCs w:val="24"/>
          <w:highlight w:val="none"/>
          <w:lang w:val="en-US" w:eastAsia="zh-CN"/>
        </w:rPr>
        <w:t>General UE RF requirement</w:t>
      </w:r>
    </w:p>
    <w:p w14:paraId="11B7221F">
      <w:pPr>
        <w:tabs>
          <w:tab w:val="left" w:pos="2160"/>
        </w:tabs>
        <w:rPr>
          <w:rFonts w:hint="default" w:ascii="Arial" w:hAnsi="Arial" w:eastAsia="宋体"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hint="eastAsia" w:ascii="Arial" w:hAnsi="Arial" w:eastAsia="宋体" w:cs="Arial"/>
          <w:b/>
          <w:sz w:val="24"/>
          <w:szCs w:val="24"/>
          <w:lang w:val="en-US" w:eastAsia="zh-CN"/>
        </w:rPr>
        <w:t>Discussion</w:t>
      </w:r>
    </w:p>
    <w:p w14:paraId="4CE3F22E">
      <w:pPr>
        <w:pStyle w:val="2"/>
      </w:pPr>
      <w:r>
        <w:t>Introduction</w:t>
      </w:r>
      <w:bookmarkStart w:id="7" w:name="OLE_LINK4"/>
      <w:bookmarkStart w:id="8" w:name="OLE_LINK15"/>
    </w:p>
    <w:bookmarkEnd w:id="7"/>
    <w:bookmarkEnd w:id="8"/>
    <w:p w14:paraId="7AA3CAEE">
      <w:pPr>
        <w:spacing w:before="0"/>
        <w:jc w:val="both"/>
        <w:rPr>
          <w:rFonts w:hint="eastAsia"/>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w:t>
      </w:r>
    </w:p>
    <w:p w14:paraId="79A45E56">
      <w:pPr>
        <w:spacing w:before="0"/>
        <w:jc w:val="both"/>
        <w:rPr>
          <w:rFonts w:hint="default"/>
          <w:highlight w:val="none"/>
          <w:lang w:val="en-US" w:eastAsia="zh-CN"/>
        </w:rPr>
      </w:pPr>
      <w:r>
        <w:rPr>
          <w:rFonts w:hint="eastAsia"/>
          <w:lang w:val="en-US" w:eastAsia="zh-CN"/>
        </w:rPr>
        <w:t>According to chairman</w:t>
      </w:r>
      <w:r>
        <w:rPr>
          <w:rFonts w:hint="default"/>
          <w:lang w:val="en-US" w:eastAsia="zh-CN"/>
        </w:rPr>
        <w:t>’</w:t>
      </w:r>
      <w:r>
        <w:rPr>
          <w:rFonts w:hint="eastAsia"/>
          <w:lang w:val="en-US" w:eastAsia="zh-CN"/>
        </w:rPr>
        <w:t>s suggestion, this scope includes non-spectrum and non-AI UE RF, spectrum aggregation fram</w:t>
      </w:r>
      <w:r>
        <w:rPr>
          <w:rFonts w:hint="eastAsia"/>
          <w:highlight w:val="none"/>
          <w:lang w:val="en-US" w:eastAsia="zh-CN"/>
        </w:rPr>
        <w:t>ework, UE RF related coverage and energy efficiency, and other joint UE-BS RF issues.</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analyze the power class frame work, spectrum aggregation framework and power saving architecture</w:t>
      </w:r>
      <w:r>
        <w:rPr>
          <w:rFonts w:hint="eastAsia"/>
          <w:color w:val="000000"/>
          <w:highlight w:val="none"/>
          <w:lang w:eastAsia="zh-CN"/>
        </w:rPr>
        <w:t>.</w:t>
      </w:r>
    </w:p>
    <w:p w14:paraId="3C04DC75">
      <w:pPr>
        <w:pStyle w:val="2"/>
        <w:jc w:val="both"/>
        <w:rPr>
          <w:rFonts w:hint="default" w:eastAsia="宋体"/>
          <w:lang w:val="en-US" w:eastAsia="zh-CN"/>
        </w:rPr>
      </w:pPr>
      <w:bookmarkStart w:id="9" w:name="OLE_LINK3"/>
      <w:r>
        <w:rPr>
          <w:rFonts w:hint="eastAsia" w:eastAsia="宋体"/>
          <w:lang w:val="en-US" w:eastAsia="zh-CN"/>
        </w:rPr>
        <w:t>Discussion</w:t>
      </w:r>
    </w:p>
    <w:p w14:paraId="6F165A40">
      <w:pPr>
        <w:pStyle w:val="3"/>
        <w:numPr>
          <w:ilvl w:val="1"/>
          <w:numId w:val="1"/>
        </w:numPr>
        <w:bidi w:val="0"/>
        <w:ind w:left="575" w:leftChars="0" w:hanging="575" w:firstLineChars="0"/>
        <w:rPr>
          <w:rFonts w:hint="eastAsia"/>
          <w:lang w:val="en-US" w:eastAsia="zh-CN"/>
        </w:rPr>
      </w:pPr>
      <w:r>
        <w:rPr>
          <w:rFonts w:hint="eastAsia"/>
          <w:lang w:val="en-US" w:eastAsia="zh-CN"/>
        </w:rPr>
        <w:t>Power class frame work</w:t>
      </w:r>
    </w:p>
    <w:p w14:paraId="75D07BE5">
      <w:pPr>
        <w:rPr>
          <w:rFonts w:hint="eastAsia" w:eastAsia="宋体"/>
          <w:sz w:val="20"/>
          <w:szCs w:val="20"/>
          <w:lang w:val="en-US" w:eastAsia="zh-CN"/>
        </w:rPr>
      </w:pPr>
      <w:r>
        <w:rPr>
          <w:rFonts w:hint="eastAsia" w:eastAsia="宋体"/>
          <w:sz w:val="20"/>
          <w:szCs w:val="20"/>
          <w:lang w:val="en-US" w:eastAsia="zh-CN"/>
        </w:rPr>
        <w:t>In 3GPP, UE power class has been defined as the UE transmitter maximum output power capability. It is also an indirect indication of how high the UE power amplifier output power can be driven while meeting certain emission requirements. Higher power class will improve UE UL coverage directly and have been a central topic of 3GPP RAN4 within the whole 5G stage. RAN4 has specified 20dBm, 23dBm, 26dBm, 29dBm, 31dBm and even 37dBm (only for NTN UE) power class for single band, inter-band CA, intra-band CA, DC related band combination. The detailed progress before R20 is listed as below for information. Basically, now FR1 FDD and TDD bands support 26dBm/1UL before R19 and in R20 new study phase is setup to analyze the feasibility of 29dBm/1UL for TDD bands.</w:t>
      </w:r>
    </w:p>
    <w:tbl>
      <w:tblPr>
        <w:tblStyle w:val="1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408"/>
        <w:gridCol w:w="1074"/>
        <w:gridCol w:w="1191"/>
        <w:gridCol w:w="956"/>
        <w:gridCol w:w="1474"/>
        <w:gridCol w:w="2744"/>
        <w:gridCol w:w="1074"/>
      </w:tblGrid>
      <w:tr w14:paraId="2489D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709" w:type="pct"/>
            <w:vMerge w:val="restart"/>
            <w:tcBorders>
              <w:top w:val="single" w:color="000000" w:sz="4" w:space="0"/>
              <w:left w:val="nil"/>
              <w:bottom w:val="single" w:color="000000" w:sz="4" w:space="0"/>
              <w:right w:val="nil"/>
              <w:tl2br w:val="nil"/>
            </w:tcBorders>
            <w:shd w:val="clear" w:color="auto" w:fill="FFFFFF"/>
            <w:tcMar>
              <w:top w:w="72" w:type="dxa"/>
              <w:left w:w="144" w:type="dxa"/>
              <w:bottom w:w="72" w:type="dxa"/>
              <w:right w:w="144" w:type="dxa"/>
            </w:tcMar>
            <w:vAlign w:val="center"/>
          </w:tcPr>
          <w:p w14:paraId="1BA1EA9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bCs/>
                <w:color w:val="000000"/>
                <w:sz w:val="15"/>
                <w:szCs w:val="15"/>
              </w:rPr>
              <w:t>UL configuration</w:t>
            </w:r>
          </w:p>
        </w:tc>
        <w:tc>
          <w:tcPr>
            <w:tcW w:w="4290" w:type="pct"/>
            <w:gridSpan w:val="6"/>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2E658446">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bCs/>
                <w:color w:val="000000"/>
                <w:sz w:val="15"/>
                <w:szCs w:val="15"/>
              </w:rPr>
              <w:t>band/band combination list</w:t>
            </w:r>
          </w:p>
        </w:tc>
      </w:tr>
      <w:tr w14:paraId="586A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3" w:hRule="atLeast"/>
        </w:trPr>
        <w:tc>
          <w:tcPr>
            <w:tcW w:w="709"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68D0E6B1">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1A9F644">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SUL</w:t>
            </w:r>
          </w:p>
        </w:tc>
        <w:tc>
          <w:tcPr>
            <w:tcW w:w="600"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50846C7">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w:t>
            </w:r>
          </w:p>
        </w:tc>
        <w:tc>
          <w:tcPr>
            <w:tcW w:w="48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90A4CAE">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FDD</w:t>
            </w: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703D0D0">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intra-band CA</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C07AE9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inter-band CA</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5FB9C03">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SUL CA</w:t>
            </w:r>
          </w:p>
        </w:tc>
      </w:tr>
      <w:tr w14:paraId="79B4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9" w:hRule="atLeast"/>
        </w:trPr>
        <w:tc>
          <w:tcPr>
            <w:tcW w:w="709"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0E850EE">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1UL band</w:t>
            </w:r>
          </w:p>
        </w:tc>
        <w:tc>
          <w:tcPr>
            <w:tcW w:w="541" w:type="pct"/>
            <w:vMerge w:val="restar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D99F4F3">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w:t>
            </w:r>
          </w:p>
          <w:p w14:paraId="06F48FF3">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request)</w:t>
            </w:r>
          </w:p>
          <w:p w14:paraId="07E37436">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tc>
        <w:tc>
          <w:tcPr>
            <w:tcW w:w="600" w:type="pct"/>
            <w:vMerge w:val="restar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E0DD8E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 for 1Tx</w:t>
            </w:r>
          </w:p>
          <w:p w14:paraId="295EE8A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p w14:paraId="2584A4C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 for 2Tx</w:t>
            </w:r>
          </w:p>
        </w:tc>
        <w:tc>
          <w:tcPr>
            <w:tcW w:w="481" w:type="pct"/>
            <w:vMerge w:val="restar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733654A">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PC2</w:t>
            </w:r>
          </w:p>
          <w:p w14:paraId="72A0301D">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w:t>
            </w: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15B4695">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 PC2/PC1.5</w:t>
            </w:r>
          </w:p>
          <w:p w14:paraId="4B45DB4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FDD: PC2</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17B671C7">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 PC2/PC1.5</w:t>
            </w:r>
          </w:p>
          <w:p w14:paraId="5E8AEA1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FDD: PC2</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00AD740">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SUL: PC2</w:t>
            </w:r>
          </w:p>
        </w:tc>
      </w:tr>
      <w:tr w14:paraId="0E519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2" w:hRule="atLeast"/>
        </w:trPr>
        <w:tc>
          <w:tcPr>
            <w:tcW w:w="709"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57F883CF">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2UL band</w:t>
            </w:r>
          </w:p>
          <w:p w14:paraId="4FB231E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tc>
        <w:tc>
          <w:tcPr>
            <w:tcW w:w="541"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5065BE5">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600"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5A069C7">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481" w:type="pct"/>
            <w:vMerge w:val="continue"/>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3EFB882">
            <w:pPr>
              <w:keepNext w:val="0"/>
              <w:keepLines w:val="0"/>
              <w:pageBreakBefore w:val="0"/>
              <w:widowControl/>
              <w:kinsoku/>
              <w:wordWrap/>
              <w:overflowPunct/>
              <w:topLinePunct w:val="0"/>
              <w:bidi w:val="0"/>
              <w:snapToGrid/>
              <w:spacing w:beforeAutospacing="0" w:afterAutospacing="0"/>
              <w:jc w:val="center"/>
              <w:rPr>
                <w:rFonts w:hint="eastAsia" w:ascii="宋体"/>
                <w:b w:val="0"/>
                <w:color w:val="000000"/>
                <w:sz w:val="15"/>
                <w:szCs w:val="15"/>
              </w:rPr>
            </w:pP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79C84BB5">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0B5B529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(PC1.5)FDD+TDD: PC2+PC2/PC1.5</w:t>
            </w:r>
          </w:p>
          <w:p w14:paraId="368E5442">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(PC1.5)TDD+TDD: PC2+PC2/PC1.5</w:t>
            </w:r>
          </w:p>
          <w:p w14:paraId="07760BD8">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no (PC1.5) FDD+FDD: PC2+PC2</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251E248">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TDD: PC1.5</w:t>
            </w:r>
          </w:p>
        </w:tc>
      </w:tr>
      <w:tr w14:paraId="6FF2C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4" w:hRule="atLeast"/>
        </w:trPr>
        <w:tc>
          <w:tcPr>
            <w:tcW w:w="709"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397853B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3Tx</w:t>
            </w:r>
          </w:p>
          <w:p w14:paraId="224BDC8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793F0D30">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600"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6DDFEAE6">
            <w:pPr>
              <w:pStyle w:val="15"/>
              <w:keepNext w:val="0"/>
              <w:keepLines w:val="0"/>
              <w:pageBreakBefore w:val="0"/>
              <w:widowControl/>
              <w:suppressLineNumbers w:val="0"/>
              <w:kinsoku/>
              <w:wordWrap/>
              <w:overflowPunct/>
              <w:topLinePunct w:val="0"/>
              <w:bidi w:val="0"/>
              <w:snapToGrid/>
              <w:spacing w:beforeAutospacing="0" w:afterAutospacing="0"/>
              <w:jc w:val="center"/>
              <w:rPr>
                <w:rFonts w:hint="default" w:eastAsia="宋体"/>
                <w:b w:val="0"/>
                <w:color w:val="000000"/>
                <w:sz w:val="15"/>
                <w:szCs w:val="15"/>
                <w:lang w:val="en-US" w:eastAsia="zh-CN"/>
              </w:rPr>
            </w:pPr>
            <w:r>
              <w:rPr>
                <w:rFonts w:hint="eastAsia" w:eastAsia="宋体"/>
                <w:b w:val="0"/>
                <w:color w:val="000000"/>
                <w:sz w:val="15"/>
                <w:szCs w:val="15"/>
                <w:lang w:val="en-US" w:eastAsia="zh-CN"/>
              </w:rPr>
              <w:t>PC2</w:t>
            </w:r>
          </w:p>
        </w:tc>
        <w:tc>
          <w:tcPr>
            <w:tcW w:w="48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5F85129">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74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40DAC80C">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c>
          <w:tcPr>
            <w:tcW w:w="1382"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6DCB4918">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(PC1.5)FDD+TDD: PC2+PC1.5</w:t>
            </w:r>
          </w:p>
        </w:tc>
        <w:tc>
          <w:tcPr>
            <w:tcW w:w="541" w:type="pct"/>
            <w:tcBorders>
              <w:top w:val="single" w:color="000000" w:sz="4" w:space="0"/>
              <w:left w:val="nil"/>
              <w:bottom w:val="single" w:color="000000" w:sz="4" w:space="0"/>
              <w:right w:val="nil"/>
            </w:tcBorders>
            <w:shd w:val="clear" w:color="auto" w:fill="FFFFFF"/>
            <w:tcMar>
              <w:top w:w="72" w:type="dxa"/>
              <w:left w:w="144" w:type="dxa"/>
              <w:bottom w:w="72" w:type="dxa"/>
              <w:right w:w="144" w:type="dxa"/>
            </w:tcMar>
            <w:vAlign w:val="center"/>
          </w:tcPr>
          <w:p w14:paraId="21FAAE97">
            <w:pPr>
              <w:pStyle w:val="15"/>
              <w:keepNext w:val="0"/>
              <w:keepLines w:val="0"/>
              <w:pageBreakBefore w:val="0"/>
              <w:widowControl/>
              <w:suppressLineNumbers w:val="0"/>
              <w:kinsoku/>
              <w:wordWrap/>
              <w:overflowPunct/>
              <w:topLinePunct w:val="0"/>
              <w:bidi w:val="0"/>
              <w:snapToGrid/>
              <w:spacing w:beforeAutospacing="0" w:afterAutospacing="0"/>
              <w:jc w:val="center"/>
              <w:rPr>
                <w:b w:val="0"/>
                <w:color w:val="000000"/>
                <w:sz w:val="15"/>
                <w:szCs w:val="15"/>
              </w:rPr>
            </w:pPr>
            <w:r>
              <w:rPr>
                <w:b w:val="0"/>
                <w:color w:val="000000"/>
                <w:sz w:val="15"/>
                <w:szCs w:val="15"/>
              </w:rPr>
              <w:t>-</w:t>
            </w:r>
          </w:p>
        </w:tc>
      </w:tr>
    </w:tbl>
    <w:p w14:paraId="303A814A">
      <w:pPr>
        <w:rPr>
          <w:rFonts w:hint="default" w:eastAsia="宋体"/>
          <w:sz w:val="20"/>
          <w:szCs w:val="20"/>
          <w:lang w:val="en-US" w:eastAsia="zh-CN"/>
        </w:rPr>
      </w:pPr>
    </w:p>
    <w:p w14:paraId="34C93784">
      <w:pPr>
        <w:rPr>
          <w:rFonts w:hint="eastAsia" w:eastAsia="宋体"/>
          <w:sz w:val="20"/>
          <w:szCs w:val="20"/>
          <w:lang w:val="en-US" w:eastAsia="zh-CN"/>
        </w:rPr>
      </w:pPr>
      <w:r>
        <w:rPr>
          <w:rFonts w:hint="eastAsia" w:eastAsia="宋体"/>
          <w:sz w:val="20"/>
          <w:szCs w:val="20"/>
          <w:lang w:val="en-US" w:eastAsia="zh-CN"/>
        </w:rPr>
        <w:t>5G NR power class related framework has following drawbacks, part of have been resolved in R19. Nevertheless, a subset of issues remains unresolved :</w:t>
      </w:r>
    </w:p>
    <w:p w14:paraId="2A14FED3">
      <w:pPr>
        <w:numPr>
          <w:ilvl w:val="0"/>
          <w:numId w:val="2"/>
        </w:numPr>
        <w:ind w:left="440" w:leftChars="0" w:hanging="440" w:firstLineChars="0"/>
        <w:rPr>
          <w:sz w:val="20"/>
          <w:szCs w:val="20"/>
        </w:rPr>
      </w:pPr>
      <w:r>
        <w:rPr>
          <w:rFonts w:hint="eastAsia" w:eastAsia="宋体"/>
          <w:sz w:val="20"/>
          <w:szCs w:val="20"/>
          <w:lang w:val="en-US" w:eastAsia="zh-CN"/>
        </w:rPr>
        <w:t xml:space="preserve">Band combination fallback related issues. </w:t>
      </w:r>
      <w:r>
        <w:rPr>
          <w:rFonts w:hint="default" w:eastAsia="宋体"/>
          <w:sz w:val="20"/>
          <w:szCs w:val="20"/>
          <w:lang w:val="en-US" w:eastAsia="zh-CN"/>
        </w:rPr>
        <w:t>RAN2 adopts the principle of capability inheritance. A fallback band combination shall not be reported if it has the same or lower capabilities as a parent band combination.</w:t>
      </w:r>
      <w:r>
        <w:rPr>
          <w:rFonts w:hint="eastAsia" w:eastAsia="宋体"/>
          <w:sz w:val="20"/>
          <w:szCs w:val="20"/>
          <w:lang w:val="en-US" w:eastAsia="zh-CN"/>
        </w:rPr>
        <w:t xml:space="preserve"> Instead, t</w:t>
      </w:r>
      <w:r>
        <w:rPr>
          <w:sz w:val="20"/>
          <w:szCs w:val="20"/>
        </w:rPr>
        <w:t xml:space="preserve">he UE </w:t>
      </w:r>
      <w:r>
        <w:rPr>
          <w:rFonts w:hint="eastAsia" w:eastAsia="宋体"/>
          <w:sz w:val="20"/>
          <w:szCs w:val="20"/>
          <w:lang w:val="en-US" w:eastAsia="zh-CN"/>
        </w:rPr>
        <w:t>can only</w:t>
      </w:r>
      <w:r>
        <w:rPr>
          <w:sz w:val="20"/>
          <w:szCs w:val="20"/>
        </w:rPr>
        <w:t xml:space="preserve"> report fallback BCs having additional functionality</w:t>
      </w:r>
      <w:r>
        <w:rPr>
          <w:rFonts w:hint="eastAsia" w:eastAsia="宋体"/>
          <w:sz w:val="20"/>
          <w:szCs w:val="20"/>
          <w:lang w:val="en-US" w:eastAsia="zh-CN"/>
        </w:rPr>
        <w:t>. Single band UL or intra-band UL CA is regarded as the fallback of UL inter-band CA and there are total three power class capabilities without definitive guidance on applicability for these three power class. Following issues occurs</w:t>
      </w:r>
    </w:p>
    <w:p w14:paraId="00C6AC5E">
      <w:pPr>
        <w:numPr>
          <w:ilvl w:val="1"/>
          <w:numId w:val="2"/>
        </w:numPr>
        <w:ind w:left="880" w:leftChars="0" w:hanging="440" w:firstLineChars="0"/>
        <w:rPr>
          <w:sz w:val="20"/>
          <w:szCs w:val="20"/>
        </w:rPr>
      </w:pPr>
      <w:r>
        <w:rPr>
          <w:rFonts w:hint="eastAsia" w:eastAsia="宋体"/>
          <w:sz w:val="20"/>
          <w:szCs w:val="20"/>
          <w:lang w:val="en-US" w:eastAsia="zh-CN"/>
        </w:rPr>
        <w:t>there are several power class possibilities for the single band UL/ intra-band UL based on different implementation which is not allowed to be reported since it has the same or lower capability as parent band combination. As a consequence, there is no definitive guidance on which P</w:t>
      </w:r>
      <w:r>
        <w:rPr>
          <w:rFonts w:hint="eastAsia" w:eastAsia="宋体"/>
          <w:sz w:val="20"/>
          <w:szCs w:val="20"/>
          <w:vertAlign w:val="subscript"/>
          <w:lang w:val="en-US" w:eastAsia="zh-CN"/>
        </w:rPr>
        <w:t>PowerClass</w:t>
      </w:r>
      <w:r>
        <w:rPr>
          <w:rFonts w:hint="eastAsia" w:eastAsia="宋体"/>
          <w:sz w:val="20"/>
          <w:szCs w:val="20"/>
          <w:lang w:val="en-US" w:eastAsia="zh-CN"/>
        </w:rPr>
        <w:t xml:space="preserve"> parameter serves as the reference power class for the Pcmax derivation.</w:t>
      </w:r>
    </w:p>
    <w:p w14:paraId="65FD0B94">
      <w:pPr>
        <w:numPr>
          <w:ilvl w:val="2"/>
          <w:numId w:val="2"/>
        </w:numPr>
        <w:ind w:left="1320" w:leftChars="0" w:hanging="440" w:firstLineChars="0"/>
        <w:rPr>
          <w:sz w:val="20"/>
          <w:szCs w:val="20"/>
        </w:rPr>
      </w:pPr>
      <w:r>
        <w:rPr>
          <w:rFonts w:hint="eastAsia" w:eastAsia="宋体"/>
          <w:sz w:val="20"/>
          <w:szCs w:val="20"/>
          <w:lang w:val="en-US" w:eastAsia="zh-CN"/>
        </w:rPr>
        <w:t>E.g. CA_A+B=PC2, band A = PC3, band B = PC3/PC2, the network have no idea of single band B</w:t>
      </w:r>
      <w:r>
        <w:rPr>
          <w:rFonts w:hint="default" w:eastAsia="宋体"/>
          <w:sz w:val="20"/>
          <w:szCs w:val="20"/>
          <w:lang w:val="en-US" w:eastAsia="zh-CN"/>
        </w:rPr>
        <w:t>’</w:t>
      </w:r>
      <w:r>
        <w:rPr>
          <w:rFonts w:hint="eastAsia" w:eastAsia="宋体"/>
          <w:sz w:val="20"/>
          <w:szCs w:val="20"/>
          <w:lang w:val="en-US" w:eastAsia="zh-CN"/>
        </w:rPr>
        <w:t>s PC since it is not allowed to be reported</w:t>
      </w:r>
    </w:p>
    <w:p w14:paraId="01541E8C">
      <w:pPr>
        <w:numPr>
          <w:ilvl w:val="2"/>
          <w:numId w:val="2"/>
        </w:numPr>
        <w:ind w:left="1320" w:leftChars="0" w:hanging="440" w:firstLineChars="0"/>
        <w:rPr>
          <w:sz w:val="20"/>
          <w:szCs w:val="20"/>
        </w:rPr>
      </w:pPr>
      <w:r>
        <w:rPr>
          <w:rFonts w:hint="eastAsia" w:eastAsia="宋体"/>
          <w:sz w:val="20"/>
          <w:szCs w:val="20"/>
          <w:lang w:val="en-US" w:eastAsia="zh-CN"/>
        </w:rPr>
        <w:t>E.g. CA_A+intra-band B=PC2, band A=PC3, intra-band B=PC3/PC2, the network have no idea of intra- band B</w:t>
      </w:r>
      <w:r>
        <w:rPr>
          <w:rFonts w:hint="default" w:eastAsia="宋体"/>
          <w:sz w:val="20"/>
          <w:szCs w:val="20"/>
          <w:lang w:val="en-US" w:eastAsia="zh-CN"/>
        </w:rPr>
        <w:t>’</w:t>
      </w:r>
      <w:r>
        <w:rPr>
          <w:rFonts w:hint="eastAsia" w:eastAsia="宋体"/>
          <w:sz w:val="20"/>
          <w:szCs w:val="20"/>
          <w:lang w:val="en-US" w:eastAsia="zh-CN"/>
        </w:rPr>
        <w:t>s PC since it is not allowed to be reported</w:t>
      </w:r>
    </w:p>
    <w:p w14:paraId="34B696FD">
      <w:pPr>
        <w:numPr>
          <w:ilvl w:val="1"/>
          <w:numId w:val="2"/>
        </w:numPr>
        <w:ind w:left="880" w:leftChars="0" w:hanging="440" w:firstLineChars="0"/>
        <w:rPr>
          <w:sz w:val="20"/>
          <w:szCs w:val="20"/>
        </w:rPr>
      </w:pPr>
      <w:r>
        <w:rPr>
          <w:rFonts w:hint="eastAsia" w:eastAsia="宋体"/>
          <w:sz w:val="20"/>
          <w:szCs w:val="20"/>
          <w:lang w:val="en-US" w:eastAsia="zh-CN"/>
        </w:rPr>
        <w:t xml:space="preserve">There are three power class capabilities, the </w:t>
      </w:r>
      <w:r>
        <w:rPr>
          <w:i/>
          <w:iCs/>
          <w:lang w:val="en-US"/>
        </w:rPr>
        <w:t>ue-PowerClass</w:t>
      </w:r>
      <w:r>
        <w:rPr>
          <w:rFonts w:hint="eastAsia" w:eastAsia="宋体"/>
          <w:i/>
          <w:iCs/>
          <w:lang w:val="en-US" w:eastAsia="zh-CN"/>
        </w:rPr>
        <w:t>, power class of the BC</w:t>
      </w:r>
      <w:r>
        <w:rPr>
          <w:rFonts w:hint="eastAsia" w:eastAsia="宋体"/>
          <w:lang w:val="en-US" w:eastAsia="zh-CN"/>
        </w:rPr>
        <w:t xml:space="preserve">,  </w:t>
      </w:r>
      <w:r>
        <w:rPr>
          <w:rFonts w:ascii="Times New Roman" w:hAnsi="Times New Roman"/>
          <w:bCs/>
          <w:i/>
        </w:rPr>
        <w:t>ue-PowerClassPerBandPerBC-r17</w:t>
      </w:r>
      <w:r>
        <w:rPr>
          <w:sz w:val="20"/>
          <w:szCs w:val="20"/>
        </w:rPr>
        <w:t>.</w:t>
      </w:r>
      <w:r>
        <w:rPr>
          <w:rFonts w:hint="eastAsia" w:eastAsia="宋体"/>
          <w:sz w:val="20"/>
          <w:szCs w:val="20"/>
          <w:lang w:val="en-US" w:eastAsia="zh-CN"/>
        </w:rPr>
        <w:t xml:space="preserve"> For DL CA with UL single band, no definitive guidance on which power class is applicable or which power class is mandatory to support especially when </w:t>
      </w:r>
      <w:r>
        <w:rPr>
          <w:rFonts w:ascii="Times New Roman" w:hAnsi="Times New Roman"/>
          <w:bCs/>
          <w:i/>
        </w:rPr>
        <w:t>ue-PowerClassPerBandPerBC-r17</w:t>
      </w:r>
      <w:r>
        <w:rPr>
          <w:rFonts w:hint="eastAsia" w:eastAsia="宋体"/>
          <w:bCs/>
          <w:i/>
          <w:lang w:val="en-US" w:eastAsia="zh-CN"/>
        </w:rPr>
        <w:t xml:space="preserve"> </w:t>
      </w:r>
      <w:r>
        <w:rPr>
          <w:rFonts w:hint="eastAsia" w:eastAsia="宋体"/>
          <w:bCs/>
          <w:i w:val="0"/>
          <w:iCs/>
          <w:lang w:val="en-US" w:eastAsia="zh-CN"/>
        </w:rPr>
        <w:t>is not present.</w:t>
      </w:r>
      <w:r>
        <w:rPr>
          <w:rFonts w:hint="eastAsia" w:eastAsia="宋体"/>
          <w:sz w:val="20"/>
          <w:szCs w:val="20"/>
          <w:lang w:val="en-US" w:eastAsia="zh-CN"/>
        </w:rPr>
        <w:t xml:space="preserve"> </w:t>
      </w:r>
      <w:r>
        <w:rPr>
          <w:sz w:val="20"/>
          <w:szCs w:val="20"/>
        </w:rPr>
        <w:t xml:space="preserve"> </w:t>
      </w:r>
    </w:p>
    <w:p w14:paraId="5DFDEDE7">
      <w:pPr>
        <w:numPr>
          <w:ilvl w:val="0"/>
          <w:numId w:val="2"/>
        </w:numPr>
        <w:ind w:left="440" w:leftChars="0" w:hanging="440" w:firstLineChars="0"/>
        <w:rPr>
          <w:sz w:val="20"/>
          <w:szCs w:val="20"/>
        </w:rPr>
      </w:pPr>
      <w:r>
        <w:rPr>
          <w:rFonts w:hint="eastAsia" w:eastAsia="宋体"/>
          <w:sz w:val="20"/>
          <w:szCs w:val="20"/>
          <w:lang w:val="en-US" w:eastAsia="zh-CN"/>
        </w:rPr>
        <w:t>Power class fallback related issues for CA, duty cycle capability, p-Max, etc. Detailed are listed as below</w:t>
      </w:r>
    </w:p>
    <w:p w14:paraId="3868DE15">
      <w:pPr>
        <w:numPr>
          <w:ilvl w:val="1"/>
          <w:numId w:val="2"/>
        </w:numPr>
        <w:ind w:left="880" w:leftChars="0" w:hanging="440" w:firstLineChars="0"/>
        <w:rPr>
          <w:rFonts w:hint="eastAsia" w:eastAsia="宋体"/>
          <w:sz w:val="20"/>
          <w:szCs w:val="20"/>
          <w:lang w:val="en-US" w:eastAsia="zh-CN"/>
        </w:rPr>
      </w:pPr>
      <w:r>
        <w:rPr>
          <w:rFonts w:hint="eastAsia" w:eastAsia="宋体"/>
          <w:sz w:val="20"/>
          <w:szCs w:val="20"/>
          <w:lang w:val="en-US" w:eastAsia="zh-CN"/>
        </w:rPr>
        <w:t>Power class fallback could potentially cause misunderstanding on how the UE configured maximum output power can be applied, and that may result in double-counting the P</w:t>
      </w:r>
      <w:r>
        <w:rPr>
          <w:rFonts w:hint="eastAsia" w:eastAsia="宋体"/>
          <w:sz w:val="20"/>
          <w:szCs w:val="20"/>
          <w:vertAlign w:val="subscript"/>
          <w:lang w:val="en-US" w:eastAsia="zh-CN"/>
        </w:rPr>
        <w:t>CMAX</w:t>
      </w:r>
      <w:r>
        <w:rPr>
          <w:rFonts w:hint="eastAsia" w:eastAsia="宋体"/>
          <w:sz w:val="20"/>
          <w:szCs w:val="20"/>
          <w:lang w:val="en-US" w:eastAsia="zh-CN"/>
        </w:rPr>
        <w:t xml:space="preserve"> power reduction and excessive allowance of MPR/A-MPR for HPUE. </w:t>
      </w:r>
    </w:p>
    <w:p w14:paraId="32D41A4C">
      <w:pPr>
        <w:numPr>
          <w:ilvl w:val="1"/>
          <w:numId w:val="2"/>
        </w:numPr>
        <w:ind w:left="880" w:leftChars="0" w:hanging="440" w:firstLineChars="0"/>
        <w:rPr>
          <w:sz w:val="20"/>
          <w:szCs w:val="20"/>
        </w:rPr>
      </w:pPr>
      <w:r>
        <w:rPr>
          <w:rFonts w:hint="eastAsia" w:eastAsia="宋体"/>
          <w:sz w:val="20"/>
          <w:szCs w:val="20"/>
          <w:lang w:val="en-US" w:eastAsia="zh-CN"/>
        </w:rPr>
        <w:t>For single configured UL CC with DL CA, it</w:t>
      </w:r>
      <w:r>
        <w:rPr>
          <w:rFonts w:hint="default" w:eastAsia="宋体"/>
          <w:sz w:val="20"/>
          <w:szCs w:val="20"/>
          <w:lang w:val="en-US" w:eastAsia="zh-CN"/>
        </w:rPr>
        <w:t>’</w:t>
      </w:r>
      <w:r>
        <w:rPr>
          <w:rFonts w:hint="eastAsia" w:eastAsia="宋体"/>
          <w:sz w:val="20"/>
          <w:szCs w:val="20"/>
          <w:lang w:val="en-US" w:eastAsia="zh-CN"/>
        </w:rPr>
        <w:t xml:space="preserve">s approved to allow UE report higher power class than the </w:t>
      </w:r>
      <w:r>
        <w:rPr>
          <w:lang w:val="en-US"/>
        </w:rPr>
        <w:t>applicability note as in Clause 5</w:t>
      </w:r>
      <w:r>
        <w:rPr>
          <w:rFonts w:hint="eastAsia" w:eastAsia="宋体"/>
          <w:lang w:val="en-US" w:eastAsia="zh-CN"/>
        </w:rPr>
        <w:t xml:space="preserve"> </w:t>
      </w:r>
      <w:r>
        <w:rPr>
          <w:rFonts w:hint="eastAsia" w:eastAsia="宋体"/>
          <w:sz w:val="20"/>
          <w:szCs w:val="20"/>
          <w:lang w:val="en-US" w:eastAsia="zh-CN"/>
        </w:rPr>
        <w:t>in RAN4. Nonetheless, if the corresponding higher power class MSD is not specified, reference sensitivity and exceptions for reference sensitivity of default power class shall be verified with output power limited to default power class</w:t>
      </w:r>
    </w:p>
    <w:p w14:paraId="6EE17B6C">
      <w:pPr>
        <w:numPr>
          <w:ilvl w:val="1"/>
          <w:numId w:val="2"/>
        </w:numPr>
        <w:ind w:left="880" w:leftChars="0" w:hanging="440" w:firstLineChars="0"/>
        <w:rPr>
          <w:sz w:val="20"/>
          <w:szCs w:val="20"/>
        </w:rPr>
      </w:pPr>
      <w:r>
        <w:rPr>
          <w:rFonts w:hint="eastAsia" w:eastAsia="宋体"/>
          <w:sz w:val="20"/>
          <w:szCs w:val="20"/>
          <w:lang w:val="en-US" w:eastAsia="zh-CN"/>
        </w:rPr>
        <w:t xml:space="preserve">The power class fallback value </w:t>
      </w:r>
      <m:oMath>
        <m:r>
          <m:rPr>
            <m:sty m:val="p"/>
          </m:rPr>
          <w:rPr>
            <w:rFonts w:ascii="Cambria Math" w:hAnsi="Cambria Math"/>
            <w:sz w:val="20"/>
            <w:szCs w:val="20"/>
            <w:lang w:val="en-US"/>
          </w:rPr>
          <m:t>∆</m:t>
        </m:r>
        <m:sSub>
          <m:sSubPr>
            <m:ctrlPr>
              <w:rPr>
                <w:rFonts w:ascii="Cambria Math" w:hAnsi="Cambria Math"/>
                <w:sz w:val="20"/>
                <w:szCs w:val="20"/>
                <w:lang w:val="en-US"/>
              </w:rPr>
            </m:ctrlPr>
          </m:sSubPr>
          <m:e>
            <m:r>
              <m:rPr>
                <m:sty m:val="p"/>
              </m:rPr>
              <w:rPr>
                <w:rFonts w:hint="default" w:ascii="Cambria Math" w:hAnsi="Cambria Math" w:eastAsia="宋体"/>
                <w:sz w:val="20"/>
                <w:szCs w:val="20"/>
                <w:lang w:val="en-US" w:eastAsia="zh-CN"/>
              </w:rPr>
              <m:t>P</m:t>
            </m:r>
            <m:ctrlPr>
              <w:rPr>
                <w:rFonts w:ascii="Cambria Math" w:hAnsi="Cambria Math"/>
                <w:sz w:val="20"/>
                <w:szCs w:val="20"/>
                <w:lang w:val="en-US"/>
              </w:rPr>
            </m:ctrlPr>
          </m:e>
          <m:sub>
            <m:r>
              <m:rPr>
                <m:sty m:val="p"/>
              </m:rPr>
              <w:rPr>
                <w:rFonts w:hint="default" w:ascii="Cambria Math" w:hAnsi="Cambria Math" w:eastAsia="宋体"/>
                <w:sz w:val="20"/>
                <w:szCs w:val="20"/>
                <w:lang w:val="en-US" w:eastAsia="zh-CN"/>
              </w:rPr>
              <m:t>power class</m:t>
            </m:r>
            <m:ctrlPr>
              <w:rPr>
                <w:rFonts w:ascii="Cambria Math" w:hAnsi="Cambria Math"/>
                <w:sz w:val="20"/>
                <w:szCs w:val="20"/>
                <w:lang w:val="en-US"/>
              </w:rPr>
            </m:ctrlPr>
          </m:sub>
        </m:sSub>
      </m:oMath>
      <w:r>
        <w:rPr>
          <w:rFonts w:hint="eastAsia" w:eastAsia="宋体"/>
          <w:sz w:val="20"/>
          <w:szCs w:val="20"/>
          <w:lang w:val="en-US" w:eastAsia="zh-CN"/>
        </w:rPr>
        <w:t xml:space="preserve"> is limited to 3 or 6dB without dynamic indication</w:t>
      </w:r>
    </w:p>
    <w:p w14:paraId="1CB726A8">
      <w:pPr>
        <w:numPr>
          <w:ilvl w:val="0"/>
          <w:numId w:val="2"/>
        </w:numPr>
        <w:ind w:left="440" w:leftChars="0" w:hanging="440" w:firstLineChars="0"/>
        <w:rPr>
          <w:sz w:val="20"/>
          <w:szCs w:val="20"/>
        </w:rPr>
      </w:pPr>
      <w:r>
        <w:rPr>
          <w:sz w:val="20"/>
          <w:szCs w:val="20"/>
        </w:rPr>
        <w:t>The UE power class capability is static</w:t>
      </w:r>
      <w:r>
        <w:rPr>
          <w:rFonts w:hint="eastAsia" w:eastAsia="宋体"/>
          <w:sz w:val="20"/>
          <w:szCs w:val="20"/>
          <w:lang w:val="en-US" w:eastAsia="zh-CN"/>
        </w:rPr>
        <w:t xml:space="preserve"> and</w:t>
      </w:r>
      <w:r>
        <w:rPr>
          <w:sz w:val="20"/>
          <w:szCs w:val="20"/>
        </w:rPr>
        <w:t xml:space="preserve"> remains the same once reported to the network</w:t>
      </w:r>
      <w:r>
        <w:rPr>
          <w:rFonts w:hint="eastAsia" w:eastAsia="宋体"/>
          <w:sz w:val="20"/>
          <w:szCs w:val="20"/>
          <w:lang w:val="en-US" w:eastAsia="zh-CN"/>
        </w:rPr>
        <w:t xml:space="preserve"> regardless of activated/deactivated serving cell(s) and BWP(s)</w:t>
      </w:r>
      <w:r>
        <w:rPr>
          <w:sz w:val="20"/>
          <w:szCs w:val="20"/>
        </w:rPr>
        <w:t>.</w:t>
      </w:r>
    </w:p>
    <w:p w14:paraId="67771F88">
      <w:pPr>
        <w:numPr>
          <w:ilvl w:val="0"/>
          <w:numId w:val="2"/>
        </w:numPr>
        <w:ind w:left="440" w:leftChars="0" w:hanging="440" w:firstLineChars="0"/>
        <w:rPr>
          <w:sz w:val="20"/>
          <w:szCs w:val="20"/>
        </w:rPr>
      </w:pPr>
      <w:r>
        <w:rPr>
          <w:rFonts w:hint="eastAsia" w:eastAsia="宋体"/>
          <w:sz w:val="20"/>
          <w:szCs w:val="20"/>
          <w:lang w:val="en-US" w:eastAsia="zh-CN"/>
        </w:rPr>
        <w:t xml:space="preserve">For R17 before UE, </w:t>
      </w:r>
      <w:r>
        <w:rPr>
          <w:rFonts w:hint="eastAsia" w:eastAsiaTheme="minorEastAsia"/>
          <w:bCs/>
          <w:i/>
          <w:sz w:val="20"/>
          <w:szCs w:val="20"/>
          <w:lang w:val="en-US" w:eastAsia="zh-CN"/>
        </w:rPr>
        <w:t>highpowerlimit</w:t>
      </w:r>
      <w:r>
        <w:rPr>
          <w:rFonts w:eastAsiaTheme="minorEastAsia"/>
          <w:bCs/>
          <w:i/>
          <w:sz w:val="20"/>
          <w:szCs w:val="20"/>
        </w:rPr>
        <w:t>-r17</w:t>
      </w:r>
      <w:r>
        <w:rPr>
          <w:rFonts w:hint="eastAsia" w:eastAsiaTheme="minorEastAsia"/>
          <w:bCs/>
          <w:i/>
          <w:sz w:val="20"/>
          <w:szCs w:val="20"/>
          <w:lang w:val="en-US" w:eastAsia="zh-CN"/>
        </w:rPr>
        <w:t xml:space="preserve"> is not applicable, </w:t>
      </w:r>
      <w:r>
        <w:rPr>
          <w:rFonts w:hint="eastAsia" w:eastAsia="宋体"/>
          <w:sz w:val="20"/>
          <w:szCs w:val="20"/>
          <w:lang w:val="en-US" w:eastAsia="zh-CN"/>
        </w:rPr>
        <w:t>which can</w:t>
      </w:r>
      <w:r>
        <w:rPr>
          <w:rFonts w:hint="default" w:eastAsia="宋体"/>
          <w:sz w:val="20"/>
          <w:szCs w:val="20"/>
          <w:lang w:val="en-US" w:eastAsia="zh-CN"/>
        </w:rPr>
        <w:t>’</w:t>
      </w:r>
      <w:r>
        <w:rPr>
          <w:rFonts w:hint="eastAsia" w:eastAsia="宋体"/>
          <w:sz w:val="20"/>
          <w:szCs w:val="20"/>
          <w:lang w:val="en-US" w:eastAsia="zh-CN"/>
        </w:rPr>
        <w:t>t utilize the full potential of PA because the sum power from all UL carriers can</w:t>
      </w:r>
      <w:r>
        <w:rPr>
          <w:rFonts w:hint="default" w:eastAsia="宋体"/>
          <w:sz w:val="20"/>
          <w:szCs w:val="20"/>
          <w:lang w:val="en-US" w:eastAsia="zh-CN"/>
        </w:rPr>
        <w:t>’</w:t>
      </w:r>
      <w:r>
        <w:rPr>
          <w:rFonts w:hint="eastAsia" w:eastAsia="宋体"/>
          <w:sz w:val="20"/>
          <w:szCs w:val="20"/>
          <w:lang w:val="en-US" w:eastAsia="zh-CN"/>
        </w:rPr>
        <w:t>t exceed the power class of UL CA .</w:t>
      </w:r>
      <w:r>
        <w:rPr>
          <w:sz w:val="20"/>
          <w:szCs w:val="20"/>
        </w:rPr>
        <w:t xml:space="preserve"> </w:t>
      </w:r>
    </w:p>
    <w:p w14:paraId="126F8C31">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Observation 1: above list the drawbacks from 5G experience.</w:t>
      </w:r>
    </w:p>
    <w:p w14:paraId="36161673">
      <w:pPr>
        <w:numPr>
          <w:ilvl w:val="0"/>
          <w:numId w:val="0"/>
        </w:numPr>
        <w:ind w:leftChars="0"/>
        <w:rPr>
          <w:rFonts w:hint="eastAsia" w:eastAsia="宋体"/>
          <w:b w:val="0"/>
          <w:bCs w:val="0"/>
          <w:sz w:val="20"/>
          <w:szCs w:val="20"/>
          <w:lang w:val="en-US" w:eastAsia="zh-CN"/>
        </w:rPr>
      </w:pPr>
      <w:r>
        <w:rPr>
          <w:rFonts w:hint="eastAsia" w:eastAsia="宋体"/>
          <w:b w:val="0"/>
          <w:bCs w:val="0"/>
          <w:sz w:val="20"/>
          <w:szCs w:val="20"/>
          <w:lang w:val="en-US" w:eastAsia="zh-CN"/>
        </w:rPr>
        <w:t>Based on above 5G experience, following list the initial suggestions for 6G power class framework study.</w:t>
      </w:r>
    </w:p>
    <w:p w14:paraId="58193ACB">
      <w:pPr>
        <w:numPr>
          <w:ilvl w:val="0"/>
          <w:numId w:val="3"/>
        </w:numPr>
        <w:ind w:left="420" w:leftChars="0" w:hanging="420" w:firstLineChars="0"/>
        <w:rPr>
          <w:rFonts w:hint="eastAsia" w:eastAsia="宋体"/>
          <w:b w:val="0"/>
          <w:bCs w:val="0"/>
          <w:sz w:val="20"/>
          <w:szCs w:val="20"/>
          <w:lang w:val="en-US" w:eastAsia="zh-CN"/>
        </w:rPr>
      </w:pPr>
      <w:r>
        <w:rPr>
          <w:rFonts w:hint="eastAsia" w:eastAsia="宋体"/>
          <w:b w:val="0"/>
          <w:bCs w:val="0"/>
          <w:sz w:val="20"/>
          <w:szCs w:val="20"/>
          <w:lang w:val="en-US" w:eastAsia="zh-CN"/>
        </w:rPr>
        <w:t>RAN4 is suggested to be involved early for RAN2 band combination related capability discussion and avoid the band combination fallback related issues</w:t>
      </w:r>
    </w:p>
    <w:p w14:paraId="6BA55222">
      <w:pPr>
        <w:numPr>
          <w:ilvl w:val="0"/>
          <w:numId w:val="3"/>
        </w:numPr>
        <w:ind w:left="420" w:leftChars="0" w:hanging="420" w:firstLineChars="0"/>
        <w:rPr>
          <w:rFonts w:hint="eastAsia" w:eastAsia="宋体"/>
          <w:b w:val="0"/>
          <w:bCs w:val="0"/>
          <w:sz w:val="20"/>
          <w:szCs w:val="20"/>
          <w:lang w:val="en-US" w:eastAsia="zh-CN"/>
        </w:rPr>
      </w:pPr>
      <w:r>
        <w:rPr>
          <w:rFonts w:hint="eastAsia" w:eastAsia="宋体"/>
          <w:b w:val="0"/>
          <w:bCs w:val="0"/>
          <w:sz w:val="20"/>
          <w:szCs w:val="20"/>
          <w:lang w:val="en-US" w:eastAsia="zh-CN"/>
        </w:rPr>
        <w:t>Re-design the power class fall back mechanism and how to define RF requirements</w:t>
      </w:r>
    </w:p>
    <w:p w14:paraId="76DC8996">
      <w:pPr>
        <w:numPr>
          <w:ilvl w:val="0"/>
          <w:numId w:val="3"/>
        </w:numPr>
        <w:ind w:left="420" w:leftChars="0" w:hanging="420" w:firstLineChars="0"/>
        <w:rPr>
          <w:rFonts w:hint="eastAsia" w:eastAsia="宋体"/>
          <w:b w:val="0"/>
          <w:bCs w:val="0"/>
          <w:sz w:val="20"/>
          <w:szCs w:val="20"/>
          <w:lang w:val="en-US" w:eastAsia="zh-CN"/>
        </w:rPr>
      </w:pPr>
      <w:r>
        <w:rPr>
          <w:rFonts w:hint="eastAsia" w:eastAsia="宋体"/>
          <w:b w:val="0"/>
          <w:bCs w:val="0"/>
          <w:sz w:val="20"/>
          <w:szCs w:val="20"/>
          <w:lang w:val="en-US" w:eastAsia="zh-CN"/>
        </w:rPr>
        <w:t>Further study the possibility to allow much dynamic power class capability report mechanism</w:t>
      </w:r>
    </w:p>
    <w:p w14:paraId="3889AE3A">
      <w:pPr>
        <w:numPr>
          <w:ilvl w:val="0"/>
          <w:numId w:val="3"/>
        </w:numPr>
        <w:ind w:left="420" w:leftChars="0" w:hanging="420" w:firstLineChars="0"/>
        <w:rPr>
          <w:rFonts w:hint="default" w:eastAsia="宋体"/>
          <w:b/>
          <w:bCs/>
          <w:sz w:val="20"/>
          <w:szCs w:val="20"/>
          <w:lang w:val="en-US" w:eastAsia="zh-CN"/>
        </w:rPr>
      </w:pPr>
      <w:r>
        <w:rPr>
          <w:rFonts w:hint="eastAsia" w:eastAsia="宋体"/>
          <w:b w:val="0"/>
          <w:bCs w:val="0"/>
          <w:sz w:val="20"/>
          <w:szCs w:val="20"/>
          <w:lang w:val="en-US" w:eastAsia="zh-CN"/>
        </w:rPr>
        <w:t>Allow highpowerlimit feature from Day 1</w:t>
      </w:r>
    </w:p>
    <w:p w14:paraId="379695B4">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1: RAN4 is suggested to study the 6G power class framework from following aspects.</w:t>
      </w:r>
    </w:p>
    <w:p w14:paraId="7E0AF533">
      <w:pPr>
        <w:numPr>
          <w:ilvl w:val="0"/>
          <w:numId w:val="3"/>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RAN4 is suggested to be involved early for RAN2 band combination related capability discussion and avoid the band combination fallback related issues</w:t>
      </w:r>
    </w:p>
    <w:p w14:paraId="1344CEA5">
      <w:pPr>
        <w:numPr>
          <w:ilvl w:val="0"/>
          <w:numId w:val="3"/>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Re-design the power class fall back mechanism and how to define RF requirements</w:t>
      </w:r>
    </w:p>
    <w:p w14:paraId="35559868">
      <w:pPr>
        <w:numPr>
          <w:ilvl w:val="0"/>
          <w:numId w:val="3"/>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Further study the possibility to allow much dynamic power class capability report mechanism</w:t>
      </w:r>
    </w:p>
    <w:p w14:paraId="3016E478">
      <w:pPr>
        <w:numPr>
          <w:ilvl w:val="0"/>
          <w:numId w:val="3"/>
        </w:numPr>
        <w:ind w:left="420" w:leftChars="0" w:hanging="420" w:firstLineChars="0"/>
        <w:rPr>
          <w:rFonts w:hint="default" w:eastAsia="宋体"/>
          <w:b w:val="0"/>
          <w:bCs w:val="0"/>
          <w:sz w:val="20"/>
          <w:szCs w:val="20"/>
          <w:lang w:val="en-US" w:eastAsia="zh-CN"/>
        </w:rPr>
      </w:pPr>
      <w:r>
        <w:rPr>
          <w:rFonts w:hint="eastAsia" w:eastAsia="宋体"/>
          <w:b/>
          <w:bCs/>
          <w:sz w:val="20"/>
          <w:szCs w:val="20"/>
          <w:lang w:val="en-US" w:eastAsia="zh-CN"/>
        </w:rPr>
        <w:t>Allow highpowerlimit feature from Day 1</w:t>
      </w:r>
    </w:p>
    <w:p w14:paraId="7453BA24">
      <w:pPr>
        <w:numPr>
          <w:ilvl w:val="0"/>
          <w:numId w:val="0"/>
        </w:numPr>
        <w:ind w:leftChars="0"/>
        <w:rPr>
          <w:rFonts w:hint="default" w:eastAsia="宋体"/>
          <w:sz w:val="20"/>
          <w:szCs w:val="20"/>
          <w:lang w:val="en-US" w:eastAsia="zh-CN"/>
        </w:rPr>
      </w:pPr>
      <w:r>
        <w:rPr>
          <w:rFonts w:hint="eastAsia" w:eastAsia="宋体"/>
          <w:sz w:val="20"/>
          <w:szCs w:val="20"/>
          <w:lang w:val="en-US" w:eastAsia="zh-CN"/>
        </w:rPr>
        <w:t xml:space="preserve">For 6G, higher frequency band will be introduced, e.g. 7125-8425MHz. To reduce cost, these new frequency bands tend to still use current FR1 RF front end architecture with single antenna element/UL, i.e. no antenna array gain. Besides, according to the SID objective, these bands are target to have the same coverage as 3.5GHz. In theory, higher power </w:t>
      </w:r>
      <w:r>
        <w:rPr>
          <w:rFonts w:hint="eastAsia" w:eastAsia="宋体"/>
          <w:sz w:val="20"/>
          <w:szCs w:val="20"/>
          <w:highlight w:val="none"/>
          <w:lang w:val="en-US" w:eastAsia="zh-CN"/>
        </w:rPr>
        <w:t>class is required for such bands and the default power class may be enlarged to PC2. To reduce RF chain number, 29dBm/1UL feasibility should be further studied for higher candidate frequency bands.</w:t>
      </w:r>
    </w:p>
    <w:p w14:paraId="32E5A5E5">
      <w:pPr>
        <w:numPr>
          <w:ilvl w:val="0"/>
          <w:numId w:val="0"/>
        </w:numPr>
        <w:ind w:leftChars="0"/>
        <w:rPr>
          <w:rFonts w:hint="eastAsia" w:eastAsia="宋体"/>
          <w:sz w:val="20"/>
          <w:szCs w:val="20"/>
          <w:lang w:val="en-US" w:eastAsia="zh-CN"/>
        </w:rPr>
      </w:pPr>
      <w:r>
        <w:rPr>
          <w:rFonts w:hint="eastAsia" w:eastAsia="宋体"/>
          <w:b/>
          <w:bCs/>
          <w:sz w:val="20"/>
          <w:szCs w:val="20"/>
          <w:lang w:val="en-US" w:eastAsia="zh-CN"/>
        </w:rPr>
        <w:t>Proposal 2: the default power class for higher frequency band, e.g. &gt;6GHz should be at least PC2 and further study the feasibility of 29dBm/1UL for higher frequency range, e.g. &gt;7GHz in parallel with R20 study</w:t>
      </w:r>
      <w:r>
        <w:rPr>
          <w:rFonts w:hint="eastAsia" w:eastAsia="宋体"/>
          <w:sz w:val="20"/>
          <w:szCs w:val="20"/>
          <w:lang w:val="en-US" w:eastAsia="zh-CN"/>
        </w:rPr>
        <w:t xml:space="preserve"> </w:t>
      </w:r>
    </w:p>
    <w:p w14:paraId="1FC1CB48">
      <w:pPr>
        <w:pStyle w:val="3"/>
        <w:bidi w:val="0"/>
        <w:rPr>
          <w:rFonts w:hint="eastAsia"/>
          <w:lang w:val="en-US" w:eastAsia="zh-CN"/>
        </w:rPr>
      </w:pPr>
      <w:r>
        <w:rPr>
          <w:rFonts w:hint="eastAsia"/>
          <w:lang w:val="en-US" w:eastAsia="zh-CN"/>
        </w:rPr>
        <w:t>Spectrum aggregation framework</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9AB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8151B9">
            <w:pPr>
              <w:rPr>
                <w:rFonts w:ascii="Times New Roman" w:hAnsi="Times New Roman"/>
                <w:szCs w:val="20"/>
                <w:highlight w:val="green"/>
                <w:lang w:val="en-US" w:eastAsia="zh-CN"/>
              </w:rPr>
            </w:pPr>
            <w:r>
              <w:rPr>
                <w:rFonts w:ascii="Times New Roman" w:hAnsi="Times New Roman"/>
                <w:szCs w:val="20"/>
                <w:highlight w:val="green"/>
                <w:lang w:val="en-US" w:eastAsia="zh-CN"/>
              </w:rPr>
              <w:t>Agreement</w:t>
            </w:r>
          </w:p>
          <w:p w14:paraId="02127610">
            <w:pPr>
              <w:rPr>
                <w:rFonts w:ascii="Times New Roman" w:hAnsi="Times New Roman"/>
                <w:szCs w:val="20"/>
                <w:lang w:val="en-US"/>
              </w:rPr>
            </w:pPr>
            <w:r>
              <w:rPr>
                <w:rFonts w:ascii="Times New Roman" w:hAnsi="Times New Roman"/>
                <w:szCs w:val="20"/>
                <w:lang w:val="en-US"/>
              </w:rPr>
              <w:t>Study and identify the lessons learned from NR</w:t>
            </w:r>
            <w:r>
              <w:rPr>
                <w:rFonts w:ascii="Times New Roman" w:hAnsi="Times New Roman"/>
                <w:szCs w:val="20"/>
                <w:lang w:val="en-US" w:eastAsia="zh-CN"/>
              </w:rPr>
              <w:t xml:space="preserve"> </w:t>
            </w:r>
            <w:r>
              <w:rPr>
                <w:rFonts w:ascii="Times New Roman" w:hAnsi="Times New Roman"/>
                <w:szCs w:val="20"/>
                <w:lang w:val="en-US"/>
              </w:rPr>
              <w:t>spectrum utilization and aggregation framework.</w:t>
            </w:r>
          </w:p>
          <w:p w14:paraId="4D5027C8">
            <w:pPr>
              <w:pStyle w:val="26"/>
              <w:numPr>
                <w:ilvl w:val="0"/>
                <w:numId w:val="4"/>
              </w:numPr>
              <w:rPr>
                <w:lang w:val="en-US"/>
              </w:rPr>
            </w:pPr>
            <w:r>
              <w:rPr>
                <w:lang w:val="en-US"/>
              </w:rPr>
              <w:t>DC is subject to RAN</w:t>
            </w:r>
            <w:r>
              <w:rPr>
                <w:lang w:val="en-US" w:eastAsia="zh-CN"/>
              </w:rPr>
              <w:t>P</w:t>
            </w:r>
            <w:r>
              <w:rPr>
                <w:lang w:val="en-US"/>
              </w:rPr>
              <w:t xml:space="preserve"> decision in June 2026.</w:t>
            </w:r>
          </w:p>
          <w:p w14:paraId="5EEF0465">
            <w:pPr>
              <w:pStyle w:val="26"/>
              <w:numPr>
                <w:ilvl w:val="0"/>
                <w:numId w:val="4"/>
              </w:numPr>
              <w:rPr>
                <w:rFonts w:hint="eastAsia" w:eastAsiaTheme="minorEastAsia"/>
                <w:b w:val="0"/>
                <w:bCs/>
                <w:vertAlign w:val="baseline"/>
                <w:lang w:val="en-US" w:eastAsia="zh-CN"/>
              </w:rPr>
            </w:pPr>
            <w:r>
              <w:rPr>
                <w:lang w:val="en-US"/>
              </w:rPr>
              <w:t>Note: MRSS aspects are separate discussion.</w:t>
            </w:r>
          </w:p>
        </w:tc>
      </w:tr>
    </w:tbl>
    <w:p w14:paraId="71C18A84">
      <w:pPr>
        <w:spacing w:before="0" w:after="50"/>
        <w:rPr>
          <w:rFonts w:eastAsiaTheme="minorEastAsia"/>
          <w:lang w:val="en-US" w:eastAsia="zh-CN"/>
        </w:rPr>
      </w:pPr>
      <w:r>
        <w:rPr>
          <w:lang w:val="en-US"/>
        </w:rPr>
        <w:t>Multi</w:t>
      </w:r>
      <w:r>
        <w:rPr>
          <w:rFonts w:hint="eastAsia"/>
          <w:lang w:val="en-US" w:eastAsia="zh-CN"/>
        </w:rPr>
        <w:t>-carrier</w:t>
      </w:r>
      <w:r>
        <w:rPr>
          <w:lang w:val="en-US"/>
        </w:rPr>
        <w:t xml:space="preserve"> schemes are treated as efficient ways to increase user throughput and improve coverage, and have been introduce to LTE and NR.</w:t>
      </w:r>
      <w:r>
        <w:rPr>
          <w:rFonts w:hint="eastAsia"/>
          <w:lang w:val="en-US" w:eastAsia="zh-CN"/>
        </w:rPr>
        <w:t xml:space="preserve"> </w:t>
      </w:r>
      <w:r>
        <w:rPr>
          <w:rFonts w:eastAsiaTheme="minorEastAsia"/>
          <w:lang w:val="en-US" w:eastAsia="zh-CN"/>
        </w:rPr>
        <w:t xml:space="preserve">But current </w:t>
      </w:r>
      <w:r>
        <w:rPr>
          <w:rFonts w:hint="eastAsia" w:eastAsiaTheme="minorEastAsia"/>
          <w:lang w:val="en-US" w:eastAsia="zh-CN"/>
        </w:rPr>
        <w:t xml:space="preserve">multi-carrier </w:t>
      </w:r>
      <w:r>
        <w:rPr>
          <w:rFonts w:eastAsiaTheme="minorEastAsia"/>
          <w:lang w:val="en-US" w:eastAsia="zh-CN"/>
        </w:rPr>
        <w:t xml:space="preserve">schemes have </w:t>
      </w:r>
      <w:r>
        <w:rPr>
          <w:rFonts w:hint="eastAsia" w:eastAsiaTheme="minorEastAsia"/>
          <w:lang w:val="en-US" w:eastAsia="zh-CN"/>
        </w:rPr>
        <w:t>following</w:t>
      </w:r>
      <w:r>
        <w:rPr>
          <w:rFonts w:eastAsiaTheme="minorEastAsia"/>
          <w:lang w:val="en-US" w:eastAsia="zh-CN"/>
        </w:rPr>
        <w:t xml:space="preserve"> drawbacks</w:t>
      </w:r>
      <w:r>
        <w:rPr>
          <w:rFonts w:hint="eastAsia" w:eastAsiaTheme="minorEastAsia"/>
          <w:lang w:val="en-US" w:eastAsia="zh-CN"/>
        </w:rPr>
        <w:t>:</w:t>
      </w:r>
    </w:p>
    <w:p w14:paraId="245F4A04">
      <w:pPr>
        <w:pStyle w:val="26"/>
        <w:numPr>
          <w:ilvl w:val="0"/>
          <w:numId w:val="5"/>
        </w:numPr>
        <w:spacing w:before="0" w:after="50"/>
        <w:ind w:leftChars="0"/>
        <w:rPr>
          <w:rFonts w:eastAsiaTheme="minorEastAsia"/>
          <w:lang w:eastAsia="zh-CN"/>
        </w:rPr>
      </w:pPr>
      <w:r>
        <w:rPr>
          <w:rFonts w:hint="eastAsia" w:eastAsiaTheme="minorEastAsia"/>
          <w:lang w:val="en-US" w:eastAsia="zh-CN"/>
        </w:rPr>
        <w:t>Lack of</w:t>
      </w:r>
      <w:r>
        <w:rPr>
          <w:rFonts w:hint="eastAsia" w:eastAsiaTheme="minorEastAsia"/>
          <w:lang w:eastAsia="zh-CN"/>
        </w:rPr>
        <w:t xml:space="preserve"> efficient solutions for multi-carrier operation for idle/inactive mode UEs</w:t>
      </w:r>
    </w:p>
    <w:p w14:paraId="65EFF07C">
      <w:pPr>
        <w:pStyle w:val="26"/>
        <w:numPr>
          <w:ilvl w:val="0"/>
          <w:numId w:val="5"/>
        </w:numPr>
        <w:spacing w:before="0" w:after="50"/>
        <w:ind w:leftChars="0"/>
        <w:rPr>
          <w:rFonts w:eastAsiaTheme="minorEastAsia"/>
          <w:lang w:val="en-US" w:eastAsia="zh-CN"/>
        </w:rPr>
      </w:pPr>
      <w:r>
        <w:rPr>
          <w:rFonts w:hint="eastAsia" w:eastAsiaTheme="minorEastAsia"/>
          <w:lang w:val="en-US" w:eastAsia="zh-CN"/>
        </w:rPr>
        <w:t xml:space="preserve">Cell management overhead of existing CA framework, especially for fragmented carriers. </w:t>
      </w:r>
    </w:p>
    <w:p w14:paraId="2105B36E">
      <w:pPr>
        <w:pStyle w:val="26"/>
        <w:numPr>
          <w:ilvl w:val="0"/>
          <w:numId w:val="5"/>
        </w:numPr>
        <w:spacing w:before="0" w:after="50"/>
        <w:ind w:leftChars="0"/>
        <w:rPr>
          <w:rFonts w:eastAsiaTheme="minorEastAsia"/>
          <w:lang w:val="en-US" w:eastAsia="zh-CN"/>
        </w:rPr>
      </w:pPr>
      <w:r>
        <w:rPr>
          <w:rFonts w:hint="eastAsia" w:eastAsiaTheme="minorEastAsia"/>
          <w:lang w:val="en-US" w:eastAsia="zh-CN"/>
        </w:rPr>
        <w:t xml:space="preserve">Complex cross carrier </w:t>
      </w:r>
      <w:r>
        <w:rPr>
          <w:rFonts w:eastAsiaTheme="minorEastAsia"/>
          <w:lang w:val="en-US" w:eastAsia="zh-CN"/>
        </w:rPr>
        <w:t>scheduling</w:t>
      </w:r>
      <w:r>
        <w:rPr>
          <w:rFonts w:hint="eastAsia" w:eastAsiaTheme="minorEastAsia"/>
          <w:lang w:val="en-US" w:eastAsia="zh-CN"/>
        </w:rPr>
        <w:t xml:space="preserve"> design</w:t>
      </w:r>
    </w:p>
    <w:p w14:paraId="372FAE93">
      <w:pPr>
        <w:spacing w:before="0" w:after="50"/>
        <w:rPr>
          <w:rFonts w:eastAsiaTheme="minorEastAsia"/>
          <w:b/>
          <w:bCs/>
          <w:lang w:val="en-US" w:eastAsia="zh-CN"/>
        </w:rPr>
      </w:pPr>
      <w:r>
        <w:rPr>
          <w:rFonts w:eastAsiaTheme="minorEastAsia"/>
          <w:lang w:val="en-US" w:eastAsia="zh-CN"/>
        </w:rPr>
        <w:t xml:space="preserve">Therefore, </w:t>
      </w:r>
      <w:r>
        <w:rPr>
          <w:rFonts w:hint="eastAsia" w:eastAsiaTheme="minorEastAsia"/>
          <w:lang w:val="en-US" w:eastAsia="zh-CN"/>
        </w:rPr>
        <w:t xml:space="preserve">6G should support solution for </w:t>
      </w:r>
      <w:r>
        <w:rPr>
          <w:rFonts w:eastAsiaTheme="minorEastAsia"/>
          <w:lang w:val="en-US" w:eastAsia="zh-CN"/>
        </w:rPr>
        <w:t>more flexible and efficient multiple frequency resource operation.</w:t>
      </w:r>
    </w:p>
    <w:p w14:paraId="3F07E2C5">
      <w:pPr>
        <w:spacing w:before="0" w:after="50"/>
        <w:rPr>
          <w:rFonts w:eastAsiaTheme="minorEastAsia"/>
          <w:b/>
          <w:bCs/>
          <w:strike w:val="0"/>
          <w:dstrike w:val="0"/>
          <w:u w:val="single"/>
          <w:lang w:val="en-US" w:eastAsia="zh-CN"/>
        </w:rPr>
      </w:pPr>
      <w:r>
        <w:rPr>
          <w:rFonts w:hint="eastAsia" w:eastAsiaTheme="minorEastAsia"/>
          <w:b/>
          <w:bCs/>
          <w:strike w:val="0"/>
          <w:dstrike w:val="0"/>
          <w:u w:val="single"/>
          <w:lang w:val="en-US" w:eastAsia="zh-CN"/>
        </w:rPr>
        <w:t>Elastic cell with multiple carriers</w:t>
      </w:r>
    </w:p>
    <w:p w14:paraId="2C9379EE">
      <w:pPr>
        <w:spacing w:before="0" w:after="50"/>
        <w:rPr>
          <w:rFonts w:eastAsiaTheme="minorEastAsia"/>
          <w:strike w:val="0"/>
          <w:dstrike w:val="0"/>
          <w:lang w:eastAsia="zh-CN"/>
        </w:rPr>
      </w:pPr>
      <w:r>
        <w:rPr>
          <w:rFonts w:eastAsiaTheme="minorEastAsia"/>
          <w:strike w:val="0"/>
          <w:dstrike w:val="0"/>
          <w:lang w:eastAsia="zh-CN"/>
        </w:rPr>
        <w:t>To realize</w:t>
      </w:r>
      <w:r>
        <w:rPr>
          <w:rFonts w:hint="eastAsia" w:eastAsiaTheme="minorEastAsia"/>
          <w:strike w:val="0"/>
          <w:dstrike w:val="0"/>
          <w:lang w:eastAsia="zh-CN"/>
        </w:rPr>
        <w:t xml:space="preserve"> efficient and flexible IDLE/INACTIVE mode multiple carrier</w:t>
      </w:r>
      <w:r>
        <w:rPr>
          <w:rFonts w:hint="eastAsia" w:eastAsiaTheme="minorEastAsia"/>
          <w:strike w:val="0"/>
          <w:dstrike w:val="0"/>
          <w:lang w:val="en-US" w:eastAsia="zh-CN"/>
        </w:rPr>
        <w:t>s</w:t>
      </w:r>
      <w:r>
        <w:rPr>
          <w:rFonts w:hint="eastAsia" w:eastAsiaTheme="minorEastAsia"/>
          <w:strike w:val="0"/>
          <w:dstrike w:val="0"/>
          <w:lang w:eastAsia="zh-CN"/>
        </w:rPr>
        <w:t xml:space="preserve"> operation</w:t>
      </w:r>
      <w:r>
        <w:rPr>
          <w:rFonts w:eastAsiaTheme="minorEastAsia"/>
          <w:strike w:val="0"/>
          <w:dstrike w:val="0"/>
          <w:lang w:val="en-US" w:eastAsia="zh-CN"/>
        </w:rPr>
        <w:t>,</w:t>
      </w:r>
      <w:r>
        <w:rPr>
          <w:rFonts w:hint="eastAsia" w:eastAsiaTheme="minorEastAsia"/>
          <w:strike w:val="0"/>
          <w:dstrike w:val="0"/>
          <w:lang w:eastAsia="zh-CN"/>
        </w:rPr>
        <w:t xml:space="preserve"> and </w:t>
      </w:r>
      <w:r>
        <w:rPr>
          <w:rFonts w:eastAsiaTheme="minorEastAsia"/>
          <w:strike w:val="0"/>
          <w:dstrike w:val="0"/>
          <w:lang w:val="en-US" w:eastAsia="zh-CN"/>
        </w:rPr>
        <w:t>at the same time, to</w:t>
      </w:r>
      <w:r>
        <w:rPr>
          <w:rFonts w:hint="eastAsia" w:eastAsiaTheme="minorEastAsia"/>
          <w:strike w:val="0"/>
          <w:dstrike w:val="0"/>
          <w:lang w:eastAsia="zh-CN"/>
        </w:rPr>
        <w:t xml:space="preserve"> reduce cell management overhead of existing CA framework</w:t>
      </w:r>
      <w:r>
        <w:rPr>
          <w:rFonts w:eastAsiaTheme="minorEastAsia"/>
          <w:strike w:val="0"/>
          <w:dstrike w:val="0"/>
          <w:lang w:eastAsia="zh-CN"/>
        </w:rPr>
        <w:t xml:space="preserve">, different </w:t>
      </w:r>
      <w:r>
        <w:rPr>
          <w:rFonts w:hint="eastAsia" w:eastAsiaTheme="minorEastAsia"/>
          <w:strike w:val="0"/>
          <w:dstrike w:val="0"/>
          <w:lang w:val="en-US" w:eastAsia="zh-CN"/>
        </w:rPr>
        <w:t>carriers</w:t>
      </w:r>
      <w:r>
        <w:rPr>
          <w:rFonts w:eastAsiaTheme="minorEastAsia"/>
          <w:strike w:val="0"/>
          <w:dstrike w:val="0"/>
          <w:lang w:eastAsia="zh-CN"/>
        </w:rPr>
        <w:t>, regardless of intra-band, or inter-band, can be configured in a cell, named frequency combination based elastic cell. The elastic cell has the following characteristics,</w:t>
      </w:r>
    </w:p>
    <w:p w14:paraId="30B97B8D">
      <w:pPr>
        <w:pStyle w:val="26"/>
        <w:numPr>
          <w:ilvl w:val="0"/>
          <w:numId w:val="6"/>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ascii="Times New Roman" w:hAnsi="Times New Roman" w:eastAsiaTheme="minorEastAsia"/>
          <w:strike w:val="0"/>
          <w:dstrike w:val="0"/>
          <w:szCs w:val="20"/>
        </w:rPr>
        <w:t xml:space="preserve">The multiple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s are deployed co-located, </w:t>
      </w:r>
      <w:r>
        <w:rPr>
          <w:rFonts w:hint="eastAsia" w:ascii="Times New Roman" w:hAnsi="Times New Roman" w:eastAsiaTheme="minorEastAsia"/>
          <w:strike w:val="0"/>
          <w:dstrike w:val="0"/>
          <w:szCs w:val="20"/>
          <w:lang w:val="en-US" w:eastAsia="zh-CN"/>
        </w:rPr>
        <w:t>and</w:t>
      </w:r>
      <w:r>
        <w:rPr>
          <w:rFonts w:ascii="Times New Roman" w:hAnsi="Times New Roman" w:eastAsiaTheme="minorEastAsia"/>
          <w:strike w:val="0"/>
          <w:dstrike w:val="0"/>
          <w:szCs w:val="20"/>
        </w:rPr>
        <w:t xml:space="preserve"> can be </w:t>
      </w:r>
      <w:r>
        <w:rPr>
          <w:rFonts w:hint="eastAsia" w:ascii="Times New Roman" w:hAnsi="Times New Roman" w:eastAsiaTheme="minorEastAsia"/>
          <w:strike w:val="0"/>
          <w:dstrike w:val="0"/>
          <w:szCs w:val="20"/>
        </w:rPr>
        <w:t>intra-band or inter-band</w:t>
      </w:r>
      <w:r>
        <w:rPr>
          <w:rFonts w:ascii="Times New Roman" w:hAnsi="Times New Roman" w:eastAsiaTheme="minorEastAsia"/>
          <w:strike w:val="0"/>
          <w:dstrike w:val="0"/>
          <w:szCs w:val="20"/>
        </w:rPr>
        <w:t xml:space="preserve"> </w:t>
      </w:r>
      <w:r>
        <w:rPr>
          <w:rFonts w:hint="eastAsia" w:ascii="Times New Roman" w:hAnsi="Times New Roman" w:eastAsiaTheme="minorEastAsia"/>
          <w:strike w:val="0"/>
          <w:dstrike w:val="0"/>
          <w:szCs w:val="20"/>
          <w:lang w:val="en-US" w:eastAsia="zh-CN"/>
        </w:rPr>
        <w:t>carriers</w:t>
      </w:r>
      <w:r>
        <w:rPr>
          <w:rFonts w:ascii="Times New Roman" w:hAnsi="Times New Roman" w:eastAsiaTheme="minorEastAsia"/>
          <w:strike w:val="0"/>
          <w:dstrike w:val="0"/>
          <w:szCs w:val="20"/>
        </w:rPr>
        <w:t>.</w:t>
      </w:r>
    </w:p>
    <w:p w14:paraId="56C58CC3">
      <w:pPr>
        <w:pStyle w:val="26"/>
        <w:numPr>
          <w:ilvl w:val="0"/>
          <w:numId w:val="6"/>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hint="eastAsia" w:ascii="Times New Roman" w:hAnsi="Times New Roman" w:eastAsiaTheme="minorEastAsia"/>
          <w:strike w:val="0"/>
          <w:dstrike w:val="0"/>
          <w:szCs w:val="20"/>
        </w:rPr>
        <w:t xml:space="preserve">System information can be broadcast only on one of the multiple </w:t>
      </w:r>
      <w:r>
        <w:rPr>
          <w:rFonts w:hint="eastAsia" w:ascii="Times New Roman" w:hAnsi="Times New Roman" w:eastAsiaTheme="minorEastAsia"/>
          <w:strike w:val="0"/>
          <w:dstrike w:val="0"/>
          <w:szCs w:val="20"/>
          <w:lang w:val="en-US" w:eastAsia="zh-CN"/>
        </w:rPr>
        <w:t>carries</w:t>
      </w:r>
      <w:r>
        <w:rPr>
          <w:rFonts w:hint="eastAsia" w:ascii="Times New Roman" w:hAnsi="Times New Roman" w:eastAsiaTheme="minorEastAsia"/>
          <w:strike w:val="0"/>
          <w:dstrike w:val="0"/>
          <w:szCs w:val="20"/>
        </w:rPr>
        <w:t xml:space="preserve">s, i.e., so called 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and one or more non</w:t>
      </w:r>
      <w:r>
        <w:rPr>
          <w:rFonts w:ascii="Times New Roman" w:hAnsi="Times New Roman" w:eastAsiaTheme="minorEastAsia"/>
          <w:strike w:val="0"/>
          <w:dstrike w:val="0"/>
          <w:szCs w:val="20"/>
        </w:rPr>
        <w:t>-</w:t>
      </w:r>
      <w:r>
        <w:rPr>
          <w:rFonts w:hint="eastAsia" w:ascii="Times New Roman" w:hAnsi="Times New Roman" w:eastAsiaTheme="minorEastAsia"/>
          <w:strike w:val="0"/>
          <w:dstrike w:val="0"/>
          <w:szCs w:val="20"/>
        </w:rPr>
        <w:t xml:space="preserve">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s can be visible and </w:t>
      </w:r>
      <w:r>
        <w:rPr>
          <w:rFonts w:ascii="Times New Roman" w:hAnsi="Times New Roman" w:eastAsiaTheme="minorEastAsia"/>
          <w:strike w:val="0"/>
          <w:dstrike w:val="0"/>
          <w:szCs w:val="20"/>
        </w:rPr>
        <w:t>accessed</w:t>
      </w:r>
      <w:r>
        <w:rPr>
          <w:rFonts w:hint="eastAsia" w:ascii="Times New Roman" w:hAnsi="Times New Roman" w:eastAsiaTheme="minorEastAsia"/>
          <w:strike w:val="0"/>
          <w:dstrike w:val="0"/>
          <w:szCs w:val="20"/>
        </w:rPr>
        <w:t xml:space="preserve"> by UE, both anchor and non-anchor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 can be selected by UE for initial access and data transmission. </w:t>
      </w:r>
    </w:p>
    <w:p w14:paraId="73B60C0C">
      <w:pPr>
        <w:pStyle w:val="26"/>
        <w:numPr>
          <w:ilvl w:val="0"/>
          <w:numId w:val="6"/>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ascii="Times New Roman" w:hAnsi="Times New Roman" w:eastAsiaTheme="minorEastAsia"/>
          <w:strike w:val="0"/>
          <w:dstrike w:val="0"/>
          <w:szCs w:val="20"/>
        </w:rPr>
        <w:t xml:space="preserve">SSB transmission on non-anchor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 can be configured by anchor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 e.g. non-anchor frequency resource can be configured with SSB-less or long SSB periodicity to reduce SSB overhead, UE can access non-anchor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 with less SSB overhead than </w:t>
      </w:r>
      <w:r>
        <w:rPr>
          <w:rFonts w:hint="eastAsia" w:ascii="Times New Roman" w:hAnsi="Times New Roman" w:eastAsiaTheme="minorEastAsia"/>
          <w:strike w:val="0"/>
          <w:dstrike w:val="0"/>
          <w:szCs w:val="20"/>
          <w:lang w:val="en-US" w:eastAsia="zh-CN"/>
        </w:rPr>
        <w:t>initial</w:t>
      </w:r>
      <w:r>
        <w:rPr>
          <w:rFonts w:ascii="Times New Roman" w:hAnsi="Times New Roman" w:eastAsiaTheme="minorEastAsia"/>
          <w:strike w:val="0"/>
          <w:dstrike w:val="0"/>
          <w:szCs w:val="20"/>
        </w:rPr>
        <w:t xml:space="preserve"> default SSB periodicity. </w:t>
      </w:r>
    </w:p>
    <w:p w14:paraId="29F92830">
      <w:pPr>
        <w:pStyle w:val="26"/>
        <w:numPr>
          <w:ilvl w:val="0"/>
          <w:numId w:val="6"/>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hint="eastAsia" w:ascii="Times New Roman" w:hAnsi="Times New Roman" w:eastAsiaTheme="minorEastAsia"/>
          <w:strike w:val="0"/>
          <w:dstrike w:val="0"/>
          <w:szCs w:val="20"/>
        </w:rPr>
        <w:t xml:space="preserve">Idle/inactive UEs only need to monitor paging on anchor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w:t>
      </w:r>
    </w:p>
    <w:p w14:paraId="56878EC8">
      <w:pPr>
        <w:pStyle w:val="26"/>
        <w:numPr>
          <w:ilvl w:val="0"/>
          <w:numId w:val="6"/>
        </w:numPr>
        <w:tabs>
          <w:tab w:val="left" w:pos="-420"/>
          <w:tab w:val="clear" w:pos="-1260"/>
        </w:tabs>
        <w:spacing w:before="0" w:after="50"/>
        <w:ind w:left="-40" w:leftChars="0" w:firstLine="400"/>
        <w:rPr>
          <w:rFonts w:ascii="Times New Roman" w:hAnsi="Times New Roman" w:eastAsiaTheme="minorEastAsia"/>
          <w:strike w:val="0"/>
          <w:dstrike w:val="0"/>
          <w:szCs w:val="20"/>
        </w:rPr>
      </w:pPr>
      <w:r>
        <w:rPr>
          <w:rFonts w:hint="eastAsia" w:ascii="Times New Roman" w:hAnsi="Times New Roman" w:eastAsiaTheme="minorEastAsia"/>
          <w:strike w:val="0"/>
          <w:dstrike w:val="0"/>
          <w:szCs w:val="20"/>
        </w:rPr>
        <w:t xml:space="preserve">DL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 and UL </w:t>
      </w:r>
      <w:r>
        <w:rPr>
          <w:rFonts w:hint="eastAsia" w:ascii="Times New Roman" w:hAnsi="Times New Roman" w:eastAsiaTheme="minorEastAsia"/>
          <w:strike w:val="0"/>
          <w:dstrike w:val="0"/>
          <w:szCs w:val="20"/>
          <w:lang w:val="en-US" w:eastAsia="zh-CN"/>
        </w:rPr>
        <w:t>carrier</w:t>
      </w:r>
      <w:r>
        <w:rPr>
          <w:rFonts w:hint="eastAsia" w:ascii="Times New Roman" w:hAnsi="Times New Roman" w:eastAsiaTheme="minorEastAsia"/>
          <w:strike w:val="0"/>
          <w:dstrike w:val="0"/>
          <w:szCs w:val="20"/>
        </w:rPr>
        <w:t xml:space="preserve"> are coupled based on network indication</w:t>
      </w:r>
      <w:r>
        <w:rPr>
          <w:rFonts w:hint="eastAsia" w:ascii="Times New Roman" w:hAnsi="Times New Roman" w:eastAsiaTheme="minorEastAsia"/>
          <w:strike w:val="0"/>
          <w:dstrike w:val="0"/>
          <w:szCs w:val="20"/>
          <w:lang w:val="en-US" w:eastAsia="zh-CN"/>
        </w:rPr>
        <w:t>.</w:t>
      </w:r>
    </w:p>
    <w:p w14:paraId="63B00BD4">
      <w:pPr>
        <w:pStyle w:val="26"/>
        <w:numPr>
          <w:ilvl w:val="0"/>
          <w:numId w:val="6"/>
        </w:numPr>
        <w:tabs>
          <w:tab w:val="left" w:pos="-420"/>
          <w:tab w:val="clear" w:pos="-1260"/>
        </w:tabs>
        <w:spacing w:before="0" w:after="50"/>
        <w:ind w:left="-40" w:leftChars="0" w:firstLine="400"/>
        <w:rPr>
          <w:rFonts w:eastAsiaTheme="minorEastAsia"/>
          <w:lang w:val="en-US" w:eastAsia="zh-CN"/>
        </w:rPr>
      </w:pPr>
      <w:r>
        <w:rPr>
          <w:rFonts w:hint="eastAsia" w:ascii="Times New Roman" w:hAnsi="Times New Roman" w:eastAsiaTheme="minorEastAsia"/>
          <w:strike w:val="0"/>
          <w:dstrike w:val="0"/>
          <w:szCs w:val="20"/>
        </w:rPr>
        <w:t xml:space="preserve">For connected mode, </w:t>
      </w:r>
      <w:r>
        <w:rPr>
          <w:rFonts w:hint="eastAsia" w:eastAsiaTheme="minorEastAsia"/>
          <w:strike w:val="0"/>
          <w:dstrike w:val="0"/>
          <w:szCs w:val="20"/>
          <w:lang w:val="en-US" w:eastAsia="zh-CN"/>
        </w:rPr>
        <w:t>f</w:t>
      </w:r>
      <w:r>
        <w:rPr>
          <w:rFonts w:hint="eastAsia" w:ascii="Times New Roman" w:hAnsi="Times New Roman" w:eastAsiaTheme="minorEastAsia"/>
          <w:strike w:val="0"/>
          <w:dstrike w:val="0"/>
          <w:szCs w:val="20"/>
        </w:rPr>
        <w:t>lexible intra-cell multiple carriers switching is supported for connected mode</w:t>
      </w:r>
      <w:r>
        <w:rPr>
          <w:rFonts w:hint="eastAsia" w:eastAsiaTheme="minorEastAsia"/>
          <w:strike w:val="0"/>
          <w:dstrike w:val="0"/>
          <w:szCs w:val="20"/>
          <w:lang w:val="en-US" w:eastAsia="zh-CN"/>
        </w:rPr>
        <w:t>. S</w:t>
      </w:r>
      <w:r>
        <w:rPr>
          <w:rFonts w:ascii="Times New Roman" w:hAnsi="Times New Roman" w:eastAsiaTheme="minorEastAsia"/>
          <w:strike w:val="0"/>
          <w:dstrike w:val="0"/>
          <w:szCs w:val="20"/>
        </w:rPr>
        <w:t>imilar but more flexible behavior than</w:t>
      </w:r>
      <w:r>
        <w:rPr>
          <w:rFonts w:hint="eastAsia" w:ascii="Times New Roman" w:hAnsi="Times New Roman" w:eastAsiaTheme="minorEastAsia"/>
          <w:strike w:val="0"/>
          <w:dstrike w:val="0"/>
          <w:szCs w:val="20"/>
        </w:rPr>
        <w:t xml:space="preserve"> CA</w:t>
      </w:r>
      <w:r>
        <w:rPr>
          <w:rFonts w:ascii="Times New Roman" w:hAnsi="Times New Roman" w:eastAsiaTheme="minorEastAsia"/>
          <w:strike w:val="0"/>
          <w:dstrike w:val="0"/>
          <w:szCs w:val="20"/>
        </w:rPr>
        <w:t xml:space="preserve"> is supported, for example, </w:t>
      </w:r>
      <w:r>
        <w:rPr>
          <w:rFonts w:hint="eastAsia" w:ascii="Times New Roman" w:hAnsi="Times New Roman" w:eastAsiaTheme="minorEastAsia"/>
          <w:strike w:val="0"/>
          <w:dstrike w:val="0"/>
          <w:szCs w:val="20"/>
        </w:rPr>
        <w:t>fast switching than CA</w:t>
      </w:r>
      <w:r>
        <w:rPr>
          <w:rFonts w:ascii="Times New Roman" w:hAnsi="Times New Roman" w:eastAsiaTheme="minorEastAsia"/>
          <w:strike w:val="0"/>
          <w:dstrike w:val="0"/>
          <w:szCs w:val="20"/>
        </w:rPr>
        <w:t xml:space="preserve"> can be achieved, since UE has all the SI information about multiple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 xml:space="preserve">s in one elastic cell, L1/L2 based multiple </w:t>
      </w:r>
      <w:r>
        <w:rPr>
          <w:rFonts w:hint="eastAsia" w:ascii="Times New Roman" w:hAnsi="Times New Roman" w:eastAsiaTheme="minorEastAsia"/>
          <w:strike w:val="0"/>
          <w:dstrike w:val="0"/>
          <w:szCs w:val="20"/>
          <w:lang w:val="en-US" w:eastAsia="zh-CN"/>
        </w:rPr>
        <w:t>carrier</w:t>
      </w:r>
      <w:r>
        <w:rPr>
          <w:rFonts w:ascii="Times New Roman" w:hAnsi="Times New Roman" w:eastAsiaTheme="minorEastAsia"/>
          <w:strike w:val="0"/>
          <w:dstrike w:val="0"/>
          <w:szCs w:val="20"/>
        </w:rPr>
        <w:t>s activation and deactivation can be studied, based on R18 L1/L2 mobility enhancement</w:t>
      </w:r>
      <w:r>
        <w:rPr>
          <w:rFonts w:hint="eastAsia" w:ascii="Times New Roman" w:hAnsi="Times New Roman" w:eastAsiaTheme="minorEastAsia"/>
          <w:strike w:val="0"/>
          <w:dstrike w:val="0"/>
          <w:szCs w:val="20"/>
        </w:rPr>
        <w:t>.</w:t>
      </w:r>
    </w:p>
    <w:p w14:paraId="6789E38D">
      <w:pPr>
        <w:pStyle w:val="26"/>
        <w:numPr>
          <w:ilvl w:val="0"/>
          <w:numId w:val="0"/>
        </w:numPr>
        <w:tabs>
          <w:tab w:val="left" w:pos="-420"/>
        </w:tabs>
        <w:spacing w:before="0" w:after="50"/>
        <w:rPr>
          <w:rFonts w:hint="default" w:eastAsiaTheme="minorEastAsia"/>
          <w:lang w:val="en-US" w:eastAsia="zh-CN"/>
        </w:rPr>
      </w:pPr>
      <w:r>
        <w:rPr>
          <w:rFonts w:hint="eastAsia" w:eastAsiaTheme="minorEastAsia"/>
          <w:lang w:val="en-US" w:eastAsia="zh-CN"/>
        </w:rPr>
        <w:t>From RF point of view, it is not allowed to randomly couple UL and DL carrier because the reference degradation occurs due to harmonic mixing, IMD interference, cross band interference for certain UL and DL combinations. RAN4 is suggested to be evolved by RAN1 LS for at least the UL/DL couple feasibility analysis.</w:t>
      </w:r>
    </w:p>
    <w:p w14:paraId="25251A3A">
      <w:pPr>
        <w:pStyle w:val="26"/>
        <w:numPr>
          <w:ilvl w:val="0"/>
          <w:numId w:val="0"/>
        </w:numPr>
        <w:tabs>
          <w:tab w:val="left" w:pos="-420"/>
        </w:tabs>
        <w:spacing w:before="0" w:after="50"/>
        <w:rPr>
          <w:rFonts w:eastAsiaTheme="minorEastAsia"/>
          <w:lang w:val="en-US" w:eastAsia="zh-CN"/>
        </w:rPr>
      </w:pPr>
      <w:r>
        <w:rPr>
          <w:rFonts w:eastAsiaTheme="minorEastAsia"/>
          <w:lang w:val="en-US" w:eastAsia="zh-CN"/>
        </w:rPr>
        <w:t>Based on discussion above,</w:t>
      </w:r>
      <w:r>
        <w:rPr>
          <w:rFonts w:hint="eastAsia" w:eastAsiaTheme="minorEastAsia"/>
          <w:lang w:val="en-US" w:eastAsia="zh-CN"/>
        </w:rPr>
        <w:t xml:space="preserve"> </w:t>
      </w:r>
      <w:r>
        <w:rPr>
          <w:rFonts w:eastAsiaTheme="minorEastAsia"/>
          <w:lang w:val="en-US" w:eastAsia="zh-CN"/>
        </w:rPr>
        <w:t>the following proposals</w:t>
      </w:r>
      <w:r>
        <w:rPr>
          <w:rFonts w:hint="eastAsia" w:eastAsiaTheme="minorEastAsia"/>
          <w:lang w:val="en-US" w:eastAsia="zh-CN"/>
        </w:rPr>
        <w:t xml:space="preserve"> is proposed</w:t>
      </w:r>
      <w:r>
        <w:rPr>
          <w:rFonts w:eastAsiaTheme="minorEastAsia"/>
          <w:lang w:val="en-US" w:eastAsia="zh-CN"/>
        </w:rPr>
        <w:t>,</w:t>
      </w:r>
    </w:p>
    <w:p w14:paraId="01F68FEF">
      <w:pPr>
        <w:pStyle w:val="26"/>
        <w:numPr>
          <w:ilvl w:val="0"/>
          <w:numId w:val="0"/>
        </w:numPr>
        <w:spacing w:before="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Proposal 3: </w:t>
      </w:r>
      <w:r>
        <w:rPr>
          <w:rFonts w:hint="eastAsia" w:ascii="Times New Roman" w:hAnsi="Times New Roman" w:eastAsia="宋体" w:cs="Times New Roman"/>
          <w:b/>
          <w:bCs/>
          <w:sz w:val="20"/>
          <w:szCs w:val="20"/>
          <w:lang w:val="en-US" w:eastAsia="zh-CN" w:bidi="ar-SA"/>
        </w:rPr>
        <w:t xml:space="preserve">Elastic cell with multiple carriers is </w:t>
      </w:r>
      <w:r>
        <w:rPr>
          <w:rFonts w:hint="eastAsia" w:eastAsia="宋体" w:cs="Times New Roman"/>
          <w:b/>
          <w:bCs/>
          <w:sz w:val="20"/>
          <w:szCs w:val="20"/>
          <w:lang w:val="en-US" w:eastAsia="zh-CN" w:bidi="ar-SA"/>
        </w:rPr>
        <w:t xml:space="preserve">suggested to be </w:t>
      </w:r>
      <w:r>
        <w:rPr>
          <w:rFonts w:hint="eastAsia" w:ascii="Times New Roman" w:hAnsi="Times New Roman" w:eastAsia="宋体" w:cs="Times New Roman"/>
          <w:b/>
          <w:bCs/>
          <w:sz w:val="20"/>
          <w:szCs w:val="20"/>
          <w:lang w:val="en-US" w:eastAsia="zh-CN" w:bidi="ar-SA"/>
        </w:rPr>
        <w:t>studied for multi-carrier operation</w:t>
      </w:r>
      <w:r>
        <w:rPr>
          <w:rFonts w:hint="eastAsia" w:eastAsia="宋体" w:cs="Times New Roman"/>
          <w:b/>
          <w:bCs/>
          <w:sz w:val="20"/>
          <w:szCs w:val="20"/>
          <w:lang w:val="en-US" w:eastAsia="zh-CN" w:bidi="ar-SA"/>
        </w:rPr>
        <w:t xml:space="preserve"> and RAN4 is suggested to be evolved based on RAN1 LS</w:t>
      </w:r>
      <w:r>
        <w:rPr>
          <w:rFonts w:hint="eastAsia" w:ascii="Times New Roman" w:hAnsi="Times New Roman" w:eastAsia="宋体" w:cs="Times New Roman"/>
          <w:b/>
          <w:bCs/>
          <w:sz w:val="20"/>
          <w:szCs w:val="20"/>
          <w:lang w:val="en-US" w:eastAsia="zh-CN" w:bidi="ar-SA"/>
        </w:rPr>
        <w:t>, with the following characteristics,</w:t>
      </w:r>
    </w:p>
    <w:p w14:paraId="7A68F96C">
      <w:pPr>
        <w:pStyle w:val="26"/>
        <w:numPr>
          <w:ilvl w:val="0"/>
          <w:numId w:val="6"/>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Multiple carriers are co-located, either intra-band or inter-band.</w:t>
      </w:r>
    </w:p>
    <w:p w14:paraId="06BE0189">
      <w:pPr>
        <w:pStyle w:val="26"/>
        <w:numPr>
          <w:ilvl w:val="0"/>
          <w:numId w:val="6"/>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RAN4 input for the feasibility of DL carrier and UL carrier couple.</w:t>
      </w:r>
    </w:p>
    <w:p w14:paraId="1203DEF6">
      <w:pPr>
        <w:pStyle w:val="3"/>
        <w:bidi w:val="0"/>
        <w:rPr>
          <w:rFonts w:hint="eastAsia"/>
          <w:lang w:val="en-US" w:eastAsia="zh-CN"/>
        </w:rPr>
      </w:pPr>
      <w:r>
        <w:rPr>
          <w:rFonts w:hint="eastAsia"/>
          <w:lang w:val="en-US" w:eastAsia="zh-CN"/>
        </w:rPr>
        <w:t>Power saving architecture</w:t>
      </w:r>
    </w:p>
    <w:p w14:paraId="088D6561">
      <w:pPr>
        <w:overflowPunct w:val="0"/>
        <w:autoSpaceDE w:val="0"/>
        <w:autoSpaceDN w:val="0"/>
        <w:adjustRightInd w:val="0"/>
        <w:spacing w:before="0"/>
        <w:ind w:right="-99"/>
        <w:jc w:val="both"/>
        <w:rPr>
          <w:rFonts w:hint="eastAsia"/>
          <w:color w:val="000000"/>
          <w:lang w:val="en-US" w:eastAsia="zh-CN"/>
        </w:rPr>
      </w:pPr>
      <w:r>
        <w:rPr>
          <w:rFonts w:hint="eastAsia"/>
          <w:color w:val="000000"/>
          <w:lang w:val="en-US" w:eastAsia="zh-CN"/>
        </w:rPr>
        <w:t xml:space="preserve">5G LP-WUS specify two sets of requirements for type 1 LR and type 2 LR. The former is defined with much loose requirements and the later is defined with relatively strict requirements. Both type 1 and type 2 use the same reference channel with overlaid OFDM sequence with OOK-4, so in theory there is no limit of Rx architecture. Both OOK based envelope detection and OFDM based Rx architecture are supported for both LR types. </w:t>
      </w:r>
    </w:p>
    <w:p w14:paraId="7222C4F1">
      <w:pPr>
        <w:pStyle w:val="26"/>
        <w:numPr>
          <w:ilvl w:val="0"/>
          <w:numId w:val="0"/>
        </w:numPr>
        <w:overflowPunct w:val="0"/>
        <w:autoSpaceDE w:val="0"/>
        <w:autoSpaceDN w:val="0"/>
        <w:adjustRightInd w:val="0"/>
        <w:spacing w:before="0" w:after="120" w:afterLines="50"/>
        <w:ind w:right="-96" w:rightChars="0"/>
        <w:jc w:val="both"/>
        <w:rPr>
          <w:rFonts w:hint="eastAsia" w:ascii="Times New Roman" w:hAnsi="Times New Roman" w:eastAsia="Times New Roman" w:cs="Times New Roman"/>
          <w:color w:val="000000"/>
          <w:lang w:val="en-US" w:eastAsia="zh-CN" w:bidi="ar-SA"/>
        </w:rPr>
      </w:pPr>
      <w:r>
        <w:rPr>
          <w:rFonts w:hint="eastAsia" w:ascii="Times New Roman" w:hAnsi="Times New Roman" w:eastAsia="Times New Roman" w:cs="Times New Roman"/>
          <w:color w:val="000000"/>
          <w:lang w:val="en-US" w:eastAsia="zh-CN" w:bidi="ar-SA"/>
        </w:rPr>
        <w:t>Following list R18/19</w:t>
      </w:r>
      <w:r>
        <w:rPr>
          <w:rFonts w:hint="eastAsia" w:cs="Times New Roman"/>
          <w:color w:val="000000"/>
          <w:lang w:val="en-US" w:eastAsia="zh-CN" w:bidi="ar-SA"/>
        </w:rPr>
        <w:t xml:space="preserve"> </w:t>
      </w:r>
      <w:r>
        <w:rPr>
          <w:rFonts w:hint="eastAsia" w:ascii="Times New Roman" w:hAnsi="Times New Roman" w:eastAsia="Times New Roman" w:cs="Times New Roman"/>
          <w:color w:val="000000"/>
          <w:lang w:val="en-US" w:eastAsia="zh-CN" w:bidi="ar-SA"/>
        </w:rPr>
        <w:t>LP-WUS/WUR</w:t>
      </w:r>
      <w:r>
        <w:rPr>
          <w:rFonts w:hint="eastAsia" w:cs="Times New Roman"/>
          <w:color w:val="000000"/>
          <w:lang w:val="en-US" w:eastAsia="zh-CN" w:bidi="ar-SA"/>
        </w:rPr>
        <w:t xml:space="preserve"> drawbacks</w:t>
      </w:r>
      <w:r>
        <w:rPr>
          <w:rFonts w:hint="eastAsia" w:ascii="Times New Roman" w:hAnsi="Times New Roman" w:eastAsia="Times New Roman" w:cs="Times New Roman"/>
          <w:color w:val="000000"/>
          <w:lang w:val="en-US" w:eastAsia="zh-CN" w:bidi="ar-SA"/>
        </w:rPr>
        <w:t>：</w:t>
      </w:r>
    </w:p>
    <w:p w14:paraId="3AEA3FFF">
      <w:pPr>
        <w:numPr>
          <w:ilvl w:val="0"/>
          <w:numId w:val="7"/>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The coverage of LP-WUS/WUR is relatively poor. Therefore, UE can only receive LP-WUS or perform serving cell measurement in a limited area.</w:t>
      </w:r>
    </w:p>
    <w:p w14:paraId="5FCDEBE8">
      <w:pPr>
        <w:numPr>
          <w:ilvl w:val="0"/>
          <w:numId w:val="7"/>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Due to the alignment of payload between OOK-based receiver and OFDM-based receiver, the information bit carries in LP-WUS is relatively limited.</w:t>
      </w:r>
    </w:p>
    <w:p w14:paraId="64F7988D">
      <w:pPr>
        <w:overflowPunct w:val="0"/>
        <w:autoSpaceDE w:val="0"/>
        <w:autoSpaceDN w:val="0"/>
        <w:adjustRightInd w:val="0"/>
        <w:spacing w:before="0"/>
        <w:ind w:right="-99"/>
        <w:jc w:val="both"/>
        <w:rPr>
          <w:rFonts w:hint="eastAsia"/>
          <w:color w:val="000000"/>
          <w:lang w:val="en-US" w:eastAsia="zh-CN"/>
        </w:rPr>
      </w:pPr>
      <w:r>
        <w:rPr>
          <w:rFonts w:hint="eastAsia"/>
          <w:color w:val="000000"/>
          <w:lang w:val="en-US" w:eastAsia="zh-CN"/>
        </w:rPr>
        <w:t>Based on the lessons learned from NR and potential issue on 6GR, we suggest to further enhance LP-WUS/WUR design in 6GR, which includes the following aspects:</w:t>
      </w:r>
    </w:p>
    <w:p w14:paraId="4FC7E507">
      <w:pPr>
        <w:numPr>
          <w:ilvl w:val="0"/>
          <w:numId w:val="7"/>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Overlaid-wise signals are not necessary to avoid unnecessary design trade-offs.</w:t>
      </w:r>
    </w:p>
    <w:p w14:paraId="650D84CF">
      <w:pPr>
        <w:numPr>
          <w:ilvl w:val="0"/>
          <w:numId w:val="7"/>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 xml:space="preserve">Better receiver detection method for 6G LP-WUR more than envelope detection, can be considered. </w:t>
      </w:r>
    </w:p>
    <w:p w14:paraId="53103B97">
      <w:pPr>
        <w:numPr>
          <w:ilvl w:val="0"/>
          <w:numId w:val="7"/>
        </w:numPr>
        <w:overflowPunct w:val="0"/>
        <w:autoSpaceDE w:val="0"/>
        <w:autoSpaceDN w:val="0"/>
        <w:adjustRightInd w:val="0"/>
        <w:spacing w:before="0"/>
        <w:ind w:left="720" w:leftChars="0" w:right="-99" w:hanging="360" w:firstLineChars="0"/>
        <w:jc w:val="both"/>
        <w:rPr>
          <w:rFonts w:hint="eastAsia"/>
          <w:color w:val="000000"/>
          <w:lang w:val="en-US" w:eastAsia="zh-CN"/>
        </w:rPr>
      </w:pPr>
      <w:r>
        <w:rPr>
          <w:rFonts w:hint="eastAsia"/>
          <w:color w:val="000000"/>
          <w:lang w:val="en-US" w:eastAsia="zh-CN"/>
        </w:rPr>
        <w:t>The receiver accuracy, e.g., option 3 or 4 in TR38.869, 10-20ppm and power consumption (0.1-1mW) can be considered as start point with justified power saving gain.</w:t>
      </w:r>
    </w:p>
    <w:p w14:paraId="1D9DF4E0">
      <w:pPr>
        <w:pStyle w:val="26"/>
        <w:numPr>
          <w:ilvl w:val="0"/>
          <w:numId w:val="0"/>
        </w:numPr>
        <w:overflowPunct w:val="0"/>
        <w:autoSpaceDE w:val="0"/>
        <w:autoSpaceDN w:val="0"/>
        <w:adjustRightInd w:val="0"/>
        <w:spacing w:before="0" w:after="120" w:afterLines="50"/>
        <w:ind w:right="-96" w:rightChars="0"/>
        <w:jc w:val="both"/>
        <w:rPr>
          <w:rFonts w:eastAsiaTheme="minorEastAsia"/>
          <w:color w:val="000000"/>
          <w:highlight w:val="none"/>
          <w:lang w:eastAsia="zh-CN"/>
        </w:rPr>
      </w:pPr>
      <w:r>
        <w:rPr>
          <w:rFonts w:hint="eastAsia" w:eastAsiaTheme="minorEastAsia"/>
          <w:color w:val="000000"/>
          <w:highlight w:val="none"/>
          <w:lang w:val="en-US" w:eastAsia="zh-CN"/>
        </w:rPr>
        <w:t>At the starting point, RAN4 is suggested to be evolved for LP-WUS/WUR architecture design study based on RAN1 signal design</w:t>
      </w:r>
      <w:r>
        <w:rPr>
          <w:rFonts w:eastAsiaTheme="minorEastAsia"/>
          <w:color w:val="000000"/>
          <w:highlight w:val="none"/>
          <w:lang w:eastAsia="zh-CN"/>
        </w:rPr>
        <w:t>.</w:t>
      </w:r>
    </w:p>
    <w:p w14:paraId="5DAC046D">
      <w:pPr>
        <w:pStyle w:val="26"/>
        <w:numPr>
          <w:ilvl w:val="0"/>
          <w:numId w:val="0"/>
        </w:numPr>
        <w:overflowPunct w:val="0"/>
        <w:autoSpaceDE w:val="0"/>
        <w:autoSpaceDN w:val="0"/>
        <w:adjustRightInd w:val="0"/>
        <w:spacing w:before="0" w:after="120" w:afterLines="50"/>
        <w:ind w:right="-96" w:rightChars="0"/>
        <w:jc w:val="both"/>
        <w:rPr>
          <w:rFonts w:hint="eastAsia" w:eastAsiaTheme="minorEastAsia"/>
          <w:b w:val="0"/>
          <w:bCs/>
          <w:lang w:val="en-US" w:eastAsia="zh-CN"/>
        </w:rPr>
      </w:pPr>
      <w:r>
        <w:rPr>
          <w:rFonts w:hint="eastAsia" w:eastAsiaTheme="minorEastAsia"/>
          <w:b/>
          <w:bCs/>
          <w:color w:val="000000"/>
          <w:highlight w:val="none"/>
          <w:lang w:val="en-US" w:eastAsia="zh-CN"/>
        </w:rPr>
        <w:t>Proposal 4: RAN4 is suggested to be evolved early for LP-WUR design study based on RAN1 signal design.</w:t>
      </w:r>
    </w:p>
    <w:bookmarkEnd w:id="9"/>
    <w:p w14:paraId="1CF59D43">
      <w:pPr>
        <w:pStyle w:val="2"/>
        <w:rPr>
          <w:rFonts w:eastAsia="宋体"/>
          <w:lang w:eastAsia="zh-CN"/>
        </w:rPr>
      </w:pP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1D0B7E9B">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Observation 1: above list the drawbacks from 5G experience.</w:t>
      </w:r>
    </w:p>
    <w:p w14:paraId="65A2BE6F">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1: RAN4 is suggested to study the 6G power class framework from following aspects.</w:t>
      </w:r>
    </w:p>
    <w:p w14:paraId="1269D5C6">
      <w:pPr>
        <w:numPr>
          <w:ilvl w:val="0"/>
          <w:numId w:val="3"/>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RAN4 is suggested to be involved early for RAN2 band combination related capability discussion and avoid the band combination fallback related issues</w:t>
      </w:r>
    </w:p>
    <w:p w14:paraId="2C0AAAA5">
      <w:pPr>
        <w:numPr>
          <w:ilvl w:val="0"/>
          <w:numId w:val="3"/>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Re-design the power class fall back mechanism and how to define RF requirements</w:t>
      </w:r>
    </w:p>
    <w:p w14:paraId="4CB0C8D7">
      <w:pPr>
        <w:numPr>
          <w:ilvl w:val="0"/>
          <w:numId w:val="3"/>
        </w:numPr>
        <w:ind w:left="420" w:leftChars="0" w:hanging="420" w:firstLineChars="0"/>
        <w:rPr>
          <w:rFonts w:hint="eastAsia" w:eastAsia="宋体"/>
          <w:b/>
          <w:bCs/>
          <w:sz w:val="20"/>
          <w:szCs w:val="20"/>
          <w:lang w:val="en-US" w:eastAsia="zh-CN"/>
        </w:rPr>
      </w:pPr>
      <w:r>
        <w:rPr>
          <w:rFonts w:hint="eastAsia" w:eastAsia="宋体"/>
          <w:b/>
          <w:bCs/>
          <w:sz w:val="20"/>
          <w:szCs w:val="20"/>
          <w:lang w:val="en-US" w:eastAsia="zh-CN"/>
        </w:rPr>
        <w:t>Further study the possibility to allow much dynamic power class capability report mechanism</w:t>
      </w:r>
    </w:p>
    <w:p w14:paraId="74C50B22">
      <w:pPr>
        <w:numPr>
          <w:ilvl w:val="0"/>
          <w:numId w:val="3"/>
        </w:numPr>
        <w:ind w:left="420" w:leftChars="0" w:hanging="420" w:firstLineChars="0"/>
        <w:rPr>
          <w:rFonts w:hint="default" w:eastAsia="宋体"/>
          <w:b w:val="0"/>
          <w:bCs w:val="0"/>
          <w:sz w:val="20"/>
          <w:szCs w:val="20"/>
          <w:lang w:val="en-US" w:eastAsia="zh-CN"/>
        </w:rPr>
      </w:pPr>
      <w:r>
        <w:rPr>
          <w:rFonts w:hint="eastAsia" w:eastAsia="宋体"/>
          <w:b/>
          <w:bCs/>
          <w:sz w:val="20"/>
          <w:szCs w:val="20"/>
          <w:lang w:val="en-US" w:eastAsia="zh-CN"/>
        </w:rPr>
        <w:t>Allow highpowerlimit feature from Day 1</w:t>
      </w:r>
    </w:p>
    <w:p w14:paraId="3AB30F6A">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sz w:val="20"/>
          <w:szCs w:val="20"/>
          <w:lang w:val="en-US" w:eastAsia="zh-CN"/>
        </w:rPr>
      </w:pPr>
      <w:r>
        <w:rPr>
          <w:rFonts w:hint="eastAsia" w:eastAsia="宋体"/>
          <w:b/>
          <w:bCs/>
          <w:sz w:val="20"/>
          <w:szCs w:val="20"/>
          <w:lang w:val="en-US" w:eastAsia="zh-CN"/>
        </w:rPr>
        <w:t>Proposal 2: the default power class for higher frequency band, e.g. &gt;6GHz should be at least PC2 and further study the feasibility of 29dBm/1UL for higher frequency range, e.g. &gt;7GHz in parallel with R20 study</w:t>
      </w:r>
    </w:p>
    <w:p w14:paraId="540184E8">
      <w:pPr>
        <w:pStyle w:val="26"/>
        <w:numPr>
          <w:ilvl w:val="0"/>
          <w:numId w:val="0"/>
        </w:numPr>
        <w:spacing w:before="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Proposal 3: </w:t>
      </w:r>
      <w:r>
        <w:rPr>
          <w:rFonts w:hint="eastAsia" w:ascii="Times New Roman" w:hAnsi="Times New Roman" w:eastAsia="宋体" w:cs="Times New Roman"/>
          <w:b/>
          <w:bCs/>
          <w:sz w:val="20"/>
          <w:szCs w:val="20"/>
          <w:lang w:val="en-US" w:eastAsia="zh-CN" w:bidi="ar-SA"/>
        </w:rPr>
        <w:t xml:space="preserve">Elastic cell with multiple carriers is </w:t>
      </w:r>
      <w:r>
        <w:rPr>
          <w:rFonts w:hint="eastAsia" w:eastAsia="宋体" w:cs="Times New Roman"/>
          <w:b/>
          <w:bCs/>
          <w:sz w:val="20"/>
          <w:szCs w:val="20"/>
          <w:lang w:val="en-US" w:eastAsia="zh-CN" w:bidi="ar-SA"/>
        </w:rPr>
        <w:t xml:space="preserve">suggested to be </w:t>
      </w:r>
      <w:r>
        <w:rPr>
          <w:rFonts w:hint="eastAsia" w:ascii="Times New Roman" w:hAnsi="Times New Roman" w:eastAsia="宋体" w:cs="Times New Roman"/>
          <w:b/>
          <w:bCs/>
          <w:sz w:val="20"/>
          <w:szCs w:val="20"/>
          <w:lang w:val="en-US" w:eastAsia="zh-CN" w:bidi="ar-SA"/>
        </w:rPr>
        <w:t>studied for multi-carrier operation</w:t>
      </w:r>
      <w:r>
        <w:rPr>
          <w:rFonts w:hint="eastAsia" w:eastAsia="宋体" w:cs="Times New Roman"/>
          <w:b/>
          <w:bCs/>
          <w:sz w:val="20"/>
          <w:szCs w:val="20"/>
          <w:lang w:val="en-US" w:eastAsia="zh-CN" w:bidi="ar-SA"/>
        </w:rPr>
        <w:t xml:space="preserve"> and RAN4 is suggested to be evolved based on RAN1 LS</w:t>
      </w:r>
      <w:r>
        <w:rPr>
          <w:rFonts w:hint="eastAsia" w:ascii="Times New Roman" w:hAnsi="Times New Roman" w:eastAsia="宋体" w:cs="Times New Roman"/>
          <w:b/>
          <w:bCs/>
          <w:sz w:val="20"/>
          <w:szCs w:val="20"/>
          <w:lang w:val="en-US" w:eastAsia="zh-CN" w:bidi="ar-SA"/>
        </w:rPr>
        <w:t>, with the following characteristics,</w:t>
      </w:r>
    </w:p>
    <w:p w14:paraId="648D2CA6">
      <w:pPr>
        <w:pStyle w:val="26"/>
        <w:numPr>
          <w:ilvl w:val="0"/>
          <w:numId w:val="6"/>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ascii="Times New Roman" w:hAnsi="Times New Roman" w:eastAsia="宋体" w:cs="Times New Roman"/>
          <w:b/>
          <w:bCs/>
          <w:sz w:val="20"/>
          <w:szCs w:val="20"/>
          <w:lang w:val="en-US" w:eastAsia="zh-CN" w:bidi="ar-SA"/>
        </w:rPr>
        <w:t>Multiple carriers are co-located, either intra-band or inter-band.</w:t>
      </w:r>
    </w:p>
    <w:p w14:paraId="42072CD6">
      <w:pPr>
        <w:pStyle w:val="26"/>
        <w:numPr>
          <w:ilvl w:val="0"/>
          <w:numId w:val="6"/>
        </w:numPr>
        <w:tabs>
          <w:tab w:val="left" w:pos="-420"/>
          <w:tab w:val="clear" w:pos="-1260"/>
        </w:tabs>
        <w:spacing w:before="0"/>
        <w:ind w:left="-40" w:leftChars="0" w:firstLine="400"/>
        <w:rPr>
          <w:rFonts w:hint="eastAsia"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RAN4 input for the feasibility of DL carrier and UL carrier couple.</w:t>
      </w:r>
    </w:p>
    <w:p w14:paraId="51C26198">
      <w:pPr>
        <w:pStyle w:val="26"/>
        <w:numPr>
          <w:ilvl w:val="0"/>
          <w:numId w:val="0"/>
        </w:numPr>
        <w:overflowPunct w:val="0"/>
        <w:autoSpaceDE w:val="0"/>
        <w:autoSpaceDN w:val="0"/>
        <w:adjustRightInd w:val="0"/>
        <w:spacing w:before="0" w:after="120" w:afterLines="50"/>
        <w:ind w:right="-96" w:rightChars="0"/>
        <w:jc w:val="both"/>
        <w:rPr>
          <w:rFonts w:hint="eastAsia" w:eastAsia="宋体"/>
          <w:b/>
          <w:bCs/>
          <w:sz w:val="20"/>
          <w:szCs w:val="20"/>
          <w:lang w:val="en-US" w:eastAsia="zh-CN"/>
        </w:rPr>
      </w:pPr>
      <w:r>
        <w:rPr>
          <w:rFonts w:hint="eastAsia" w:eastAsiaTheme="minorEastAsia"/>
          <w:b/>
          <w:bCs/>
          <w:color w:val="000000"/>
          <w:highlight w:val="none"/>
          <w:lang w:val="en-US" w:eastAsia="zh-CN"/>
        </w:rPr>
        <w:t>Proposal 4: RAN4 is suggested to be evolved early for LP-WUR design study based on RAN1 signal design.</w:t>
      </w:r>
    </w:p>
    <w:p w14:paraId="5EEE4E53">
      <w:pPr>
        <w:pStyle w:val="2"/>
        <w:ind w:left="0" w:firstLine="0"/>
      </w:pPr>
      <w:r>
        <w:t>References</w:t>
      </w:r>
    </w:p>
    <w:bookmarkEnd w:id="1"/>
    <w:bookmarkEnd w:id="2"/>
    <w:bookmarkEnd w:id="3"/>
    <w:p w14:paraId="3A3CD9C8">
      <w:pPr>
        <w:pStyle w:val="50"/>
        <w:numPr>
          <w:ilvl w:val="0"/>
          <w:numId w:val="8"/>
        </w:numPr>
        <w:ind w:firstLineChars="0"/>
        <w:rPr>
          <w:rFonts w:hint="eastAsia" w:eastAsia="Malgun Gothic"/>
          <w:sz w:val="20"/>
          <w:szCs w:val="20"/>
          <w:lang w:val="en-US" w:eastAsia="zh-CN"/>
        </w:rPr>
      </w:pPr>
      <w:r>
        <w:rPr>
          <w:rFonts w:hint="eastAsia" w:eastAsia="Malgun Gothic"/>
          <w:sz w:val="20"/>
          <w:szCs w:val="20"/>
          <w:lang w:val="en-US" w:eastAsia="zh-CN"/>
        </w:rPr>
        <w:t>RP-251881, New SID: Study on 6G Radio, NTT DOCOMO</w:t>
      </w:r>
    </w:p>
    <w:p w14:paraId="5021D1EB">
      <w:pPr>
        <w:pStyle w:val="5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E89E498"/>
    <w:multiLevelType w:val="multilevel"/>
    <w:tmpl w:val="0E89E498"/>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TimesNewRomanPSM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46E7A1E"/>
    <w:multiLevelType w:val="multilevel"/>
    <w:tmpl w:val="446E7A1E"/>
    <w:lvl w:ilvl="0" w:tentative="0">
      <w:start w:val="1"/>
      <w:numFmt w:val="decimal"/>
      <w:lvlText w:val="%1)"/>
      <w:lvlJc w:val="left"/>
      <w:pPr>
        <w:ind w:left="360" w:hanging="360"/>
      </w:pPr>
      <w:rPr>
        <w:rFonts w:hint="default"/>
        <w: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6E7B3B5A"/>
    <w:multiLevelType w:val="multilevel"/>
    <w:tmpl w:val="6E7B3B5A"/>
    <w:lvl w:ilvl="0" w:tentative="0">
      <w:start w:val="0"/>
      <w:numFmt w:val="bullet"/>
      <w:lvlText w:val="-"/>
      <w:lvlJc w:val="left"/>
      <w:pPr>
        <w:ind w:left="720" w:hanging="360"/>
      </w:pPr>
      <w:rPr>
        <w:rFonts w:hint="default" w:ascii="Times" w:hAnsi="Times" w:eastAsia="Batang" w:cs="等线"/>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1D36B01"/>
    <w:multiLevelType w:val="multilevel"/>
    <w:tmpl w:val="71D36B01"/>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6">
    <w:nsid w:val="73415ED0"/>
    <w:multiLevelType w:val="multilevel"/>
    <w:tmpl w:val="73415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76B1B08"/>
    <w:multiLevelType w:val="multilevel"/>
    <w:tmpl w:val="776B1B08"/>
    <w:lvl w:ilvl="0" w:tentative="0">
      <w:start w:val="1"/>
      <w:numFmt w:val="bullet"/>
      <w:lvlText w:val=""/>
      <w:lvlJc w:val="left"/>
      <w:pPr>
        <w:tabs>
          <w:tab w:val="left" w:pos="-1260"/>
        </w:tabs>
        <w:ind w:left="-840" w:hanging="420"/>
      </w:pPr>
      <w:rPr>
        <w:rFonts w:hint="default" w:ascii="Symbol" w:hAnsi="Symbol"/>
      </w:rPr>
    </w:lvl>
    <w:lvl w:ilvl="1" w:tentative="0">
      <w:start w:val="1"/>
      <w:numFmt w:val="bullet"/>
      <w:lvlText w:val=""/>
      <w:lvlJc w:val="left"/>
      <w:pPr>
        <w:tabs>
          <w:tab w:val="left" w:pos="-1260"/>
        </w:tabs>
        <w:ind w:left="-420" w:hanging="420"/>
      </w:pPr>
      <w:rPr>
        <w:rFonts w:hint="default" w:ascii="Wingdings" w:hAnsi="Wingdings"/>
      </w:rPr>
    </w:lvl>
    <w:lvl w:ilvl="2" w:tentative="0">
      <w:start w:val="1"/>
      <w:numFmt w:val="bullet"/>
      <w:lvlText w:val=""/>
      <w:lvlJc w:val="left"/>
      <w:pPr>
        <w:tabs>
          <w:tab w:val="left" w:pos="-1260"/>
        </w:tabs>
        <w:ind w:left="0" w:hanging="420"/>
      </w:pPr>
      <w:rPr>
        <w:rFonts w:hint="default" w:ascii="Wingdings" w:hAnsi="Wingdings"/>
      </w:rPr>
    </w:lvl>
    <w:lvl w:ilvl="3" w:tentative="0">
      <w:start w:val="1"/>
      <w:numFmt w:val="bullet"/>
      <w:lvlText w:val=""/>
      <w:lvlJc w:val="left"/>
      <w:pPr>
        <w:tabs>
          <w:tab w:val="left" w:pos="-1260"/>
        </w:tabs>
        <w:ind w:left="420" w:hanging="420"/>
      </w:pPr>
      <w:rPr>
        <w:rFonts w:hint="default" w:ascii="Wingdings" w:hAnsi="Wingdings"/>
      </w:rPr>
    </w:lvl>
    <w:lvl w:ilvl="4" w:tentative="0">
      <w:start w:val="1"/>
      <w:numFmt w:val="bullet"/>
      <w:lvlText w:val=""/>
      <w:lvlJc w:val="left"/>
      <w:pPr>
        <w:tabs>
          <w:tab w:val="left" w:pos="-1260"/>
        </w:tabs>
        <w:ind w:left="840" w:hanging="420"/>
      </w:pPr>
      <w:rPr>
        <w:rFonts w:hint="default" w:ascii="Wingdings" w:hAnsi="Wingdings"/>
      </w:rPr>
    </w:lvl>
    <w:lvl w:ilvl="5" w:tentative="0">
      <w:start w:val="1"/>
      <w:numFmt w:val="bullet"/>
      <w:lvlText w:val=""/>
      <w:lvlJc w:val="left"/>
      <w:pPr>
        <w:tabs>
          <w:tab w:val="left" w:pos="-1260"/>
        </w:tabs>
        <w:ind w:left="1260" w:hanging="420"/>
      </w:pPr>
      <w:rPr>
        <w:rFonts w:hint="default" w:ascii="Wingdings" w:hAnsi="Wingdings"/>
      </w:rPr>
    </w:lvl>
    <w:lvl w:ilvl="6" w:tentative="0">
      <w:start w:val="1"/>
      <w:numFmt w:val="bullet"/>
      <w:lvlText w:val=""/>
      <w:lvlJc w:val="left"/>
      <w:pPr>
        <w:tabs>
          <w:tab w:val="left" w:pos="-1260"/>
        </w:tabs>
        <w:ind w:left="1680" w:hanging="420"/>
      </w:pPr>
      <w:rPr>
        <w:rFonts w:hint="default" w:ascii="Wingdings" w:hAnsi="Wingdings"/>
      </w:rPr>
    </w:lvl>
    <w:lvl w:ilvl="7" w:tentative="0">
      <w:start w:val="1"/>
      <w:numFmt w:val="bullet"/>
      <w:lvlText w:val=""/>
      <w:lvlJc w:val="left"/>
      <w:pPr>
        <w:tabs>
          <w:tab w:val="left" w:pos="-1260"/>
        </w:tabs>
        <w:ind w:left="2100" w:hanging="420"/>
      </w:pPr>
      <w:rPr>
        <w:rFonts w:hint="default" w:ascii="Wingdings" w:hAnsi="Wingdings"/>
      </w:rPr>
    </w:lvl>
    <w:lvl w:ilvl="8" w:tentative="0">
      <w:start w:val="1"/>
      <w:numFmt w:val="bullet"/>
      <w:lvlText w:val=""/>
      <w:lvlJc w:val="left"/>
      <w:pPr>
        <w:tabs>
          <w:tab w:val="left" w:pos="-1260"/>
        </w:tabs>
        <w:ind w:left="2520" w:hanging="420"/>
      </w:pPr>
      <w:rPr>
        <w:rFonts w:hint="default" w:ascii="Wingdings" w:hAnsi="Wingdings"/>
      </w:rPr>
    </w:lvl>
  </w:abstractNum>
  <w:num w:numId="1">
    <w:abstractNumId w:val="0"/>
  </w:num>
  <w:num w:numId="2">
    <w:abstractNumId w:val="5"/>
  </w:num>
  <w:num w:numId="3">
    <w:abstractNumId w:val="2"/>
  </w:num>
  <w:num w:numId="4">
    <w:abstractNumId w:val="6"/>
  </w:num>
  <w:num w:numId="5">
    <w:abstractNumId w:val="3"/>
  </w:num>
  <w:num w:numId="6">
    <w:abstractNumId w:val="7"/>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E87038"/>
    <w:rsid w:val="03EA4358"/>
    <w:rsid w:val="045643A0"/>
    <w:rsid w:val="04C9495C"/>
    <w:rsid w:val="04D66338"/>
    <w:rsid w:val="04E9263C"/>
    <w:rsid w:val="04E946B9"/>
    <w:rsid w:val="05333EBB"/>
    <w:rsid w:val="054908B9"/>
    <w:rsid w:val="055943D7"/>
    <w:rsid w:val="056A6870"/>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487BBA"/>
    <w:rsid w:val="104D01F0"/>
    <w:rsid w:val="10AA0E51"/>
    <w:rsid w:val="11036AF6"/>
    <w:rsid w:val="115C61ED"/>
    <w:rsid w:val="119274DC"/>
    <w:rsid w:val="1206614F"/>
    <w:rsid w:val="12E3738C"/>
    <w:rsid w:val="13E968BA"/>
    <w:rsid w:val="14050867"/>
    <w:rsid w:val="14131750"/>
    <w:rsid w:val="144D6A10"/>
    <w:rsid w:val="14752984"/>
    <w:rsid w:val="15076B7F"/>
    <w:rsid w:val="152378BB"/>
    <w:rsid w:val="1549557C"/>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B6E63"/>
    <w:rsid w:val="1CB9755F"/>
    <w:rsid w:val="1CCB2BC8"/>
    <w:rsid w:val="1D104B3E"/>
    <w:rsid w:val="1D4D49A3"/>
    <w:rsid w:val="1E7D4AC8"/>
    <w:rsid w:val="1EE24244"/>
    <w:rsid w:val="1F1330A4"/>
    <w:rsid w:val="1F211421"/>
    <w:rsid w:val="1F3F164B"/>
    <w:rsid w:val="1F5E4382"/>
    <w:rsid w:val="201F2242"/>
    <w:rsid w:val="204C400B"/>
    <w:rsid w:val="22384AB0"/>
    <w:rsid w:val="22C14D1E"/>
    <w:rsid w:val="232C6642"/>
    <w:rsid w:val="23537507"/>
    <w:rsid w:val="23D14BD1"/>
    <w:rsid w:val="24E055E0"/>
    <w:rsid w:val="256107E0"/>
    <w:rsid w:val="26256201"/>
    <w:rsid w:val="26270314"/>
    <w:rsid w:val="27E466EC"/>
    <w:rsid w:val="27FA6A57"/>
    <w:rsid w:val="282412E8"/>
    <w:rsid w:val="2888557E"/>
    <w:rsid w:val="28EE4234"/>
    <w:rsid w:val="29451A7D"/>
    <w:rsid w:val="296D0386"/>
    <w:rsid w:val="29B95BC6"/>
    <w:rsid w:val="29D458F2"/>
    <w:rsid w:val="29E85C82"/>
    <w:rsid w:val="29FD5367"/>
    <w:rsid w:val="2A82464A"/>
    <w:rsid w:val="2AB50F68"/>
    <w:rsid w:val="2ABC4FEF"/>
    <w:rsid w:val="2ABD16AC"/>
    <w:rsid w:val="2B3712F2"/>
    <w:rsid w:val="2B463C55"/>
    <w:rsid w:val="2BAA2CF4"/>
    <w:rsid w:val="2BDB094E"/>
    <w:rsid w:val="2BE11E2F"/>
    <w:rsid w:val="2C6A44EB"/>
    <w:rsid w:val="2C914558"/>
    <w:rsid w:val="2D0852EE"/>
    <w:rsid w:val="2D3227EF"/>
    <w:rsid w:val="2D3F104B"/>
    <w:rsid w:val="2D8D5C78"/>
    <w:rsid w:val="2DBD1919"/>
    <w:rsid w:val="2EE6487F"/>
    <w:rsid w:val="2F1A0A62"/>
    <w:rsid w:val="2FE62223"/>
    <w:rsid w:val="3013786F"/>
    <w:rsid w:val="30853026"/>
    <w:rsid w:val="30A532D8"/>
    <w:rsid w:val="30D808B2"/>
    <w:rsid w:val="30FF4CDC"/>
    <w:rsid w:val="31250C93"/>
    <w:rsid w:val="31422411"/>
    <w:rsid w:val="31743165"/>
    <w:rsid w:val="31BB332E"/>
    <w:rsid w:val="332F3E0C"/>
    <w:rsid w:val="333024BC"/>
    <w:rsid w:val="334B2535"/>
    <w:rsid w:val="34572B3B"/>
    <w:rsid w:val="35C91817"/>
    <w:rsid w:val="36937C0A"/>
    <w:rsid w:val="36BC1970"/>
    <w:rsid w:val="375D41C0"/>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40227C45"/>
    <w:rsid w:val="40594B0F"/>
    <w:rsid w:val="41126927"/>
    <w:rsid w:val="415B6A48"/>
    <w:rsid w:val="42982C9D"/>
    <w:rsid w:val="42DC7E3D"/>
    <w:rsid w:val="4307643F"/>
    <w:rsid w:val="434929F0"/>
    <w:rsid w:val="4395737C"/>
    <w:rsid w:val="43CC05E0"/>
    <w:rsid w:val="44547A2A"/>
    <w:rsid w:val="44953938"/>
    <w:rsid w:val="450C745A"/>
    <w:rsid w:val="45481880"/>
    <w:rsid w:val="455B6F58"/>
    <w:rsid w:val="468160C4"/>
    <w:rsid w:val="468477C0"/>
    <w:rsid w:val="468C64C8"/>
    <w:rsid w:val="47A21C10"/>
    <w:rsid w:val="488E6476"/>
    <w:rsid w:val="49C51095"/>
    <w:rsid w:val="49F0230F"/>
    <w:rsid w:val="4B1D294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874282"/>
    <w:rsid w:val="56B75990"/>
    <w:rsid w:val="56DB4FAA"/>
    <w:rsid w:val="56E4241D"/>
    <w:rsid w:val="571C4FFB"/>
    <w:rsid w:val="575842A9"/>
    <w:rsid w:val="585F1909"/>
    <w:rsid w:val="58E65065"/>
    <w:rsid w:val="59222CCC"/>
    <w:rsid w:val="59C31BDD"/>
    <w:rsid w:val="5AD73F22"/>
    <w:rsid w:val="5BAB48F4"/>
    <w:rsid w:val="5BAF32FA"/>
    <w:rsid w:val="5BDD0946"/>
    <w:rsid w:val="5CB71769"/>
    <w:rsid w:val="5D875E5C"/>
    <w:rsid w:val="5D9308DB"/>
    <w:rsid w:val="5FB4440F"/>
    <w:rsid w:val="607F5CFE"/>
    <w:rsid w:val="60AA6949"/>
    <w:rsid w:val="60B430B8"/>
    <w:rsid w:val="620D603F"/>
    <w:rsid w:val="628B743B"/>
    <w:rsid w:val="62C37595"/>
    <w:rsid w:val="63C6393F"/>
    <w:rsid w:val="65282282"/>
    <w:rsid w:val="657D3C94"/>
    <w:rsid w:val="67104F71"/>
    <w:rsid w:val="675D7CA3"/>
    <w:rsid w:val="67A96A9E"/>
    <w:rsid w:val="68D370A0"/>
    <w:rsid w:val="69421884"/>
    <w:rsid w:val="69931E41"/>
    <w:rsid w:val="69D7242D"/>
    <w:rsid w:val="6AB3359E"/>
    <w:rsid w:val="6B39736F"/>
    <w:rsid w:val="6BA14120"/>
    <w:rsid w:val="6C3A453E"/>
    <w:rsid w:val="6C465F32"/>
    <w:rsid w:val="6C5C14E9"/>
    <w:rsid w:val="6CC971BB"/>
    <w:rsid w:val="6D016666"/>
    <w:rsid w:val="6DDF0252"/>
    <w:rsid w:val="6DE60F88"/>
    <w:rsid w:val="6DFC7777"/>
    <w:rsid w:val="6E0A3294"/>
    <w:rsid w:val="6F995FC2"/>
    <w:rsid w:val="6FBA2FDB"/>
    <w:rsid w:val="6FDB3A32"/>
    <w:rsid w:val="6FF84AE4"/>
    <w:rsid w:val="70903082"/>
    <w:rsid w:val="70D03D97"/>
    <w:rsid w:val="71A36941"/>
    <w:rsid w:val="71BF1842"/>
    <w:rsid w:val="7202419A"/>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A779CA"/>
    <w:rsid w:val="78364649"/>
    <w:rsid w:val="78630991"/>
    <w:rsid w:val="791F0D44"/>
    <w:rsid w:val="79DE4B66"/>
    <w:rsid w:val="7A011336"/>
    <w:rsid w:val="7B2E412F"/>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3"/>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2"/>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1"/>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7"/>
    <w:unhideWhenUsed/>
    <w:qFormat/>
    <w:uiPriority w:val="0"/>
  </w:style>
  <w:style w:type="paragraph" w:styleId="12">
    <w:name w:val="footer"/>
    <w:basedOn w:val="1"/>
    <w:link w:val="31"/>
    <w:unhideWhenUsed/>
    <w:qFormat/>
    <w:uiPriority w:val="99"/>
    <w:pPr>
      <w:tabs>
        <w:tab w:val="center" w:pos="4153"/>
        <w:tab w:val="right" w:pos="8306"/>
      </w:tabs>
      <w:snapToGrid w:val="0"/>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TML Code"/>
    <w:basedOn w:val="18"/>
    <w:semiHidden/>
    <w:unhideWhenUsed/>
    <w:qFormat/>
    <w:uiPriority w:val="99"/>
    <w:rPr>
      <w:rFonts w:ascii="Courier New" w:hAnsi="Courier New"/>
      <w:sz w:val="20"/>
    </w:rPr>
  </w:style>
  <w:style w:type="character" w:styleId="21">
    <w:name w:val="annotation reference"/>
    <w:basedOn w:val="18"/>
    <w:semiHidden/>
    <w:unhideWhenUsed/>
    <w:qFormat/>
    <w:uiPriority w:val="99"/>
    <w:rPr>
      <w:sz w:val="21"/>
      <w:szCs w:val="21"/>
    </w:rPr>
  </w:style>
  <w:style w:type="character" w:customStyle="1" w:styleId="22">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3">
    <w:name w:val="标题 1 字符1"/>
    <w:link w:val="2"/>
    <w:qFormat/>
    <w:uiPriority w:val="0"/>
    <w:rPr>
      <w:rFonts w:ascii="Arial" w:hAnsi="Arial" w:eastAsia="Times New Roman" w:cs="Times New Roman"/>
      <w:kern w:val="0"/>
      <w:sz w:val="36"/>
      <w:szCs w:val="20"/>
      <w:lang w:val="en-GB" w:eastAsia="en-GB"/>
    </w:rPr>
  </w:style>
  <w:style w:type="paragraph" w:customStyle="1" w:styleId="24">
    <w:name w:val="EX"/>
    <w:basedOn w:val="1"/>
    <w:link w:val="25"/>
    <w:qFormat/>
    <w:uiPriority w:val="0"/>
    <w:pPr>
      <w:keepLines/>
      <w:overflowPunct/>
      <w:autoSpaceDE/>
      <w:autoSpaceDN/>
      <w:adjustRightInd/>
      <w:ind w:left="1702" w:hanging="1418"/>
      <w:textAlignment w:val="auto"/>
    </w:pPr>
    <w:rPr>
      <w:rFonts w:eastAsia="MS Mincho"/>
      <w:lang w:eastAsia="en-US"/>
    </w:rPr>
  </w:style>
  <w:style w:type="character" w:customStyle="1" w:styleId="25">
    <w:name w:val="EX Char"/>
    <w:link w:val="24"/>
    <w:qFormat/>
    <w:uiPriority w:val="0"/>
    <w:rPr>
      <w:rFonts w:ascii="Times New Roman" w:hAnsi="Times New Roman" w:eastAsia="MS Mincho" w:cs="Times New Roman"/>
      <w:kern w:val="0"/>
      <w:sz w:val="20"/>
      <w:szCs w:val="20"/>
      <w:lang w:val="en-GB" w:eastAsia="en-US"/>
    </w:rPr>
  </w:style>
  <w:style w:type="paragraph" w:styleId="26">
    <w:name w:val="List Paragraph"/>
    <w:basedOn w:val="1"/>
    <w:link w:val="28"/>
    <w:qFormat/>
    <w:uiPriority w:val="34"/>
    <w:pPr>
      <w:ind w:firstLine="420" w:firstLineChars="200"/>
    </w:pPr>
  </w:style>
  <w:style w:type="character" w:customStyle="1" w:styleId="27">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8">
    <w:name w:val="列表段落 字符"/>
    <w:link w:val="26"/>
    <w:qFormat/>
    <w:locked/>
    <w:uiPriority w:val="34"/>
    <w:rPr>
      <w:rFonts w:ascii="Times New Roman" w:hAnsi="Times New Roman" w:eastAsia="Times New Roman" w:cs="Times New Roman"/>
      <w:kern w:val="0"/>
      <w:sz w:val="20"/>
      <w:szCs w:val="20"/>
      <w:lang w:val="en-GB" w:eastAsia="en-GB"/>
    </w:rPr>
  </w:style>
  <w:style w:type="paragraph" w:customStyle="1" w:styleId="29">
    <w:name w:val="NO"/>
    <w:basedOn w:val="1"/>
    <w:qFormat/>
    <w:uiPriority w:val="0"/>
    <w:pPr>
      <w:keepLines/>
      <w:ind w:left="1135" w:hanging="851"/>
      <w:textAlignment w:val="auto"/>
    </w:pPr>
    <w:rPr>
      <w:rFonts w:eastAsia="宋体"/>
    </w:rPr>
  </w:style>
  <w:style w:type="character" w:customStyle="1" w:styleId="30">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1">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2">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4">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5">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6">
    <w:name w:val="CR Cover Page"/>
    <w:qFormat/>
    <w:uiPriority w:val="0"/>
    <w:pPr>
      <w:spacing w:after="120"/>
    </w:pPr>
    <w:rPr>
      <w:rFonts w:ascii="Arial" w:hAnsi="Arial" w:cs="Times New Roman" w:eastAsiaTheme="minorEastAsia"/>
      <w:lang w:val="en-GB" w:eastAsia="en-US" w:bidi="ar-SA"/>
    </w:rPr>
  </w:style>
  <w:style w:type="paragraph" w:customStyle="1" w:styleId="37">
    <w:name w:val="B1"/>
    <w:basedOn w:val="14"/>
    <w:link w:val="39"/>
    <w:qFormat/>
    <w:uiPriority w:val="0"/>
    <w:pPr>
      <w:overflowPunct/>
      <w:autoSpaceDE/>
      <w:autoSpaceDN/>
      <w:adjustRightInd/>
      <w:ind w:left="568" w:hanging="284"/>
      <w:textAlignment w:val="auto"/>
    </w:pPr>
    <w:rPr>
      <w:rFonts w:eastAsiaTheme="minorEastAsia"/>
      <w:lang w:eastAsia="en-US"/>
    </w:rPr>
  </w:style>
  <w:style w:type="paragraph" w:customStyle="1" w:styleId="38">
    <w:name w:val="B2"/>
    <w:basedOn w:val="1"/>
    <w:link w:val="40"/>
    <w:qFormat/>
    <w:uiPriority w:val="0"/>
    <w:pPr>
      <w:overflowPunct/>
      <w:autoSpaceDE/>
      <w:autoSpaceDN/>
      <w:adjustRightInd/>
      <w:ind w:left="851" w:hanging="284"/>
      <w:textAlignment w:val="auto"/>
    </w:pPr>
    <w:rPr>
      <w:rFonts w:eastAsiaTheme="minorEastAsia"/>
      <w:lang w:eastAsia="en-US"/>
    </w:rPr>
  </w:style>
  <w:style w:type="character" w:customStyle="1" w:styleId="39">
    <w:name w:val="B1 Char"/>
    <w:link w:val="37"/>
    <w:qFormat/>
    <w:uiPriority w:val="0"/>
    <w:rPr>
      <w:rFonts w:ascii="Times New Roman" w:hAnsi="Times New Roman" w:cs="Times New Roman"/>
      <w:kern w:val="0"/>
      <w:sz w:val="20"/>
      <w:szCs w:val="20"/>
      <w:lang w:val="en-GB" w:eastAsia="en-US"/>
    </w:rPr>
  </w:style>
  <w:style w:type="character" w:customStyle="1" w:styleId="40">
    <w:name w:val="B2 Char"/>
    <w:link w:val="38"/>
    <w:qFormat/>
    <w:uiPriority w:val="0"/>
    <w:rPr>
      <w:rFonts w:ascii="Times New Roman" w:hAnsi="Times New Roman" w:cs="Times New Roman"/>
      <w:kern w:val="0"/>
      <w:sz w:val="20"/>
      <w:szCs w:val="20"/>
      <w:lang w:val="en-GB" w:eastAsia="en-US"/>
    </w:rPr>
  </w:style>
  <w:style w:type="character" w:customStyle="1" w:styleId="41">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2">
    <w:name w:val="TAH"/>
    <w:basedOn w:val="43"/>
    <w:link w:val="46"/>
    <w:qFormat/>
    <w:uiPriority w:val="99"/>
    <w:rPr>
      <w:b/>
    </w:rPr>
  </w:style>
  <w:style w:type="paragraph" w:customStyle="1" w:styleId="43">
    <w:name w:val="TAC"/>
    <w:basedOn w:val="44"/>
    <w:link w:val="45"/>
    <w:qFormat/>
    <w:uiPriority w:val="99"/>
    <w:pPr>
      <w:overflowPunct/>
      <w:autoSpaceDE/>
      <w:autoSpaceDN/>
      <w:adjustRightInd/>
      <w:jc w:val="center"/>
      <w:textAlignment w:val="auto"/>
    </w:pPr>
    <w:rPr>
      <w:rFonts w:eastAsiaTheme="minorEastAsia"/>
      <w:lang w:eastAsia="en-US"/>
    </w:rPr>
  </w:style>
  <w:style w:type="paragraph" w:customStyle="1" w:styleId="44">
    <w:name w:val="TAL"/>
    <w:basedOn w:val="1"/>
    <w:qFormat/>
    <w:uiPriority w:val="0"/>
    <w:pPr>
      <w:keepNext/>
      <w:keepLines/>
      <w:spacing w:after="0"/>
    </w:pPr>
    <w:rPr>
      <w:rFonts w:ascii="Arial" w:hAnsi="Arial"/>
      <w:sz w:val="18"/>
    </w:rPr>
  </w:style>
  <w:style w:type="character" w:customStyle="1" w:styleId="45">
    <w:name w:val="TAC Char"/>
    <w:link w:val="43"/>
    <w:qFormat/>
    <w:uiPriority w:val="99"/>
    <w:rPr>
      <w:rFonts w:ascii="Arial" w:hAnsi="Arial" w:cs="Times New Roman"/>
      <w:kern w:val="0"/>
      <w:sz w:val="18"/>
      <w:szCs w:val="20"/>
      <w:lang w:val="en-GB" w:eastAsia="en-US"/>
    </w:rPr>
  </w:style>
  <w:style w:type="character" w:customStyle="1" w:styleId="46">
    <w:name w:val="TAH Car"/>
    <w:link w:val="42"/>
    <w:qFormat/>
    <w:uiPriority w:val="99"/>
    <w:rPr>
      <w:rFonts w:ascii="Arial" w:hAnsi="Arial" w:cs="Times New Roman"/>
      <w:b/>
      <w:kern w:val="0"/>
      <w:sz w:val="18"/>
      <w:szCs w:val="20"/>
      <w:lang w:val="en-GB" w:eastAsia="en-US"/>
    </w:rPr>
  </w:style>
  <w:style w:type="paragraph" w:customStyle="1" w:styleId="47">
    <w:name w:val="TAN"/>
    <w:basedOn w:val="44"/>
    <w:link w:val="48"/>
    <w:qFormat/>
    <w:uiPriority w:val="0"/>
    <w:pPr>
      <w:overflowPunct/>
      <w:autoSpaceDE/>
      <w:autoSpaceDN/>
      <w:adjustRightInd/>
      <w:ind w:left="851" w:hanging="851"/>
      <w:textAlignment w:val="auto"/>
    </w:pPr>
    <w:rPr>
      <w:rFonts w:eastAsiaTheme="minorEastAsia"/>
      <w:lang w:eastAsia="en-US"/>
    </w:rPr>
  </w:style>
  <w:style w:type="character" w:customStyle="1" w:styleId="48">
    <w:name w:val="TAN Char"/>
    <w:link w:val="47"/>
    <w:qFormat/>
    <w:uiPriority w:val="0"/>
    <w:rPr>
      <w:rFonts w:ascii="Arial" w:hAnsi="Arial" w:cs="Times New Roman"/>
      <w:kern w:val="0"/>
      <w:sz w:val="18"/>
      <w:szCs w:val="20"/>
      <w:lang w:val="en-GB" w:eastAsia="en-US"/>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1">
    <w:name w:val="Status"/>
    <w:basedOn w:val="52"/>
    <w:qFormat/>
    <w:uiPriority w:val="0"/>
    <w:rPr>
      <w:b w:val="0"/>
    </w:rPr>
  </w:style>
  <w:style w:type="paragraph" w:styleId="5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3">
    <w:name w:val="TF"/>
    <w:basedOn w:val="49"/>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741</Words>
  <Characters>4447</Characters>
  <Lines>38</Lines>
  <Paragraphs>10</Paragraphs>
  <TotalTime>1</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2025-09-29T06:15:42Z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A9C6A9FBCA034A68BBBD18151656B813_13</vt:lpwstr>
  </property>
  <property fmtid="{D5CDD505-2E9C-101B-9397-08002B2CF9AE}" pid="4" name="KSOTemplateDocerSaveRecord">
    <vt:lpwstr>eyJoZGlkIjoiOTU4MjljY2YzMDI1NGE4ZjYxYjczNDgxZmJjYzMzMTQiLCJ1c2VySWQiOiI0OTE3MDIwNzMifQ==</vt:lpwstr>
  </property>
</Properties>
</file>