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F730A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B6256">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6D757D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2B37AB">
        <w:rPr>
          <w:rFonts w:ascii="Arial" w:hAnsi="Arial" w:cs="Arial"/>
          <w:b/>
          <w:szCs w:val="24"/>
          <w:lang w:val="en-US" w:eastAsia="ja-JP"/>
        </w:rPr>
        <w:t xml:space="preserve">The </w:t>
      </w:r>
      <w:r w:rsidR="00EA7E89">
        <w:rPr>
          <w:rFonts w:ascii="Arial" w:hAnsi="Arial" w:cs="Arial"/>
          <w:b/>
          <w:szCs w:val="24"/>
          <w:lang w:val="en-US" w:eastAsia="ja-JP"/>
        </w:rPr>
        <w:t xml:space="preserve">need for redefining </w:t>
      </w:r>
      <w:r w:rsidR="002B37AB">
        <w:rPr>
          <w:rFonts w:ascii="Arial" w:hAnsi="Arial" w:cs="Arial"/>
          <w:b/>
          <w:szCs w:val="24"/>
          <w:lang w:val="en-US" w:eastAsia="ja-JP"/>
        </w:rPr>
        <w:t xml:space="preserve">Time to the Next Data Burst </w:t>
      </w:r>
      <w:r w:rsidR="00EA7E89">
        <w:rPr>
          <w:rFonts w:ascii="Arial" w:hAnsi="Arial" w:cs="Arial"/>
          <w:b/>
          <w:szCs w:val="24"/>
          <w:lang w:val="en-US" w:eastAsia="ja-JP"/>
        </w:rPr>
        <w:t>based on experimental results</w:t>
      </w:r>
    </w:p>
    <w:p w14:paraId="5E7EC802" w14:textId="1DE2BB5F" w:rsidR="000960F1" w:rsidRPr="009453EF" w:rsidRDefault="00610027" w:rsidP="009453EF">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2503BE">
        <w:rPr>
          <w:rFonts w:ascii="Arial" w:hAnsi="Arial" w:cs="Arial"/>
          <w:szCs w:val="24"/>
          <w:lang w:val="en-US" w:eastAsia="ja-JP"/>
        </w:rPr>
        <w:t xml:space="preserve"> </w:t>
      </w:r>
      <w:bookmarkStart w:id="0" w:name="_Toc504713888"/>
    </w:p>
    <w:p w14:paraId="668502BC" w14:textId="77777777" w:rsidR="009453EF" w:rsidRDefault="009453EF" w:rsidP="009453EF">
      <w:pPr>
        <w:pStyle w:val="Heading1"/>
        <w:numPr>
          <w:ilvl w:val="0"/>
          <w:numId w:val="3"/>
        </w:numPr>
      </w:pPr>
      <w:r w:rsidRPr="00C112DE">
        <w:t>Introduction</w:t>
      </w:r>
    </w:p>
    <w:p w14:paraId="3EA105D8" w14:textId="7634BB9D" w:rsidR="00C352E8" w:rsidRDefault="002B37AB" w:rsidP="009453EF">
      <w:pPr>
        <w:rPr>
          <w:lang w:val="en-US"/>
        </w:rPr>
      </w:pPr>
      <w:r>
        <w:rPr>
          <w:lang w:val="en-US"/>
        </w:rPr>
        <w:t>The notation of time to next data burst (TTNB) originated from SA4. Since then, it has been defined in SA2 in TS23.501 as follows:</w:t>
      </w:r>
    </w:p>
    <w:p w14:paraId="0DFEB668" w14:textId="44EA1856" w:rsidR="002B37AB" w:rsidRPr="006C6BE6" w:rsidRDefault="002B37AB" w:rsidP="006C6BE6">
      <w:pPr>
        <w:ind w:left="284"/>
        <w:rPr>
          <w:i/>
          <w:iCs/>
        </w:rPr>
      </w:pPr>
      <w:r w:rsidRPr="006C6BE6">
        <w:rPr>
          <w:i/>
          <w:iCs/>
        </w:rPr>
        <w:t xml:space="preserve">The time to next data burst, </w:t>
      </w:r>
      <w:r w:rsidR="00202B67">
        <w:rPr>
          <w:i/>
          <w:iCs/>
        </w:rPr>
        <w:t>…</w:t>
      </w:r>
      <w:r w:rsidRPr="006C6BE6">
        <w:rPr>
          <w:i/>
          <w:iCs/>
        </w:rPr>
        <w:t xml:space="preserve"> is the interval between the transmission of the last PDU in the current data burst and the first PDU of the next data burst</w:t>
      </w:r>
    </w:p>
    <w:p w14:paraId="0598B037" w14:textId="13A5A337" w:rsidR="006C6BE6" w:rsidRDefault="006C6BE6" w:rsidP="00AB234E">
      <w:r>
        <w:t>In the 5G_RTP_Ph2 WID, SA4 agreed to indicate TTNB in the RTP header extension for dynamically changing traffic characteristics on the timeliness and accuracy of the indication:</w:t>
      </w:r>
    </w:p>
    <w:p w14:paraId="6DC3B5B2" w14:textId="77777777" w:rsidR="006C6BE6" w:rsidRPr="006C6BE6" w:rsidRDefault="006C6BE6" w:rsidP="006C6BE6">
      <w:pPr>
        <w:pStyle w:val="ListParagraph"/>
        <w:numPr>
          <w:ilvl w:val="0"/>
          <w:numId w:val="33"/>
        </w:numPr>
        <w:spacing w:before="100" w:beforeAutospacing="1" w:afterAutospacing="1"/>
        <w:rPr>
          <w:i/>
          <w:iCs/>
          <w:sz w:val="22"/>
          <w:szCs w:val="22"/>
          <w:lang w:val="en-GB"/>
        </w:rPr>
      </w:pPr>
      <w:r w:rsidRPr="006C6BE6">
        <w:rPr>
          <w:i/>
          <w:iCs/>
          <w:sz w:val="22"/>
          <w:szCs w:val="22"/>
        </w:rPr>
        <w:t xml:space="preserve">Conduct normative work on burst size, time to next burst, data boosting indication and the definition of data burst. </w:t>
      </w:r>
    </w:p>
    <w:p w14:paraId="72F075ED" w14:textId="0CEA14B1" w:rsidR="006C6BE6" w:rsidRPr="006C6BE6" w:rsidRDefault="006C6BE6" w:rsidP="006C6BE6">
      <w:pPr>
        <w:ind w:left="360"/>
        <w:rPr>
          <w:i/>
          <w:iCs/>
        </w:rPr>
      </w:pPr>
      <w:r w:rsidRPr="006C6BE6">
        <w:rPr>
          <w:i/>
          <w:iCs/>
          <w:sz w:val="22"/>
          <w:szCs w:val="22"/>
        </w:rPr>
        <w:t>NOTE: RAN2 has indicated that TTNB may be useful if provided in time and is reliable. SA4 needs further evaluation before proceeding with normative work.</w:t>
      </w:r>
      <w:r w:rsidRPr="006C6BE6">
        <w:rPr>
          <w:i/>
          <w:iCs/>
        </w:rPr>
        <w:t xml:space="preserve"> </w:t>
      </w:r>
    </w:p>
    <w:p w14:paraId="57C80F78" w14:textId="6164E674" w:rsidR="000F3C35" w:rsidRDefault="006C6BE6" w:rsidP="006C6BE6">
      <w:r>
        <w:t>The timeliness requirement oblige</w:t>
      </w:r>
      <w:r w:rsidR="000F3C35">
        <w:t>s</w:t>
      </w:r>
      <w:r>
        <w:t xml:space="preserve"> the RTP sender to indicate the TTNB before the </w:t>
      </w:r>
      <w:r w:rsidR="000F3C35">
        <w:t>next data burst is generated, and this calls for prediction.</w:t>
      </w:r>
    </w:p>
    <w:p w14:paraId="0EF7D78F" w14:textId="17B4C2ED" w:rsidR="009453EF" w:rsidRDefault="009453EF" w:rsidP="006C6BE6">
      <w:r>
        <w:t xml:space="preserve">In the rest of the paper, we look at the consequence (in terms of prediction errors) if the SA2 definition of TTNB were adopted using the experimental data from </w:t>
      </w:r>
      <w:r>
        <w:t>S4-241835 [1]</w:t>
      </w:r>
      <w:r>
        <w:t xml:space="preserve">. </w:t>
      </w:r>
    </w:p>
    <w:p w14:paraId="58644D5E" w14:textId="09DE2647" w:rsidR="009453EF" w:rsidRDefault="009453EF" w:rsidP="009453EF">
      <w:pPr>
        <w:pStyle w:val="Heading1"/>
        <w:numPr>
          <w:ilvl w:val="0"/>
          <w:numId w:val="3"/>
        </w:numPr>
      </w:pPr>
      <w:r>
        <w:t>Prediction results</w:t>
      </w:r>
    </w:p>
    <w:p w14:paraId="64114C90" w14:textId="37DB5C3F" w:rsidR="00202B67" w:rsidRDefault="000F3C35" w:rsidP="006C6BE6">
      <w:r>
        <w:t>We present prediction results</w:t>
      </w:r>
      <w:r w:rsidR="00202B67">
        <w:t xml:space="preserve"> </w:t>
      </w:r>
      <w:r>
        <w:t>for the packet traces provided in S4-241835 [1]</w:t>
      </w:r>
      <w:r w:rsidR="00202B67">
        <w:t xml:space="preserve"> </w:t>
      </w:r>
      <w:r w:rsidR="00202B67">
        <w:t>if the SA2 definition of TTNB were adopted</w:t>
      </w:r>
      <w:r w:rsidR="00202B67">
        <w:t>. The prediction uses exponential weighted moving algorithm (EWMA) with the optimal weight found through exhaustive search. The prediction for the kth TTNB is calculated as</w:t>
      </w:r>
    </w:p>
    <w:p w14:paraId="0531A4D4" w14:textId="03690E59" w:rsidR="006C6BE6" w:rsidRDefault="00202B67" w:rsidP="00202B67">
      <w:pPr>
        <w:jc w:val="center"/>
        <w:rPr>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=α</m:t>
          </m:r>
          <m:sSub>
            <m:sSubPr>
              <m:ctrlPr>
                <w:rPr>
                  <w:rFonts w:ascii="Cambria Math" w:hAnsi="Cambria Math"/>
                  <w:i/>
                </w:rPr>
              </m:ctrlPr>
            </m:sSubPr>
            <m:e>
              <m:r>
                <w:rPr>
                  <w:rFonts w:ascii="Cambria Math" w:hAnsi="Cambria Math"/>
                </w:rPr>
                <m:t>p</m:t>
              </m:r>
            </m:e>
            <m:sub>
              <m:r>
                <w:rPr>
                  <w:rFonts w:ascii="Cambria Math" w:hAnsi="Cambria Math"/>
                </w:rPr>
                <m:t>k</m:t>
              </m:r>
              <m:r>
                <w:rPr>
                  <w:rFonts w:ascii="Cambria Math" w:hAnsi="Cambria Math"/>
                </w:rPr>
                <m:t>-1</m:t>
              </m:r>
            </m:sub>
          </m:sSub>
          <m:r>
            <w:rPr>
              <w:rFonts w:ascii="Cambria Math" w:hAnsi="Cambria Math"/>
            </w:rPr>
            <m:t>+(1-</m:t>
          </m:r>
          <m:r>
            <w:rPr>
              <w:rFonts w:ascii="Cambria Math" w:hAnsi="Cambria Math"/>
            </w:rPr>
            <m:t>α</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rPr>
                <m:t>-1</m:t>
              </m:r>
            </m:sub>
          </m:sSub>
        </m:oMath>
      </m:oMathPara>
    </w:p>
    <w:p w14:paraId="179BDD75" w14:textId="039BEA16" w:rsidR="00202B67" w:rsidRDefault="00202B67" w:rsidP="009D5912">
      <w:r>
        <w:rPr>
          <w:lang w:val="en-US"/>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k-1</m:t>
            </m:r>
          </m:sub>
        </m:sSub>
      </m:oMath>
      <w:r>
        <w:t xml:space="preserve"> is the previous predicted TTNB, and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is the previous measured TTNB, and </w:t>
      </w:r>
      <m:oMath>
        <m:r>
          <w:rPr>
            <w:rFonts w:ascii="Cambria Math" w:hAnsi="Cambria Math"/>
          </w:rPr>
          <m:t>α</m:t>
        </m:r>
      </m:oMath>
      <w:r>
        <w:t xml:space="preserve"> is the weight</w:t>
      </w:r>
      <w:r w:rsidR="009453EF">
        <w:t xml:space="preserve"> in the range from 0 to 1</w:t>
      </w:r>
      <w:r>
        <w:t>.</w:t>
      </w:r>
    </w:p>
    <w:p w14:paraId="27B7AD8A" w14:textId="5D099E24" w:rsidR="005B3EC9" w:rsidRDefault="005B3EC9" w:rsidP="009D5912">
      <w:r>
        <w:t xml:space="preserve">The Python script in [1] produces two TTNB sequences, saved as </w:t>
      </w:r>
      <w:r w:rsidRPr="005B3EC9">
        <w:t>a_b_bursts_windows_duplex.csv</w:t>
      </w:r>
      <w:r>
        <w:t xml:space="preserve"> and b</w:t>
      </w:r>
      <w:r w:rsidRPr="005B3EC9">
        <w:t>_</w:t>
      </w:r>
      <w:r>
        <w:t>a</w:t>
      </w:r>
      <w:r w:rsidRPr="005B3EC9">
        <w:t>_bursts_windows_duplex.csv</w:t>
      </w:r>
      <w:r>
        <w:t>. In what follows, we present the predictions for them separately.</w:t>
      </w:r>
    </w:p>
    <w:p w14:paraId="7102E8E1" w14:textId="77777777" w:rsidR="006D5B83" w:rsidRDefault="006D5B83" w:rsidP="009D5912"/>
    <w:p w14:paraId="050A1B11" w14:textId="77777777" w:rsidR="006D5B83" w:rsidRDefault="006D5B83" w:rsidP="009D5912"/>
    <w:p w14:paraId="53B2FAAE" w14:textId="470618DC" w:rsidR="009453EF" w:rsidRPr="006D5B83" w:rsidRDefault="006D5B83" w:rsidP="006D5B83">
      <w:pPr>
        <w:rPr>
          <w:b/>
          <w:bCs/>
          <w:sz w:val="28"/>
          <w:szCs w:val="28"/>
        </w:rPr>
      </w:pPr>
      <w:r>
        <w:rPr>
          <w:b/>
          <w:bCs/>
          <w:sz w:val="28"/>
          <w:szCs w:val="28"/>
        </w:rPr>
        <w:lastRenderedPageBreak/>
        <w:t xml:space="preserve">2.1 </w:t>
      </w:r>
      <w:r w:rsidR="009453EF" w:rsidRPr="006D5B83">
        <w:rPr>
          <w:b/>
          <w:bCs/>
          <w:sz w:val="28"/>
          <w:szCs w:val="28"/>
        </w:rPr>
        <w:t>The f</w:t>
      </w:r>
      <w:r w:rsidR="005B3EC9" w:rsidRPr="006D5B83">
        <w:rPr>
          <w:b/>
          <w:bCs/>
          <w:sz w:val="28"/>
          <w:szCs w:val="28"/>
        </w:rPr>
        <w:t>irst TTNB sequence (</w:t>
      </w:r>
      <w:r w:rsidR="005B3EC9" w:rsidRPr="006D5B83">
        <w:rPr>
          <w:b/>
          <w:bCs/>
          <w:sz w:val="28"/>
          <w:szCs w:val="28"/>
        </w:rPr>
        <w:t>a_b_bursts_windows_duplex.csv</w:t>
      </w:r>
      <w:r w:rsidR="005B3EC9" w:rsidRPr="006D5B83">
        <w:rPr>
          <w:b/>
          <w:bCs/>
          <w:sz w:val="28"/>
          <w:szCs w:val="28"/>
        </w:rPr>
        <w:t>)</w:t>
      </w:r>
      <w:r w:rsidR="00202B67" w:rsidRPr="006D5B83">
        <w:rPr>
          <w:b/>
          <w:bCs/>
          <w:sz w:val="28"/>
          <w:szCs w:val="28"/>
        </w:rPr>
        <w:t xml:space="preserve"> </w:t>
      </w:r>
    </w:p>
    <w:p w14:paraId="7B1E1723" w14:textId="7D14CD61" w:rsidR="00C352E8" w:rsidRPr="009453EF" w:rsidRDefault="009453EF" w:rsidP="009453EF">
      <w:pPr>
        <w:rPr>
          <w:noProof/>
          <w:lang w:val="en-US"/>
        </w:rPr>
      </w:pPr>
      <w:r>
        <w:t>The optimal weight of EWMA predictor is found by searching for the weight that minimizes the mean absolute prediction error</w:t>
      </w:r>
      <w:r w:rsidR="006D5B83">
        <w:t xml:space="preserve"> over the entire first TTN sequence</w:t>
      </w:r>
      <w:r>
        <w:t>. T</w:t>
      </w:r>
      <w:r w:rsidR="006D5B83">
        <w:t>he optimal EWMA is 0.82, as shown in Figure 1.</w:t>
      </w:r>
      <w:r>
        <w:t xml:space="preserve">  </w:t>
      </w:r>
      <w:r w:rsidR="00202B67" w:rsidRPr="009453EF">
        <w:rPr>
          <w:noProof/>
          <w:lang w:val="en-US"/>
        </w:rPr>
        <w:t xml:space="preserve"> </w:t>
      </w:r>
    </w:p>
    <w:p w14:paraId="5C7DBD3F" w14:textId="77777777" w:rsidR="009453EF" w:rsidRDefault="005B3EC9" w:rsidP="009453EF">
      <w:pPr>
        <w:keepNext/>
      </w:pPr>
      <w:r>
        <w:rPr>
          <w:noProof/>
          <w:lang w:val="en-US"/>
        </w:rPr>
        <w:drawing>
          <wp:inline distT="0" distB="0" distL="0" distR="0" wp14:anchorId="16F73E08" wp14:editId="75FE3938">
            <wp:extent cx="3631440" cy="2865120"/>
            <wp:effectExtent l="0" t="0" r="7620" b="0"/>
            <wp:docPr id="459878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782" cy="2870124"/>
                    </a:xfrm>
                    <a:prstGeom prst="rect">
                      <a:avLst/>
                    </a:prstGeom>
                    <a:noFill/>
                    <a:ln>
                      <a:noFill/>
                    </a:ln>
                  </pic:spPr>
                </pic:pic>
              </a:graphicData>
            </a:graphic>
          </wp:inline>
        </w:drawing>
      </w:r>
    </w:p>
    <w:p w14:paraId="52DF05B0" w14:textId="45634E51"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1</w:t>
      </w:r>
      <w:r>
        <w:fldChar w:fldCharType="end"/>
      </w:r>
      <w:r>
        <w:t xml:space="preserve"> Mean absolute prediction error vs the WEMA weight for the first TTNB sequence</w:t>
      </w:r>
    </w:p>
    <w:p w14:paraId="517EF8B7" w14:textId="01119591" w:rsidR="005B3EC9" w:rsidRDefault="006D5B83" w:rsidP="009D5912">
      <w:pPr>
        <w:rPr>
          <w:lang w:val="en-US"/>
        </w:rPr>
      </w:pPr>
      <w:r>
        <w:rPr>
          <w:lang w:val="en-US"/>
        </w:rPr>
        <w:t xml:space="preserve">The measured TTNB (i.e., actual TTNB) vs the predicted TTNB for the first TTNB sequence is shown in Figure 2. It is seen that although the predicted TTNB well tracks the trends of the measured TTNB, it often over-estimates or under-estimates the measured TTNB with a significant prediction error. </w:t>
      </w:r>
    </w:p>
    <w:p w14:paraId="074EBAA5" w14:textId="77777777" w:rsidR="009453EF" w:rsidRDefault="005B3EC9" w:rsidP="009453EF">
      <w:pPr>
        <w:keepNext/>
      </w:pPr>
      <w:r>
        <w:rPr>
          <w:noProof/>
          <w:lang w:val="en-US"/>
        </w:rPr>
        <w:drawing>
          <wp:inline distT="0" distB="0" distL="0" distR="0" wp14:anchorId="034FF426" wp14:editId="3220024C">
            <wp:extent cx="3630930" cy="2865303"/>
            <wp:effectExtent l="0" t="0" r="7620" b="0"/>
            <wp:docPr id="7252473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4871" cy="2868413"/>
                    </a:xfrm>
                    <a:prstGeom prst="rect">
                      <a:avLst/>
                    </a:prstGeom>
                    <a:noFill/>
                    <a:ln>
                      <a:noFill/>
                    </a:ln>
                  </pic:spPr>
                </pic:pic>
              </a:graphicData>
            </a:graphic>
          </wp:inline>
        </w:drawing>
      </w:r>
    </w:p>
    <w:p w14:paraId="06053FBF" w14:textId="098BFA46" w:rsidR="005B3EC9" w:rsidRDefault="009453EF" w:rsidP="009453EF">
      <w:pPr>
        <w:pStyle w:val="Caption"/>
      </w:pPr>
      <w:r>
        <w:t xml:space="preserve">Figure </w:t>
      </w:r>
      <w:r>
        <w:fldChar w:fldCharType="begin"/>
      </w:r>
      <w:r>
        <w:instrText xml:space="preserve"> SEQ Figure \* ARABIC </w:instrText>
      </w:r>
      <w:r>
        <w:fldChar w:fldCharType="separate"/>
      </w:r>
      <w:r w:rsidR="006D5B83">
        <w:rPr>
          <w:noProof/>
        </w:rPr>
        <w:t>2</w:t>
      </w:r>
      <w:r>
        <w:fldChar w:fldCharType="end"/>
      </w:r>
      <w:r>
        <w:t xml:space="preserve"> The m</w:t>
      </w:r>
      <w:r w:rsidRPr="002B5C02">
        <w:t>ea</w:t>
      </w:r>
      <w:r>
        <w:t>sured TTNBs and the predicted TTNBs</w:t>
      </w:r>
      <w:r w:rsidRPr="002B5C02">
        <w:t xml:space="preserve"> for the first TTNB sequence</w:t>
      </w:r>
    </w:p>
    <w:p w14:paraId="1A46198C" w14:textId="51B5A34B" w:rsidR="006D5B83" w:rsidRPr="006D5B83" w:rsidRDefault="006D5B83" w:rsidP="006D5B83">
      <w:r>
        <w:lastRenderedPageBreak/>
        <w:t xml:space="preserve">The cumulative distribution function (CDF) of the prediction error, i.e., the </w:t>
      </w:r>
      <w:r w:rsidR="00473983">
        <w:t xml:space="preserve">predicted TTNB minus the measured TTNB, is shown in Figure 3. It is seen that the prediction over-estimates by </w:t>
      </w:r>
      <w:r w:rsidR="00EA7E89">
        <w:t>14.7</w:t>
      </w:r>
      <w:r w:rsidR="00473983">
        <w:t xml:space="preserve">ms 10% of the time, and under-estimates by </w:t>
      </w:r>
      <w:r w:rsidR="00EA7E89">
        <w:t>19</w:t>
      </w:r>
      <w:r w:rsidR="00473983">
        <w:t xml:space="preserve">ms 30% of the time.  </w:t>
      </w:r>
    </w:p>
    <w:p w14:paraId="61E3EF89" w14:textId="77777777" w:rsidR="005B3EC9" w:rsidRDefault="005B3EC9" w:rsidP="009D5912">
      <w:pPr>
        <w:rPr>
          <w:lang w:val="en-US"/>
        </w:rPr>
      </w:pPr>
    </w:p>
    <w:p w14:paraId="7690F7B2" w14:textId="046EFCC2" w:rsidR="009453EF" w:rsidRDefault="00EA7E89" w:rsidP="009453EF">
      <w:pPr>
        <w:keepNext/>
      </w:pPr>
      <w:r>
        <w:rPr>
          <w:noProof/>
        </w:rPr>
        <w:drawing>
          <wp:inline distT="0" distB="0" distL="0" distR="0" wp14:anchorId="433886F2" wp14:editId="0B0CF026">
            <wp:extent cx="3614298" cy="2887980"/>
            <wp:effectExtent l="0" t="0" r="5715" b="7620"/>
            <wp:docPr id="6973656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1180" cy="2893479"/>
                    </a:xfrm>
                    <a:prstGeom prst="rect">
                      <a:avLst/>
                    </a:prstGeom>
                    <a:noFill/>
                    <a:ln>
                      <a:noFill/>
                    </a:ln>
                  </pic:spPr>
                </pic:pic>
              </a:graphicData>
            </a:graphic>
          </wp:inline>
        </w:drawing>
      </w:r>
    </w:p>
    <w:p w14:paraId="2FFC4832" w14:textId="2E3EDCC0"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3</w:t>
      </w:r>
      <w:r>
        <w:fldChar w:fldCharType="end"/>
      </w:r>
      <w:r>
        <w:t xml:space="preserve"> CDF of the prediction error for the first TTNB sequence</w:t>
      </w:r>
    </w:p>
    <w:p w14:paraId="69B639BB" w14:textId="77777777" w:rsidR="005B3EC9" w:rsidRDefault="005B3EC9" w:rsidP="009D5912">
      <w:pPr>
        <w:rPr>
          <w:lang w:val="en-US"/>
        </w:rPr>
      </w:pPr>
    </w:p>
    <w:p w14:paraId="21E0349F" w14:textId="77777777" w:rsidR="00473983" w:rsidRDefault="009453EF" w:rsidP="005B3EC9">
      <w:pPr>
        <w:rPr>
          <w:b/>
          <w:bCs/>
          <w:sz w:val="28"/>
          <w:szCs w:val="28"/>
        </w:rPr>
      </w:pPr>
      <w:r w:rsidRPr="006D5B83">
        <w:rPr>
          <w:b/>
          <w:bCs/>
          <w:sz w:val="28"/>
          <w:szCs w:val="28"/>
        </w:rPr>
        <w:t>2.2 The s</w:t>
      </w:r>
      <w:r w:rsidR="005B3EC9" w:rsidRPr="006D5B83">
        <w:rPr>
          <w:b/>
          <w:bCs/>
          <w:sz w:val="28"/>
          <w:szCs w:val="28"/>
        </w:rPr>
        <w:t>econd TTN sequence (b</w:t>
      </w:r>
      <w:r w:rsidR="005B3EC9" w:rsidRPr="006D5B83">
        <w:rPr>
          <w:b/>
          <w:bCs/>
          <w:sz w:val="28"/>
          <w:szCs w:val="28"/>
        </w:rPr>
        <w:t>_</w:t>
      </w:r>
      <w:r w:rsidR="005B3EC9" w:rsidRPr="006D5B83">
        <w:rPr>
          <w:b/>
          <w:bCs/>
          <w:sz w:val="28"/>
          <w:szCs w:val="28"/>
        </w:rPr>
        <w:t>a</w:t>
      </w:r>
      <w:r w:rsidR="005B3EC9" w:rsidRPr="006D5B83">
        <w:rPr>
          <w:b/>
          <w:bCs/>
          <w:sz w:val="28"/>
          <w:szCs w:val="28"/>
        </w:rPr>
        <w:t>_bursts_windows_duplex.csv</w:t>
      </w:r>
      <w:r w:rsidR="005B3EC9" w:rsidRPr="006D5B83">
        <w:rPr>
          <w:b/>
          <w:bCs/>
          <w:sz w:val="28"/>
          <w:szCs w:val="28"/>
        </w:rPr>
        <w:t>)</w:t>
      </w:r>
    </w:p>
    <w:p w14:paraId="6854C886" w14:textId="2FE751E1" w:rsidR="005B3EC9" w:rsidRPr="00473983" w:rsidRDefault="00473983" w:rsidP="005B3EC9">
      <w:pPr>
        <w:rPr>
          <w:noProof/>
          <w:lang w:val="en-US"/>
        </w:rPr>
      </w:pPr>
      <w:r>
        <w:rPr>
          <w:szCs w:val="24"/>
        </w:rPr>
        <w:t>For the second TTN sequence, t</w:t>
      </w:r>
      <w:r w:rsidRPr="00473983">
        <w:rPr>
          <w:szCs w:val="24"/>
        </w:rPr>
        <w:t>he optimal EWMA weight is 0.99</w:t>
      </w:r>
      <w:r>
        <w:rPr>
          <w:szCs w:val="24"/>
        </w:rPr>
        <w:t xml:space="preserve">, as shown in Figure 4. The measured TTNB and the predicted TTNB is shown in Figure 5. Figures show that the prediction over-estimates by 12.4ms 20% of the time, and under-estimates by 13.4ms 20% of the time. </w:t>
      </w:r>
    </w:p>
    <w:p w14:paraId="58EA7E29" w14:textId="77777777" w:rsidR="009453EF" w:rsidRDefault="005B3EC9" w:rsidP="009453EF">
      <w:pPr>
        <w:keepNext/>
      </w:pPr>
      <w:r>
        <w:rPr>
          <w:noProof/>
          <w:lang w:val="en-US"/>
        </w:rPr>
        <w:lastRenderedPageBreak/>
        <w:drawing>
          <wp:inline distT="0" distB="0" distL="0" distR="0" wp14:anchorId="1613D57D" wp14:editId="1A5675AC">
            <wp:extent cx="3622203" cy="2864468"/>
            <wp:effectExtent l="0" t="0" r="0" b="0"/>
            <wp:docPr id="18993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1766" cy="2895755"/>
                    </a:xfrm>
                    <a:prstGeom prst="rect">
                      <a:avLst/>
                    </a:prstGeom>
                    <a:noFill/>
                    <a:ln>
                      <a:noFill/>
                    </a:ln>
                  </pic:spPr>
                </pic:pic>
              </a:graphicData>
            </a:graphic>
          </wp:inline>
        </w:drawing>
      </w:r>
    </w:p>
    <w:p w14:paraId="7A30C25C" w14:textId="02DC6D84" w:rsidR="005B3EC9" w:rsidRDefault="009453EF" w:rsidP="009453EF">
      <w:pPr>
        <w:pStyle w:val="Caption"/>
        <w:rPr>
          <w:lang w:val="en-US"/>
        </w:rPr>
      </w:pPr>
      <w:r>
        <w:t xml:space="preserve">Figure </w:t>
      </w:r>
      <w:r>
        <w:fldChar w:fldCharType="begin"/>
      </w:r>
      <w:r>
        <w:instrText xml:space="preserve"> SEQ Figure \* ARABIC </w:instrText>
      </w:r>
      <w:r>
        <w:fldChar w:fldCharType="separate"/>
      </w:r>
      <w:r w:rsidR="006D5B83">
        <w:rPr>
          <w:noProof/>
        </w:rPr>
        <w:t>4</w:t>
      </w:r>
      <w:r>
        <w:fldChar w:fldCharType="end"/>
      </w:r>
      <w:r>
        <w:t xml:space="preserve"> </w:t>
      </w:r>
      <w:r w:rsidRPr="00B92EEE">
        <w:t xml:space="preserve">Mean absolute prediction error vs the </w:t>
      </w:r>
      <w:r w:rsidR="006D5B83">
        <w:t>EW</w:t>
      </w:r>
      <w:r w:rsidRPr="00B92EEE">
        <w:t xml:space="preserve">MA weight for the </w:t>
      </w:r>
      <w:r>
        <w:t>second</w:t>
      </w:r>
      <w:r w:rsidRPr="00B92EEE">
        <w:t xml:space="preserve"> TTNB sequence</w:t>
      </w:r>
    </w:p>
    <w:p w14:paraId="6327AF4C" w14:textId="77777777" w:rsidR="005B3EC9" w:rsidRDefault="005B3EC9" w:rsidP="009D5912">
      <w:pPr>
        <w:rPr>
          <w:lang w:val="en-US"/>
        </w:rPr>
      </w:pPr>
    </w:p>
    <w:p w14:paraId="54482C5A" w14:textId="77777777" w:rsidR="006D5B83" w:rsidRDefault="005B3EC9" w:rsidP="006D5B83">
      <w:pPr>
        <w:keepNext/>
      </w:pPr>
      <w:r>
        <w:rPr>
          <w:noProof/>
          <w:lang w:val="en-US"/>
        </w:rPr>
        <w:drawing>
          <wp:inline distT="0" distB="0" distL="0" distR="0" wp14:anchorId="713A99C1" wp14:editId="5384608A">
            <wp:extent cx="3793687" cy="3016885"/>
            <wp:effectExtent l="0" t="0" r="0" b="0"/>
            <wp:docPr id="11684974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4689" cy="3033587"/>
                    </a:xfrm>
                    <a:prstGeom prst="rect">
                      <a:avLst/>
                    </a:prstGeom>
                    <a:noFill/>
                    <a:ln>
                      <a:noFill/>
                    </a:ln>
                  </pic:spPr>
                </pic:pic>
              </a:graphicData>
            </a:graphic>
          </wp:inline>
        </w:drawing>
      </w:r>
    </w:p>
    <w:p w14:paraId="58A2B56E" w14:textId="6C489F6D" w:rsidR="005B3EC9" w:rsidRDefault="006D5B83" w:rsidP="006D5B83">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0C299F">
        <w:t xml:space="preserve">The measured TTNBs and the predicted TTNBs for the </w:t>
      </w:r>
      <w:r>
        <w:t xml:space="preserve">second </w:t>
      </w:r>
      <w:r w:rsidRPr="000C299F">
        <w:t>TTNB sequence</w:t>
      </w:r>
    </w:p>
    <w:p w14:paraId="0C04E8A0" w14:textId="77777777" w:rsidR="005B3EC9" w:rsidRDefault="005B3EC9" w:rsidP="009D5912">
      <w:pPr>
        <w:rPr>
          <w:lang w:val="en-US"/>
        </w:rPr>
      </w:pPr>
    </w:p>
    <w:p w14:paraId="328BC9EA" w14:textId="4999BF9D" w:rsidR="006D5B83" w:rsidRDefault="00473983" w:rsidP="006D5B83">
      <w:pPr>
        <w:keepNext/>
      </w:pPr>
      <w:r>
        <w:rPr>
          <w:noProof/>
        </w:rPr>
        <w:lastRenderedPageBreak/>
        <w:drawing>
          <wp:inline distT="0" distB="0" distL="0" distR="0" wp14:anchorId="327FC200" wp14:editId="4866F773">
            <wp:extent cx="3672840" cy="2912331"/>
            <wp:effectExtent l="0" t="0" r="3810" b="2540"/>
            <wp:docPr id="13062708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8452" cy="2924710"/>
                    </a:xfrm>
                    <a:prstGeom prst="rect">
                      <a:avLst/>
                    </a:prstGeom>
                    <a:noFill/>
                    <a:ln>
                      <a:noFill/>
                    </a:ln>
                  </pic:spPr>
                </pic:pic>
              </a:graphicData>
            </a:graphic>
          </wp:inline>
        </w:drawing>
      </w:r>
    </w:p>
    <w:p w14:paraId="028DA643" w14:textId="2CF24B6C" w:rsidR="005B3EC9" w:rsidRDefault="006D5B83" w:rsidP="006D5B83">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EB76D6">
        <w:t xml:space="preserve">CDF of the prediction error for the </w:t>
      </w:r>
      <w:r>
        <w:t>second</w:t>
      </w:r>
      <w:r w:rsidRPr="00EB76D6">
        <w:t xml:space="preserve"> TTNB sequence</w:t>
      </w:r>
    </w:p>
    <w:p w14:paraId="3E8E44BB" w14:textId="77777777" w:rsidR="00EA7E89" w:rsidRDefault="00EA7E89" w:rsidP="00EA7E89"/>
    <w:p w14:paraId="3CBB9551" w14:textId="548ED033" w:rsidR="00EA7E89" w:rsidRDefault="00EA7E89" w:rsidP="00EA7E89">
      <w:pPr>
        <w:pStyle w:val="Heading1"/>
        <w:numPr>
          <w:ilvl w:val="0"/>
          <w:numId w:val="3"/>
        </w:numPr>
      </w:pPr>
      <w:r>
        <w:t>Conclusion</w:t>
      </w:r>
    </w:p>
    <w:p w14:paraId="1DF3FD7E" w14:textId="3EFD0B9B" w:rsidR="00195E03" w:rsidRPr="00195E03" w:rsidRDefault="00195E03" w:rsidP="00195E03">
      <w:pPr>
        <w:rPr>
          <w:lang w:val="en-US"/>
        </w:rPr>
      </w:pPr>
      <w:r>
        <w:rPr>
          <w:lang w:val="en-US"/>
        </w:rPr>
        <w:t>Based on the prediction results in clause 2, we have:</w:t>
      </w:r>
    </w:p>
    <w:p w14:paraId="03F0D817" w14:textId="697B07A0" w:rsidR="00195E03" w:rsidRDefault="00195E03" w:rsidP="00EA7E89">
      <w:r w:rsidRPr="00195E03">
        <w:rPr>
          <w:b/>
          <w:bCs/>
        </w:rPr>
        <w:t>Observation:</w:t>
      </w:r>
      <w:r>
        <w:t xml:space="preserve"> A</w:t>
      </w:r>
      <w:r w:rsidR="00EA7E89">
        <w:t xml:space="preserve">dopting the definition TTNB given in TS23.501 </w:t>
      </w:r>
      <w:r>
        <w:t>could</w:t>
      </w:r>
      <w:r w:rsidR="00EA7E89">
        <w:t xml:space="preserve"> result in significant error in the TTNB</w:t>
      </w:r>
      <w:r>
        <w:t xml:space="preserve"> indication</w:t>
      </w:r>
      <w:r w:rsidR="00EA7E89">
        <w:t xml:space="preserve">. </w:t>
      </w:r>
    </w:p>
    <w:p w14:paraId="73B69984" w14:textId="438D97A6" w:rsidR="00EA7E89" w:rsidRPr="00EA7E89" w:rsidRDefault="00195E03" w:rsidP="00EA7E89">
      <w:r w:rsidRPr="00195E03">
        <w:rPr>
          <w:b/>
          <w:bCs/>
        </w:rPr>
        <w:t>Proposal:</w:t>
      </w:r>
      <w:r>
        <w:t xml:space="preserve"> </w:t>
      </w:r>
      <w:r w:rsidR="00EA7E89">
        <w:t xml:space="preserve">SA4 needs to redefine TTNB to make the TTNB indication more useful. </w:t>
      </w:r>
    </w:p>
    <w:p w14:paraId="60F0DA45" w14:textId="32925B8C" w:rsidR="00C352E8" w:rsidRDefault="00C352E8" w:rsidP="00697BE9">
      <w:pPr>
        <w:pStyle w:val="Heading1"/>
        <w:numPr>
          <w:ilvl w:val="0"/>
          <w:numId w:val="0"/>
        </w:numPr>
        <w:ind w:left="432" w:hanging="432"/>
      </w:pPr>
      <w:r>
        <w:t>References</w:t>
      </w:r>
    </w:p>
    <w:bookmarkEnd w:id="0"/>
    <w:p w14:paraId="02898EDD" w14:textId="60A21D30" w:rsidR="00F75752" w:rsidRPr="003E6D71" w:rsidRDefault="00F75752" w:rsidP="00C352E8">
      <w:pPr>
        <w:rPr>
          <w:lang w:val="en-US"/>
        </w:rPr>
      </w:pPr>
      <w:r>
        <w:t xml:space="preserve">[1] </w:t>
      </w:r>
      <w:r w:rsidR="000F3C35" w:rsidRPr="000F3C35">
        <w:rPr>
          <w:lang w:val="en-US"/>
        </w:rPr>
        <w:t>S4-241835</w:t>
      </w:r>
      <w:r w:rsidR="00D7298D">
        <w:rPr>
          <w:lang w:val="en-US"/>
        </w:rPr>
        <w:t xml:space="preserve">, </w:t>
      </w:r>
      <w:r w:rsidR="000F3C35" w:rsidRPr="000F3C35">
        <w:rPr>
          <w:lang w:val="en-US"/>
        </w:rPr>
        <w:t>Additional statistics for RTP Senders and Receivers in Solution #13, KI#12 for dynamic traffic</w:t>
      </w:r>
      <w:r w:rsidR="000F3C35">
        <w:rPr>
          <w:lang w:val="en-US"/>
        </w:rPr>
        <w:t xml:space="preserve">, </w:t>
      </w:r>
      <w:r w:rsidR="00697BE9" w:rsidRPr="00697BE9">
        <w:rPr>
          <w:lang w:val="en-US"/>
        </w:rPr>
        <w:t>SA WG4#130</w:t>
      </w:r>
      <w:r w:rsidR="00697BE9">
        <w:rPr>
          <w:lang w:val="en-US"/>
        </w:rPr>
        <w:t>, November 2024.</w:t>
      </w:r>
    </w:p>
    <w:p w14:paraId="48F0AFCF" w14:textId="04E3D1B1" w:rsidR="002112B6" w:rsidRPr="003E6D71" w:rsidRDefault="002112B6" w:rsidP="00C352E8">
      <w:pPr>
        <w:rPr>
          <w:lang w:val="en-US"/>
        </w:rPr>
      </w:pPr>
    </w:p>
    <w:p w14:paraId="2065A427" w14:textId="77777777" w:rsidR="00C352E8" w:rsidRPr="009D5912" w:rsidRDefault="00C352E8" w:rsidP="00C352E8">
      <w:pPr>
        <w:rPr>
          <w:lang w:val="en-US"/>
        </w:rPr>
      </w:pPr>
    </w:p>
    <w:sectPr w:rsidR="00C352E8" w:rsidRPr="009D5912"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C2916" w14:textId="77777777" w:rsidR="00734A81" w:rsidRDefault="00734A81">
      <w:r>
        <w:separator/>
      </w:r>
    </w:p>
  </w:endnote>
  <w:endnote w:type="continuationSeparator" w:id="0">
    <w:p w14:paraId="096D07EC" w14:textId="77777777" w:rsidR="00734A81" w:rsidRDefault="0073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5415" w14:textId="77777777" w:rsidR="00734A81" w:rsidRDefault="00734A81">
      <w:r>
        <w:separator/>
      </w:r>
    </w:p>
  </w:footnote>
  <w:footnote w:type="continuationSeparator" w:id="0">
    <w:p w14:paraId="3B6718B4" w14:textId="77777777" w:rsidR="00734A81" w:rsidRDefault="00734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3DA4D2AA" w:rsidR="00DA292D" w:rsidRPr="00F21C4F"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de-DE"/>
      </w:rPr>
    </w:pPr>
    <w:r w:rsidRPr="00F21C4F">
      <w:rPr>
        <w:rFonts w:ascii="Arial" w:eastAsia="SimSun" w:hAnsi="Arial" w:cs="Arial"/>
        <w:sz w:val="22"/>
        <w:lang w:val="de-DE"/>
      </w:rPr>
      <w:t xml:space="preserve">3GPP </w:t>
    </w:r>
    <w:r w:rsidR="00B21B0C" w:rsidRPr="00F21C4F">
      <w:rPr>
        <w:rFonts w:ascii="Arial" w:eastAsia="SimSun" w:hAnsi="Arial" w:cs="Arial"/>
        <w:sz w:val="22"/>
        <w:lang w:val="de-DE"/>
      </w:rPr>
      <w:t xml:space="preserve">SA4 </w:t>
    </w:r>
    <w:r w:rsidR="00AE263C" w:rsidRPr="00F21C4F">
      <w:rPr>
        <w:rFonts w:ascii="Arial" w:eastAsia="SimSun" w:hAnsi="Arial" w:cs="Arial"/>
        <w:sz w:val="22"/>
        <w:lang w:val="de-DE"/>
      </w:rPr>
      <w:t xml:space="preserve">SA4 </w:t>
    </w:r>
    <w:r w:rsidR="00DF7631" w:rsidRPr="00F21C4F">
      <w:rPr>
        <w:rFonts w:ascii="Arial" w:eastAsia="SimSun" w:hAnsi="Arial" w:cs="Arial"/>
        <w:sz w:val="22"/>
        <w:lang w:val="de-DE"/>
      </w:rPr>
      <w:t>#1</w:t>
    </w:r>
    <w:r w:rsidR="009021CE" w:rsidRPr="00F21C4F">
      <w:rPr>
        <w:rFonts w:ascii="Arial" w:eastAsia="SimSun" w:hAnsi="Arial" w:cs="Arial"/>
        <w:sz w:val="22"/>
        <w:lang w:val="de-DE"/>
      </w:rPr>
      <w:t>3</w:t>
    </w:r>
    <w:r w:rsidR="006B0F3B">
      <w:rPr>
        <w:rFonts w:ascii="Arial" w:eastAsia="SimSun" w:hAnsi="Arial" w:cs="Arial"/>
        <w:sz w:val="22"/>
        <w:lang w:val="de-DE"/>
      </w:rPr>
      <w:t>2</w:t>
    </w:r>
    <w:r w:rsidR="00DA292D" w:rsidRPr="00F21C4F">
      <w:rPr>
        <w:rFonts w:ascii="Arial" w:eastAsia="SimSun" w:hAnsi="Arial" w:cs="Arial"/>
        <w:b/>
        <w:i/>
        <w:sz w:val="22"/>
        <w:lang w:val="de-DE"/>
      </w:rPr>
      <w:tab/>
    </w:r>
    <w:r w:rsidR="00867FB0" w:rsidRPr="00F21C4F">
      <w:rPr>
        <w:rFonts w:ascii="Arial" w:eastAsia="SimSun" w:hAnsi="Arial" w:cs="Arial"/>
        <w:b/>
        <w:i/>
        <w:sz w:val="22"/>
        <w:lang w:val="de-DE"/>
      </w:rPr>
      <w:t xml:space="preserve"> </w:t>
    </w:r>
    <w:r w:rsidR="00DA292D" w:rsidRPr="00F21C4F">
      <w:rPr>
        <w:rFonts w:ascii="Arial" w:eastAsia="SimSun" w:hAnsi="Arial" w:cs="Arial"/>
        <w:b/>
        <w:i/>
        <w:sz w:val="28"/>
        <w:szCs w:val="28"/>
        <w:lang w:val="de-DE"/>
      </w:rPr>
      <w:t xml:space="preserve">Tdoc </w:t>
    </w:r>
    <w:r w:rsidR="000960F1" w:rsidRPr="000960F1">
      <w:rPr>
        <w:rFonts w:ascii="Arial" w:eastAsia="SimSun" w:hAnsi="Arial" w:cs="Arial"/>
        <w:b/>
        <w:bCs/>
        <w:i/>
        <w:sz w:val="28"/>
        <w:szCs w:val="28"/>
      </w:rPr>
      <w:t>S4-251006</w:t>
    </w:r>
  </w:p>
  <w:p w14:paraId="3B56539F" w14:textId="37554239" w:rsidR="008075BF" w:rsidRPr="00DA292D" w:rsidRDefault="006B0F3B"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Fukuoka, JP, May 19-23</w:t>
    </w:r>
    <w:r w:rsidR="00AE263C">
      <w:rPr>
        <w:rFonts w:ascii="Arial" w:eastAsia="SimSun" w:hAnsi="Arial" w:cs="Arial"/>
        <w:sz w:val="22"/>
        <w:lang w:eastAsia="zh-CN"/>
      </w:rPr>
      <w:t>,</w:t>
    </w:r>
    <w:r w:rsidR="00E57085">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w:t>
    </w:r>
    <w:r w:rsidR="00DB5E42">
      <w:rPr>
        <w:rFonts w:ascii="Arial" w:eastAsia="SimSun" w:hAnsi="Arial" w:cs="Arial"/>
        <w:sz w:val="22"/>
        <w:lang w:eastAsia="zh-CN"/>
      </w:rPr>
      <w:t xml:space="preserve"> </w:t>
    </w:r>
    <w:r w:rsidR="00BB6256">
      <w:rPr>
        <w:rFonts w:ascii="Arial" w:eastAsia="SimSun" w:hAnsi="Arial" w:cs="Arial"/>
        <w:sz w:val="22"/>
        <w:lang w:eastAsia="zh-CN"/>
      </w:rPr>
      <w:t xml:space="preserve">                             </w:t>
    </w:r>
    <w:r w:rsidR="00F21C4F">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1980"/>
        </w:tabs>
        <w:ind w:left="1980" w:firstLine="0"/>
      </w:pPr>
    </w:lvl>
    <w:lvl w:ilvl="1">
      <w:start w:val="1"/>
      <w:numFmt w:val="none"/>
      <w:suff w:val="nothing"/>
      <w:lvlText w:val=""/>
      <w:lvlJc w:val="left"/>
      <w:pPr>
        <w:tabs>
          <w:tab w:val="num" w:pos="1980"/>
        </w:tabs>
        <w:ind w:left="1980" w:firstLine="0"/>
      </w:pPr>
    </w:lvl>
    <w:lvl w:ilvl="2">
      <w:start w:val="1"/>
      <w:numFmt w:val="none"/>
      <w:suff w:val="nothing"/>
      <w:lvlText w:val=""/>
      <w:lvlJc w:val="left"/>
      <w:pPr>
        <w:tabs>
          <w:tab w:val="num" w:pos="1980"/>
        </w:tabs>
        <w:ind w:left="1980" w:firstLine="0"/>
      </w:pPr>
    </w:lvl>
    <w:lvl w:ilvl="3">
      <w:start w:val="1"/>
      <w:numFmt w:val="none"/>
      <w:suff w:val="nothing"/>
      <w:lvlText w:val=""/>
      <w:lvlJc w:val="left"/>
      <w:pPr>
        <w:tabs>
          <w:tab w:val="num" w:pos="1980"/>
        </w:tabs>
        <w:ind w:left="1980" w:firstLine="0"/>
      </w:pPr>
    </w:lvl>
    <w:lvl w:ilvl="4">
      <w:start w:val="1"/>
      <w:numFmt w:val="none"/>
      <w:suff w:val="nothing"/>
      <w:lvlText w:val=""/>
      <w:lvlJc w:val="left"/>
      <w:pPr>
        <w:tabs>
          <w:tab w:val="num" w:pos="1980"/>
        </w:tabs>
        <w:ind w:left="1980" w:firstLine="0"/>
      </w:pPr>
    </w:lvl>
    <w:lvl w:ilvl="5">
      <w:start w:val="1"/>
      <w:numFmt w:val="none"/>
      <w:suff w:val="nothing"/>
      <w:lvlText w:val=""/>
      <w:lvlJc w:val="left"/>
      <w:pPr>
        <w:tabs>
          <w:tab w:val="num" w:pos="1980"/>
        </w:tabs>
        <w:ind w:left="1980" w:firstLine="0"/>
      </w:pPr>
    </w:lvl>
    <w:lvl w:ilvl="6">
      <w:start w:val="1"/>
      <w:numFmt w:val="none"/>
      <w:suff w:val="nothing"/>
      <w:lvlText w:val=""/>
      <w:lvlJc w:val="left"/>
      <w:pPr>
        <w:tabs>
          <w:tab w:val="num" w:pos="1980"/>
        </w:tabs>
        <w:ind w:left="1980" w:firstLine="0"/>
      </w:pPr>
    </w:lvl>
    <w:lvl w:ilvl="7">
      <w:start w:val="1"/>
      <w:numFmt w:val="none"/>
      <w:suff w:val="nothing"/>
      <w:lvlText w:val=""/>
      <w:lvlJc w:val="left"/>
      <w:pPr>
        <w:tabs>
          <w:tab w:val="num" w:pos="1980"/>
        </w:tabs>
        <w:ind w:left="1980" w:firstLine="0"/>
      </w:pPr>
    </w:lvl>
    <w:lvl w:ilvl="8">
      <w:start w:val="1"/>
      <w:numFmt w:val="none"/>
      <w:suff w:val="nothing"/>
      <w:lvlText w:val=""/>
      <w:lvlJc w:val="left"/>
      <w:pPr>
        <w:tabs>
          <w:tab w:val="num" w:pos="1980"/>
        </w:tabs>
        <w:ind w:left="198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B32EF"/>
    <w:multiLevelType w:val="hybridMultilevel"/>
    <w:tmpl w:val="E8021E82"/>
    <w:lvl w:ilvl="0" w:tplc="4DE6F4B0">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31C4C"/>
    <w:multiLevelType w:val="multilevel"/>
    <w:tmpl w:val="72942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2767A"/>
    <w:multiLevelType w:val="multilevel"/>
    <w:tmpl w:val="129EAB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0"/>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1"/>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20"/>
  </w:num>
  <w:num w:numId="11" w16cid:durableId="1525971380">
    <w:abstractNumId w:val="17"/>
  </w:num>
  <w:num w:numId="12" w16cid:durableId="1511218414">
    <w:abstractNumId w:val="18"/>
  </w:num>
  <w:num w:numId="13" w16cid:durableId="815728443">
    <w:abstractNumId w:val="20"/>
  </w:num>
  <w:num w:numId="14" w16cid:durableId="910039807">
    <w:abstractNumId w:val="21"/>
  </w:num>
  <w:num w:numId="15" w16cid:durableId="1975134722">
    <w:abstractNumId w:val="15"/>
  </w:num>
  <w:num w:numId="16" w16cid:durableId="1712026302">
    <w:abstractNumId w:val="12"/>
  </w:num>
  <w:num w:numId="17" w16cid:durableId="2046057848">
    <w:abstractNumId w:val="20"/>
  </w:num>
  <w:num w:numId="18" w16cid:durableId="989986992">
    <w:abstractNumId w:val="20"/>
  </w:num>
  <w:num w:numId="19" w16cid:durableId="1419518851">
    <w:abstractNumId w:val="5"/>
  </w:num>
  <w:num w:numId="20" w16cid:durableId="69009680">
    <w:abstractNumId w:val="20"/>
  </w:num>
  <w:num w:numId="21" w16cid:durableId="1903441439">
    <w:abstractNumId w:val="20"/>
  </w:num>
  <w:num w:numId="22" w16cid:durableId="168373479">
    <w:abstractNumId w:val="20"/>
  </w:num>
  <w:num w:numId="23" w16cid:durableId="1493834802">
    <w:abstractNumId w:val="20"/>
  </w:num>
  <w:num w:numId="24" w16cid:durableId="1755974918">
    <w:abstractNumId w:val="20"/>
  </w:num>
  <w:num w:numId="25" w16cid:durableId="829950102">
    <w:abstractNumId w:val="7"/>
  </w:num>
  <w:num w:numId="26" w16cid:durableId="1487742665">
    <w:abstractNumId w:val="9"/>
  </w:num>
  <w:num w:numId="27" w16cid:durableId="1848864693">
    <w:abstractNumId w:val="16"/>
  </w:num>
  <w:num w:numId="28" w16cid:durableId="1271206722">
    <w:abstractNumId w:val="2"/>
  </w:num>
  <w:num w:numId="29" w16cid:durableId="192891171">
    <w:abstractNumId w:val="1"/>
  </w:num>
  <w:num w:numId="30" w16cid:durableId="1841776717">
    <w:abstractNumId w:val="23"/>
  </w:num>
  <w:num w:numId="31" w16cid:durableId="149446805">
    <w:abstractNumId w:val="19"/>
  </w:num>
  <w:num w:numId="32" w16cid:durableId="938827354">
    <w:abstractNumId w:val="22"/>
  </w:num>
  <w:num w:numId="33" w16cid:durableId="8974160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222"/>
    <w:rsid w:val="00040C2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4649"/>
    <w:rsid w:val="000950DD"/>
    <w:rsid w:val="000960F1"/>
    <w:rsid w:val="00096C0D"/>
    <w:rsid w:val="000A321A"/>
    <w:rsid w:val="000A5994"/>
    <w:rsid w:val="000A7B5C"/>
    <w:rsid w:val="000B0A24"/>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4CF"/>
    <w:rsid w:val="000E7910"/>
    <w:rsid w:val="000E7A98"/>
    <w:rsid w:val="000E7BEC"/>
    <w:rsid w:val="000F130C"/>
    <w:rsid w:val="000F1DD2"/>
    <w:rsid w:val="000F2747"/>
    <w:rsid w:val="000F3564"/>
    <w:rsid w:val="000F3C35"/>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37869"/>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5E03"/>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461"/>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2B67"/>
    <w:rsid w:val="0020599A"/>
    <w:rsid w:val="00206151"/>
    <w:rsid w:val="00206483"/>
    <w:rsid w:val="00206B29"/>
    <w:rsid w:val="00207726"/>
    <w:rsid w:val="00210943"/>
    <w:rsid w:val="00211105"/>
    <w:rsid w:val="002112B6"/>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847"/>
    <w:rsid w:val="00232FA9"/>
    <w:rsid w:val="00233899"/>
    <w:rsid w:val="00234B09"/>
    <w:rsid w:val="002373F0"/>
    <w:rsid w:val="00241215"/>
    <w:rsid w:val="002439D0"/>
    <w:rsid w:val="00243EB2"/>
    <w:rsid w:val="002441F5"/>
    <w:rsid w:val="00245135"/>
    <w:rsid w:val="00246E70"/>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55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7AB"/>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1D71"/>
    <w:rsid w:val="00313169"/>
    <w:rsid w:val="0031432A"/>
    <w:rsid w:val="003147A5"/>
    <w:rsid w:val="0031531D"/>
    <w:rsid w:val="00316137"/>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1EF"/>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28D2"/>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6D71"/>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983"/>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977F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14828"/>
    <w:rsid w:val="005208EE"/>
    <w:rsid w:val="00520B6E"/>
    <w:rsid w:val="00520DBE"/>
    <w:rsid w:val="005219F9"/>
    <w:rsid w:val="00522233"/>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833"/>
    <w:rsid w:val="00593FC5"/>
    <w:rsid w:val="00594FC6"/>
    <w:rsid w:val="00596FE6"/>
    <w:rsid w:val="005A09E2"/>
    <w:rsid w:val="005A23DF"/>
    <w:rsid w:val="005A2E77"/>
    <w:rsid w:val="005A390F"/>
    <w:rsid w:val="005A5E87"/>
    <w:rsid w:val="005A7B96"/>
    <w:rsid w:val="005A7FE8"/>
    <w:rsid w:val="005B10E3"/>
    <w:rsid w:val="005B32E8"/>
    <w:rsid w:val="005B3EC9"/>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7CD"/>
    <w:rsid w:val="005D4FC8"/>
    <w:rsid w:val="005D5010"/>
    <w:rsid w:val="005D5026"/>
    <w:rsid w:val="005E02A2"/>
    <w:rsid w:val="005E06AB"/>
    <w:rsid w:val="005E10AD"/>
    <w:rsid w:val="005E199A"/>
    <w:rsid w:val="005E35B4"/>
    <w:rsid w:val="005E404D"/>
    <w:rsid w:val="005E48E3"/>
    <w:rsid w:val="005E4C31"/>
    <w:rsid w:val="005E552D"/>
    <w:rsid w:val="005E6436"/>
    <w:rsid w:val="005E7DE1"/>
    <w:rsid w:val="005F029D"/>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E9"/>
    <w:rsid w:val="00697BFF"/>
    <w:rsid w:val="006A048F"/>
    <w:rsid w:val="006A0B29"/>
    <w:rsid w:val="006A0CB4"/>
    <w:rsid w:val="006A2064"/>
    <w:rsid w:val="006A4908"/>
    <w:rsid w:val="006A4965"/>
    <w:rsid w:val="006A4B40"/>
    <w:rsid w:val="006A5B2C"/>
    <w:rsid w:val="006A7B73"/>
    <w:rsid w:val="006B042A"/>
    <w:rsid w:val="006B0873"/>
    <w:rsid w:val="006B0F3B"/>
    <w:rsid w:val="006B1094"/>
    <w:rsid w:val="006B335A"/>
    <w:rsid w:val="006B54F2"/>
    <w:rsid w:val="006B609A"/>
    <w:rsid w:val="006B7E0E"/>
    <w:rsid w:val="006C0318"/>
    <w:rsid w:val="006C078E"/>
    <w:rsid w:val="006C08CE"/>
    <w:rsid w:val="006C0957"/>
    <w:rsid w:val="006C0C77"/>
    <w:rsid w:val="006C1A44"/>
    <w:rsid w:val="006C359E"/>
    <w:rsid w:val="006C37EB"/>
    <w:rsid w:val="006C3D5B"/>
    <w:rsid w:val="006C52CE"/>
    <w:rsid w:val="006C6BE6"/>
    <w:rsid w:val="006C6DF8"/>
    <w:rsid w:val="006C7159"/>
    <w:rsid w:val="006C7FA7"/>
    <w:rsid w:val="006D05F9"/>
    <w:rsid w:val="006D2C97"/>
    <w:rsid w:val="006D2E92"/>
    <w:rsid w:val="006D46B5"/>
    <w:rsid w:val="006D5233"/>
    <w:rsid w:val="006D5B83"/>
    <w:rsid w:val="006D6881"/>
    <w:rsid w:val="006D6AE7"/>
    <w:rsid w:val="006D7670"/>
    <w:rsid w:val="006D7952"/>
    <w:rsid w:val="006E16B4"/>
    <w:rsid w:val="006E1FA9"/>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17D9"/>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4A81"/>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4FC"/>
    <w:rsid w:val="007937E0"/>
    <w:rsid w:val="00793A05"/>
    <w:rsid w:val="007940B5"/>
    <w:rsid w:val="007945B4"/>
    <w:rsid w:val="00794925"/>
    <w:rsid w:val="00794A0A"/>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1D1"/>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162"/>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C79A5"/>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5E7A"/>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1798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3EF"/>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7D91"/>
    <w:rsid w:val="00982299"/>
    <w:rsid w:val="009825F5"/>
    <w:rsid w:val="00983673"/>
    <w:rsid w:val="00983A73"/>
    <w:rsid w:val="00984586"/>
    <w:rsid w:val="009861E2"/>
    <w:rsid w:val="0099023A"/>
    <w:rsid w:val="0099043C"/>
    <w:rsid w:val="00990920"/>
    <w:rsid w:val="00991D0F"/>
    <w:rsid w:val="00992117"/>
    <w:rsid w:val="00994E3C"/>
    <w:rsid w:val="00995F42"/>
    <w:rsid w:val="00996909"/>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C7C72"/>
    <w:rsid w:val="009D189A"/>
    <w:rsid w:val="009D1AE2"/>
    <w:rsid w:val="009D2ABE"/>
    <w:rsid w:val="009D3C4A"/>
    <w:rsid w:val="009D5912"/>
    <w:rsid w:val="009E124F"/>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27F62"/>
    <w:rsid w:val="00A30D56"/>
    <w:rsid w:val="00A325FE"/>
    <w:rsid w:val="00A345DE"/>
    <w:rsid w:val="00A352FB"/>
    <w:rsid w:val="00A359B6"/>
    <w:rsid w:val="00A378AD"/>
    <w:rsid w:val="00A4140D"/>
    <w:rsid w:val="00A423DD"/>
    <w:rsid w:val="00A42BDC"/>
    <w:rsid w:val="00A441B3"/>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581"/>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6256"/>
    <w:rsid w:val="00BB7F33"/>
    <w:rsid w:val="00BC1A4A"/>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617E"/>
    <w:rsid w:val="00C071E1"/>
    <w:rsid w:val="00C079F1"/>
    <w:rsid w:val="00C104C2"/>
    <w:rsid w:val="00C1085E"/>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E8"/>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49D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298D"/>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E671B"/>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47B"/>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A7E89"/>
    <w:rsid w:val="00EB1151"/>
    <w:rsid w:val="00EB149C"/>
    <w:rsid w:val="00EB1D73"/>
    <w:rsid w:val="00EB48D6"/>
    <w:rsid w:val="00EB6456"/>
    <w:rsid w:val="00EB6954"/>
    <w:rsid w:val="00EB6F24"/>
    <w:rsid w:val="00EB776E"/>
    <w:rsid w:val="00EB7E76"/>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F35"/>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4F"/>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75752"/>
    <w:rsid w:val="00F81546"/>
    <w:rsid w:val="00F81A42"/>
    <w:rsid w:val="00F83C4A"/>
    <w:rsid w:val="00F83D23"/>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202B6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922528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40580089">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379981028">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032687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3178275">
      <w:bodyDiv w:val="1"/>
      <w:marLeft w:val="0"/>
      <w:marRight w:val="0"/>
      <w:marTop w:val="0"/>
      <w:marBottom w:val="0"/>
      <w:divBdr>
        <w:top w:val="none" w:sz="0" w:space="0" w:color="auto"/>
        <w:left w:val="none" w:sz="0" w:space="0" w:color="auto"/>
        <w:bottom w:val="none" w:sz="0" w:space="0" w:color="auto"/>
        <w:right w:val="none" w:sz="0" w:space="0" w:color="auto"/>
      </w:divBdr>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888091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7529874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162</TotalTime>
  <Pages>5</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5</cp:revision>
  <dcterms:created xsi:type="dcterms:W3CDTF">2025-05-13T22:00:00Z</dcterms:created>
  <dcterms:modified xsi:type="dcterms:W3CDTF">2025-05-14T01:02:00Z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