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1xxxx</w:t>
      </w:r>
    </w:p>
    <w:p w14:paraId="0DE169EC">
      <w:pPr>
        <w:pStyle w:val="39"/>
        <w:tabs>
          <w:tab w:val="right" w:pos="9781"/>
          <w:tab w:val="right" w:pos="13323"/>
        </w:tabs>
        <w:spacing w:before="60" w:after="60"/>
        <w:outlineLvl w:val="0"/>
        <w:rPr>
          <w:rFonts w:cs="Arial"/>
          <w:b w:val="0"/>
          <w:sz w:val="24"/>
          <w:szCs w:val="24"/>
        </w:rPr>
      </w:pPr>
      <w:r>
        <w:rPr>
          <w:rFonts w:hint="eastAsia" w:cs="Arial"/>
          <w:sz w:val="24"/>
          <w:szCs w:val="24"/>
          <w:lang w:eastAsia="zh-CN"/>
        </w:rPr>
        <w:t>Prague, Czech Republic, Oct. 13-17</w:t>
      </w:r>
      <w:r>
        <w:rPr>
          <w:rFonts w:cs="Arial"/>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rPr>
        <w:t>8</w:t>
      </w:r>
      <w:r>
        <w:rPr>
          <w:rFonts w:ascii="Arial" w:hAnsi="Arial" w:cs="Arial" w:eastAsiaTheme="minorEastAsia"/>
          <w:color w:val="000000"/>
          <w:sz w:val="22"/>
        </w:rPr>
        <w:t>.</w:t>
      </w:r>
      <w:r>
        <w:rPr>
          <w:rFonts w:hint="eastAsia" w:ascii="Arial" w:hAnsi="Arial" w:cs="Arial" w:eastAsiaTheme="minorEastAsia"/>
          <w:color w:val="000000"/>
          <w:sz w:val="22"/>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Coffee break discussion</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[116bis][108] 6G spectrum sharing</w:t>
      </w:r>
    </w:p>
    <w:p w14:paraId="04EE905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15CB3D8E">
      <w:pPr>
        <w:spacing w:after="120"/>
        <w:rPr>
          <w:rFonts w:eastAsia="宋体"/>
        </w:rPr>
      </w:pPr>
    </w:p>
    <w:p w14:paraId="1AD48B02">
      <w:pPr>
        <w:rPr>
          <w:lang w:eastAsia="ko-KR"/>
        </w:rPr>
      </w:pPr>
    </w:p>
    <w:p w14:paraId="6838401B">
      <w:pPr>
        <w:pStyle w:val="151"/>
        <w:numPr>
          <w:ilvl w:val="0"/>
          <w:numId w:val="0"/>
        </w:numPr>
        <w:overflowPunct/>
        <w:autoSpaceDE/>
        <w:autoSpaceDN/>
        <w:adjustRightInd/>
        <w:spacing w:after="120"/>
        <w:textAlignment w:val="auto"/>
        <w:rPr>
          <w:rFonts w:eastAsia="宋体"/>
          <w:color w:val="0070C0"/>
          <w:sz w:val="28"/>
          <w:szCs w:val="28"/>
          <w:highlight w:val="green"/>
        </w:rPr>
      </w:pPr>
      <w:r>
        <w:rPr>
          <w:rFonts w:hint="eastAsia" w:eastAsia="宋体"/>
          <w:color w:val="0070C0"/>
          <w:sz w:val="28"/>
          <w:szCs w:val="28"/>
          <w:highlight w:val="green"/>
          <w:lang w:val="en-US" w:eastAsia="zh-CN"/>
        </w:rPr>
        <w:t xml:space="preserve">Online agreements </w:t>
      </w:r>
    </w:p>
    <w:p w14:paraId="306F53FE">
      <w:pPr>
        <w:rPr>
          <w:bCs/>
          <w:color w:val="0070C0"/>
          <w:sz w:val="24"/>
          <w:szCs w:val="24"/>
          <w:highlight w:val="green"/>
          <w:lang w:eastAsia="ko-KR"/>
        </w:rPr>
      </w:pPr>
      <w:r>
        <w:rPr>
          <w:bCs/>
          <w:color w:val="0070C0"/>
          <w:sz w:val="24"/>
          <w:szCs w:val="24"/>
          <w:highlight w:val="green"/>
          <w:lang w:eastAsia="ko-KR"/>
        </w:rPr>
        <w:t>MRSS should be considered in the ultimate RAN4 decision, including RAN4’s input to interim milestone.</w:t>
      </w:r>
    </w:p>
    <w:p w14:paraId="65CB925D">
      <w:pPr>
        <w:rPr>
          <w:bCs/>
          <w:color w:val="0070C0"/>
          <w:sz w:val="24"/>
          <w:szCs w:val="24"/>
          <w:highlight w:val="green"/>
          <w:lang w:eastAsia="ko-KR"/>
        </w:rPr>
      </w:pPr>
    </w:p>
    <w:p w14:paraId="16F60C7B">
      <w:pPr>
        <w:rPr>
          <w:bCs/>
          <w:color w:val="0070C0"/>
          <w:sz w:val="24"/>
          <w:szCs w:val="24"/>
          <w:highlight w:val="green"/>
          <w:lang w:eastAsia="ko-KR"/>
        </w:rPr>
      </w:pPr>
      <w:r>
        <w:rPr>
          <w:bCs/>
          <w:color w:val="0070C0"/>
          <w:sz w:val="24"/>
          <w:szCs w:val="24"/>
          <w:highlight w:val="green"/>
          <w:lang w:eastAsia="ko-KR"/>
        </w:rPr>
        <w:t>Regarding some of the system parameters (e.g. SCS, sync raster, channel raster etc.), separated agenda will be designated for the scenairos of  with (in spectrum sharing)  and without (in system parameter) MRSS considered.</w:t>
      </w:r>
    </w:p>
    <w:p w14:paraId="1831830E">
      <w:pPr>
        <w:pStyle w:val="151"/>
        <w:numPr>
          <w:ilvl w:val="0"/>
          <w:numId w:val="4"/>
        </w:numPr>
        <w:ind w:firstLineChars="0"/>
        <w:rPr>
          <w:bCs/>
          <w:color w:val="0070C0"/>
          <w:sz w:val="24"/>
          <w:szCs w:val="24"/>
          <w:highlight w:val="green"/>
          <w:lang w:eastAsia="ko-KR"/>
        </w:rPr>
      </w:pPr>
      <w:r>
        <w:rPr>
          <w:bCs/>
          <w:color w:val="0070C0"/>
          <w:sz w:val="24"/>
          <w:szCs w:val="24"/>
          <w:highlight w:val="green"/>
          <w:lang w:eastAsia="ko-KR"/>
        </w:rPr>
        <w:t>If feasible, RAN4 strives to define unified system parameters for the scenarios with and withtout MRSS.</w:t>
      </w:r>
    </w:p>
    <w:p w14:paraId="62E64D50">
      <w:pPr>
        <w:pStyle w:val="151"/>
        <w:numPr>
          <w:ilvl w:val="0"/>
          <w:numId w:val="4"/>
        </w:numPr>
        <w:ind w:firstLineChars="0"/>
        <w:rPr>
          <w:bCs/>
          <w:color w:val="0070C0"/>
          <w:sz w:val="24"/>
          <w:szCs w:val="24"/>
          <w:highlight w:val="green"/>
          <w:lang w:eastAsia="ko-KR"/>
        </w:rPr>
      </w:pPr>
      <w:r>
        <w:rPr>
          <w:bCs/>
          <w:color w:val="0070C0"/>
          <w:sz w:val="24"/>
          <w:szCs w:val="24"/>
          <w:highlight w:val="green"/>
          <w:lang w:eastAsia="ko-KR"/>
        </w:rPr>
        <w:t xml:space="preserve">Revisit this agenda arrangement after Feb. meeting in 2026 for potentially merging the discussion under the single agenda. </w:t>
      </w:r>
    </w:p>
    <w:p w14:paraId="7AC090B0">
      <w:pPr>
        <w:rPr>
          <w:bCs/>
          <w:color w:val="0070C0"/>
          <w:sz w:val="36"/>
          <w:szCs w:val="36"/>
          <w:highlight w:val="green"/>
          <w:lang w:eastAsia="ko-KR"/>
        </w:rPr>
      </w:pPr>
    </w:p>
    <w:p w14:paraId="35E28CDD">
      <w:pPr>
        <w:rPr>
          <w:bCs/>
          <w:color w:val="0070C0"/>
          <w:sz w:val="24"/>
          <w:szCs w:val="24"/>
          <w:highlight w:val="green"/>
          <w:lang w:eastAsia="ko-KR"/>
        </w:rPr>
      </w:pPr>
      <w:r>
        <w:rPr>
          <w:bCs/>
          <w:color w:val="0070C0"/>
          <w:sz w:val="24"/>
          <w:szCs w:val="24"/>
          <w:highlight w:val="green"/>
          <w:lang w:eastAsia="ko-KR"/>
        </w:rPr>
        <w:t xml:space="preserve"> Before RAN4 recevies concrete design from RAN1/2, RAN4 discussion will be based on the agreed hypothesis. </w:t>
      </w:r>
    </w:p>
    <w:p w14:paraId="381DE589">
      <w:pPr>
        <w:rPr>
          <w:b/>
          <w:color w:val="0070C0"/>
          <w:u w:val="single"/>
          <w:lang w:eastAsia="ko-KR"/>
        </w:rPr>
      </w:pPr>
    </w:p>
    <w:p w14:paraId="1D5B2CB5">
      <w:pPr>
        <w:rPr>
          <w:b/>
          <w:color w:val="0070C0"/>
          <w:u w:val="single"/>
          <w:lang w:eastAsia="ko-KR"/>
        </w:rPr>
      </w:pPr>
    </w:p>
    <w:p w14:paraId="63793497">
      <w:pPr>
        <w:pStyle w:val="3"/>
        <w:keepNext/>
        <w:keepLines/>
        <w:pageBreakBefore w:val="0"/>
        <w:widowControl/>
        <w:numPr>
          <w:ilvl w:val="-1"/>
          <w:numId w:val="0"/>
        </w:numPr>
        <w:kinsoku/>
        <w:wordWrap/>
        <w:overflowPunct/>
        <w:topLinePunct w:val="0"/>
        <w:autoSpaceDE/>
        <w:autoSpaceDN/>
        <w:bidi w:val="0"/>
        <w:adjustRightInd/>
        <w:snapToGrid/>
        <w:ind w:left="0" w:leftChars="0"/>
        <w:textAlignment w:val="auto"/>
        <w:outlineLvl w:val="1"/>
        <w:rPr>
          <w:rFonts w:ascii="Times New Roman" w:hAnsi="Times New Roman"/>
          <w:b/>
          <w:bCs/>
          <w:color w:val="0070C0"/>
          <w:szCs w:val="24"/>
          <w:lang w:val="en-US" w:eastAsia="ko-KR"/>
        </w:rPr>
      </w:pPr>
      <w:r>
        <w:rPr>
          <w:rFonts w:hint="eastAsia" w:ascii="Times New Roman" w:hAnsi="Times New Roman"/>
          <w:b/>
          <w:bCs/>
          <w:color w:val="0070C0"/>
          <w:szCs w:val="24"/>
          <w:lang w:val="en-US" w:eastAsia="zh-CN"/>
        </w:rPr>
        <w:t>Issue 1: System parameters which are impacted by MRSS</w:t>
      </w:r>
      <w:r>
        <w:rPr>
          <w:rFonts w:ascii="Times New Roman" w:hAnsi="Times New Roman"/>
          <w:b/>
          <w:bCs/>
          <w:color w:val="0070C0"/>
          <w:szCs w:val="24"/>
          <w:lang w:val="en-US"/>
        </w:rPr>
        <w:t xml:space="preserve"> </w:t>
      </w:r>
    </w:p>
    <w:p w14:paraId="39BB35B8">
      <w:pPr>
        <w:pStyle w:val="151"/>
        <w:numPr>
          <w:ilvl w:val="0"/>
          <w:numId w:val="0"/>
        </w:numPr>
        <w:overflowPunct/>
        <w:autoSpaceDE/>
        <w:autoSpaceDN/>
        <w:adjustRightInd/>
        <w:spacing w:after="120"/>
        <w:textAlignment w:val="auto"/>
        <w:rPr>
          <w:rFonts w:hint="default" w:eastAsia="宋体"/>
          <w:color w:val="0070C0"/>
          <w:lang w:val="en-US"/>
        </w:rPr>
      </w:pPr>
      <w:r>
        <w:rPr>
          <w:rFonts w:hint="eastAsia" w:eastAsia="宋体"/>
          <w:color w:val="0070C0"/>
          <w:lang w:val="en-US" w:eastAsia="zh-CN"/>
        </w:rPr>
        <w:t>Taking following table as starting point to discuss which system parameters are impacted by MRSS.</w:t>
      </w:r>
    </w:p>
    <w:tbl>
      <w:tblPr>
        <w:tblStyle w:val="51"/>
        <w:tblW w:w="0" w:type="auto"/>
        <w:tblInd w:w="1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3386"/>
      </w:tblGrid>
      <w:tr w14:paraId="037A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tcPr>
          <w:p w14:paraId="04ECDE2E">
            <w:pPr>
              <w:pStyle w:val="151"/>
              <w:numPr>
                <w:ilvl w:val="0"/>
                <w:numId w:val="0"/>
              </w:numPr>
              <w:overflowPunct/>
              <w:autoSpaceDE/>
              <w:autoSpaceDN/>
              <w:adjustRightInd/>
              <w:spacing w:after="120"/>
              <w:textAlignment w:val="auto"/>
              <w:rPr>
                <w:rFonts w:hint="default" w:eastAsia="宋体"/>
                <w:b/>
                <w:bCs/>
                <w:iCs/>
                <w:vertAlign w:val="baseline"/>
                <w:lang w:val="en-US" w:eastAsia="zh-CN"/>
              </w:rPr>
            </w:pPr>
            <w:r>
              <w:rPr>
                <w:rFonts w:hint="eastAsia" w:eastAsia="宋体"/>
                <w:b/>
                <w:bCs/>
                <w:iCs/>
                <w:vertAlign w:val="baseline"/>
                <w:lang w:val="en-US" w:eastAsia="zh-CN"/>
              </w:rPr>
              <w:t>S</w:t>
            </w:r>
            <w:bookmarkStart w:id="1" w:name="_GoBack"/>
            <w:bookmarkEnd w:id="1"/>
            <w:r>
              <w:rPr>
                <w:rFonts w:hint="eastAsia" w:eastAsia="宋体"/>
                <w:b/>
                <w:bCs/>
                <w:iCs/>
                <w:vertAlign w:val="baseline"/>
                <w:lang w:val="en-US" w:eastAsia="zh-CN"/>
              </w:rPr>
              <w:t xml:space="preserve">ystem parameters </w:t>
            </w:r>
          </w:p>
        </w:tc>
        <w:tc>
          <w:tcPr>
            <w:tcW w:w="3386" w:type="dxa"/>
          </w:tcPr>
          <w:p w14:paraId="03F29FA4">
            <w:pPr>
              <w:pStyle w:val="151"/>
              <w:numPr>
                <w:ilvl w:val="0"/>
                <w:numId w:val="0"/>
              </w:numPr>
              <w:overflowPunct/>
              <w:autoSpaceDE/>
              <w:autoSpaceDN/>
              <w:adjustRightInd/>
              <w:spacing w:after="120"/>
              <w:textAlignment w:val="auto"/>
              <w:rPr>
                <w:rFonts w:hint="default" w:eastAsia="宋体"/>
                <w:b/>
                <w:bCs/>
                <w:iCs/>
                <w:vertAlign w:val="baseline"/>
                <w:lang w:val="en-US" w:eastAsia="zh-CN"/>
              </w:rPr>
            </w:pPr>
            <w:r>
              <w:rPr>
                <w:rFonts w:hint="eastAsia" w:eastAsia="宋体"/>
                <w:b/>
                <w:bCs/>
                <w:iCs/>
                <w:vertAlign w:val="baseline"/>
                <w:lang w:val="en-US" w:eastAsia="zh-CN"/>
              </w:rPr>
              <w:t>Whether impacted by MRSS</w:t>
            </w:r>
          </w:p>
        </w:tc>
      </w:tr>
      <w:tr w14:paraId="53D1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Align w:val="top"/>
          </w:tcPr>
          <w:p w14:paraId="6CB771D1">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sz w:val="24"/>
                <w:szCs w:val="16"/>
                <w:lang w:val="en-US"/>
              </w:rPr>
              <w:t>Numerology</w:t>
            </w:r>
          </w:p>
        </w:tc>
        <w:tc>
          <w:tcPr>
            <w:tcW w:w="3386" w:type="dxa"/>
          </w:tcPr>
          <w:p w14:paraId="5FCE0561">
            <w:pPr>
              <w:pStyle w:val="151"/>
              <w:numPr>
                <w:ilvl w:val="0"/>
                <w:numId w:val="0"/>
              </w:numPr>
              <w:overflowPunct/>
              <w:autoSpaceDE/>
              <w:autoSpaceDN/>
              <w:adjustRightInd/>
              <w:spacing w:after="120"/>
              <w:textAlignment w:val="auto"/>
              <w:rPr>
                <w:rFonts w:hint="default" w:eastAsia="宋体"/>
                <w:iCs/>
                <w:vertAlign w:val="baseline"/>
                <w:lang w:val="en-US" w:eastAsia="zh-CN"/>
              </w:rPr>
            </w:pPr>
            <w:r>
              <w:rPr>
                <w:rFonts w:hint="eastAsia" w:eastAsia="宋体"/>
                <w:iCs/>
                <w:vertAlign w:val="baseline"/>
                <w:lang w:val="en-US" w:eastAsia="zh-CN"/>
              </w:rPr>
              <w:t>Yes</w:t>
            </w:r>
          </w:p>
        </w:tc>
      </w:tr>
      <w:tr w14:paraId="77F8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Align w:val="top"/>
          </w:tcPr>
          <w:p w14:paraId="74341C4A">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sz w:val="24"/>
                <w:szCs w:val="16"/>
                <w:lang w:val="en-US"/>
              </w:rPr>
              <w:t>Channel raster</w:t>
            </w:r>
          </w:p>
        </w:tc>
        <w:tc>
          <w:tcPr>
            <w:tcW w:w="3386" w:type="dxa"/>
          </w:tcPr>
          <w:p w14:paraId="2698EFF5">
            <w:pPr>
              <w:pStyle w:val="151"/>
              <w:numPr>
                <w:ilvl w:val="0"/>
                <w:numId w:val="0"/>
              </w:numPr>
              <w:overflowPunct/>
              <w:autoSpaceDE/>
              <w:autoSpaceDN/>
              <w:adjustRightInd/>
              <w:spacing w:after="120"/>
              <w:textAlignment w:val="auto"/>
              <w:rPr>
                <w:iCs/>
                <w:vertAlign w:val="baseline"/>
              </w:rPr>
            </w:pPr>
            <w:r>
              <w:rPr>
                <w:rFonts w:hint="eastAsia" w:eastAsia="宋体"/>
                <w:iCs/>
                <w:vertAlign w:val="baseline"/>
                <w:lang w:val="en-US" w:eastAsia="zh-CN"/>
              </w:rPr>
              <w:t>Yes</w:t>
            </w:r>
          </w:p>
        </w:tc>
      </w:tr>
      <w:tr w14:paraId="5E69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Align w:val="top"/>
          </w:tcPr>
          <w:p w14:paraId="18338CE8">
            <w:pPr>
              <w:pStyle w:val="151"/>
              <w:numPr>
                <w:ilvl w:val="0"/>
                <w:numId w:val="0"/>
              </w:numPr>
              <w:overflowPunct/>
              <w:autoSpaceDE/>
              <w:autoSpaceDN/>
              <w:adjustRightInd/>
              <w:spacing w:after="120"/>
              <w:ind w:left="0" w:leftChars="0" w:firstLine="0" w:firstLineChars="0"/>
              <w:textAlignment w:val="auto"/>
              <w:rPr>
                <w:rFonts w:hint="default" w:eastAsia="宋体"/>
                <w:iCs/>
                <w:vertAlign w:val="baseline"/>
                <w:lang w:val="en-US" w:eastAsia="zh-CN"/>
              </w:rPr>
            </w:pPr>
            <w:r>
              <w:rPr>
                <w:sz w:val="24"/>
                <w:szCs w:val="16"/>
                <w:lang w:val="en-US"/>
              </w:rPr>
              <w:t>Sync raster</w:t>
            </w:r>
          </w:p>
        </w:tc>
        <w:tc>
          <w:tcPr>
            <w:tcW w:w="3386" w:type="dxa"/>
          </w:tcPr>
          <w:p w14:paraId="4B1D6DDB">
            <w:pPr>
              <w:pStyle w:val="151"/>
              <w:numPr>
                <w:ilvl w:val="0"/>
                <w:numId w:val="0"/>
              </w:numPr>
              <w:overflowPunct/>
              <w:autoSpaceDE/>
              <w:autoSpaceDN/>
              <w:adjustRightInd/>
              <w:spacing w:after="120"/>
              <w:textAlignment w:val="auto"/>
              <w:rPr>
                <w:rFonts w:hint="default"/>
                <w:iCs/>
                <w:vertAlign w:val="baseline"/>
                <w:lang w:val="en-US"/>
              </w:rPr>
            </w:pPr>
            <w:r>
              <w:rPr>
                <w:rFonts w:hint="eastAsia" w:eastAsia="宋体"/>
                <w:iCs/>
                <w:vertAlign w:val="baseline"/>
                <w:lang w:val="en-US" w:eastAsia="zh-CN"/>
              </w:rPr>
              <w:t>Yes?</w:t>
            </w:r>
          </w:p>
        </w:tc>
      </w:tr>
      <w:tr w14:paraId="06A1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Align w:val="top"/>
          </w:tcPr>
          <w:p w14:paraId="2ECC3517">
            <w:pPr>
              <w:pStyle w:val="151"/>
              <w:numPr>
                <w:ilvl w:val="0"/>
                <w:numId w:val="0"/>
              </w:numPr>
              <w:overflowPunct/>
              <w:autoSpaceDE/>
              <w:autoSpaceDN/>
              <w:adjustRightInd/>
              <w:spacing w:after="120"/>
              <w:ind w:left="0" w:leftChars="0" w:firstLine="0" w:firstLineChars="0"/>
              <w:textAlignment w:val="auto"/>
              <w:rPr>
                <w:iCs/>
                <w:vertAlign w:val="baseline"/>
              </w:rPr>
            </w:pPr>
            <w:r>
              <w:rPr>
                <w:rFonts w:hint="eastAsia" w:eastAsia="宋体"/>
                <w:iCs/>
                <w:vertAlign w:val="baseline"/>
                <w:lang w:val="en-US" w:eastAsia="zh-CN"/>
              </w:rPr>
              <w:t>Waveform</w:t>
            </w:r>
          </w:p>
        </w:tc>
        <w:tc>
          <w:tcPr>
            <w:tcW w:w="3386" w:type="dxa"/>
            <w:vAlign w:val="top"/>
          </w:tcPr>
          <w:p w14:paraId="6BEB5DD9">
            <w:pPr>
              <w:pStyle w:val="151"/>
              <w:numPr>
                <w:ilvl w:val="0"/>
                <w:numId w:val="0"/>
              </w:numPr>
              <w:overflowPunct/>
              <w:autoSpaceDE/>
              <w:autoSpaceDN/>
              <w:adjustRightInd/>
              <w:spacing w:after="120"/>
              <w:ind w:left="0" w:leftChars="0" w:firstLine="0" w:firstLineChars="0"/>
              <w:textAlignment w:val="auto"/>
              <w:rPr>
                <w:rFonts w:hint="eastAsia" w:eastAsia="宋体"/>
                <w:iCs/>
                <w:vertAlign w:val="baseline"/>
                <w:lang w:val="en-US" w:eastAsia="zh-CN"/>
              </w:rPr>
            </w:pPr>
            <w:r>
              <w:rPr>
                <w:rFonts w:hint="eastAsia" w:eastAsia="宋体"/>
                <w:iCs/>
                <w:vertAlign w:val="baseline"/>
                <w:lang w:val="en-US" w:eastAsia="zh-CN"/>
              </w:rPr>
              <w:t>Yes?</w:t>
            </w:r>
          </w:p>
        </w:tc>
      </w:tr>
      <w:tr w14:paraId="2CC0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Align w:val="top"/>
          </w:tcPr>
          <w:p w14:paraId="2E3B3DE1">
            <w:pPr>
              <w:pStyle w:val="151"/>
              <w:numPr>
                <w:ilvl w:val="0"/>
                <w:numId w:val="0"/>
              </w:numPr>
              <w:overflowPunct/>
              <w:autoSpaceDE/>
              <w:autoSpaceDN/>
              <w:adjustRightInd/>
              <w:spacing w:after="120"/>
              <w:ind w:left="0" w:leftChars="0" w:firstLine="0" w:firstLineChars="0"/>
              <w:textAlignment w:val="auto"/>
              <w:rPr>
                <w:iCs/>
                <w:vertAlign w:val="baseline"/>
              </w:rPr>
            </w:pPr>
            <w:r>
              <w:rPr>
                <w:rFonts w:hint="eastAsia" w:eastAsia="宋体"/>
                <w:iCs/>
                <w:vertAlign w:val="baseline"/>
                <w:lang w:val="en-US" w:eastAsia="zh-CN"/>
              </w:rPr>
              <w:t>Modulation</w:t>
            </w:r>
          </w:p>
        </w:tc>
        <w:tc>
          <w:tcPr>
            <w:tcW w:w="3386" w:type="dxa"/>
            <w:vAlign w:val="top"/>
          </w:tcPr>
          <w:p w14:paraId="724230E5">
            <w:pPr>
              <w:pStyle w:val="151"/>
              <w:numPr>
                <w:ilvl w:val="0"/>
                <w:numId w:val="0"/>
              </w:numPr>
              <w:overflowPunct/>
              <w:autoSpaceDE/>
              <w:autoSpaceDN/>
              <w:adjustRightInd/>
              <w:spacing w:after="120"/>
              <w:ind w:left="0" w:leftChars="0" w:firstLine="0" w:firstLineChars="0"/>
              <w:textAlignment w:val="auto"/>
              <w:rPr>
                <w:rFonts w:hint="eastAsia" w:eastAsia="宋体"/>
                <w:iCs/>
                <w:vertAlign w:val="baseline"/>
                <w:lang w:val="en-US" w:eastAsia="zh-CN"/>
              </w:rPr>
            </w:pPr>
            <w:r>
              <w:rPr>
                <w:rFonts w:hint="eastAsia" w:eastAsia="宋体"/>
                <w:iCs/>
                <w:vertAlign w:val="baseline"/>
                <w:lang w:val="en-US" w:eastAsia="zh-CN"/>
              </w:rPr>
              <w:t>Yes?</w:t>
            </w:r>
          </w:p>
        </w:tc>
      </w:tr>
      <w:tr w14:paraId="5E02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Align w:val="top"/>
          </w:tcPr>
          <w:p w14:paraId="01A03BFF">
            <w:pPr>
              <w:pStyle w:val="151"/>
              <w:numPr>
                <w:ilvl w:val="0"/>
                <w:numId w:val="0"/>
              </w:numPr>
              <w:overflowPunct/>
              <w:autoSpaceDE/>
              <w:autoSpaceDN/>
              <w:adjustRightInd/>
              <w:spacing w:after="120"/>
              <w:ind w:left="0" w:leftChars="0" w:firstLine="0" w:firstLineChars="0"/>
              <w:textAlignment w:val="auto"/>
              <w:rPr>
                <w:iCs/>
                <w:vertAlign w:val="baseline"/>
              </w:rPr>
            </w:pPr>
            <w:r>
              <w:rPr>
                <w:rFonts w:hint="eastAsia" w:eastAsia="宋体"/>
                <w:iCs/>
                <w:vertAlign w:val="baseline"/>
                <w:lang w:val="en-US" w:eastAsia="zh-CN"/>
              </w:rPr>
              <w:t>Channel bandwidth</w:t>
            </w:r>
          </w:p>
        </w:tc>
        <w:tc>
          <w:tcPr>
            <w:tcW w:w="3386" w:type="dxa"/>
            <w:vAlign w:val="top"/>
          </w:tcPr>
          <w:p w14:paraId="588D50B5">
            <w:pPr>
              <w:pStyle w:val="151"/>
              <w:numPr>
                <w:ilvl w:val="0"/>
                <w:numId w:val="0"/>
              </w:numPr>
              <w:overflowPunct/>
              <w:autoSpaceDE/>
              <w:autoSpaceDN/>
              <w:adjustRightInd/>
              <w:spacing w:after="120"/>
              <w:ind w:left="0" w:leftChars="0" w:firstLine="0" w:firstLineChars="0"/>
              <w:textAlignment w:val="auto"/>
              <w:rPr>
                <w:rFonts w:hint="eastAsia" w:eastAsia="宋体"/>
                <w:iCs/>
                <w:vertAlign w:val="baseline"/>
                <w:lang w:val="en-US" w:eastAsia="zh-CN"/>
              </w:rPr>
            </w:pPr>
            <w:r>
              <w:rPr>
                <w:rFonts w:hint="eastAsia" w:eastAsia="宋体"/>
                <w:iCs/>
                <w:vertAlign w:val="baseline"/>
                <w:lang w:val="en-US" w:eastAsia="zh-CN"/>
              </w:rPr>
              <w:t>Yes?</w:t>
            </w:r>
          </w:p>
        </w:tc>
      </w:tr>
    </w:tbl>
    <w:p w14:paraId="0E290A0A">
      <w:pPr>
        <w:pStyle w:val="151"/>
        <w:numPr>
          <w:ilvl w:val="0"/>
          <w:numId w:val="0"/>
        </w:numPr>
        <w:overflowPunct/>
        <w:autoSpaceDE/>
        <w:autoSpaceDN/>
        <w:adjustRightInd/>
        <w:spacing w:after="120"/>
        <w:ind w:left="720" w:leftChars="0"/>
        <w:textAlignment w:val="auto"/>
        <w:rPr>
          <w:iCs/>
        </w:rPr>
      </w:pPr>
    </w:p>
    <w:p w14:paraId="740525D0">
      <w:pPr>
        <w:keepNext/>
        <w:keepLines/>
        <w:pageBreakBefore w:val="0"/>
        <w:widowControl/>
        <w:numPr>
          <w:ilvl w:val="3"/>
          <w:numId w:val="0"/>
        </w:numPr>
        <w:kinsoku/>
        <w:wordWrap/>
        <w:overflowPunct/>
        <w:topLinePunct w:val="0"/>
        <w:autoSpaceDE/>
        <w:autoSpaceDN/>
        <w:bidi w:val="0"/>
        <w:adjustRightInd/>
        <w:snapToGrid/>
        <w:textAlignment w:val="auto"/>
        <w:outlineLvl w:val="9"/>
        <w:rPr>
          <w:rFonts w:hint="eastAsia" w:ascii="Times New Roman" w:hAnsi="Times New Roman"/>
          <w:b/>
          <w:bCs/>
          <w:color w:val="0070C0"/>
          <w:szCs w:val="24"/>
          <w:lang w:val="en-US" w:eastAsia="zh-CN"/>
        </w:rPr>
      </w:pPr>
    </w:p>
    <w:p w14:paraId="2EC5C824">
      <w:pPr>
        <w:pStyle w:val="3"/>
        <w:keepNext/>
        <w:keepLines/>
        <w:pageBreakBefore w:val="0"/>
        <w:widowControl/>
        <w:numPr>
          <w:ilvl w:val="-1"/>
          <w:numId w:val="0"/>
        </w:numPr>
        <w:kinsoku/>
        <w:wordWrap/>
        <w:overflowPunct/>
        <w:topLinePunct w:val="0"/>
        <w:autoSpaceDE/>
        <w:autoSpaceDN/>
        <w:bidi w:val="0"/>
        <w:adjustRightInd/>
        <w:snapToGrid/>
        <w:ind w:left="0" w:leftChars="0"/>
        <w:textAlignment w:val="auto"/>
        <w:outlineLvl w:val="1"/>
        <w:rPr>
          <w:lang w:eastAsia="ko-KR"/>
        </w:rPr>
      </w:pPr>
      <w:r>
        <w:rPr>
          <w:rFonts w:hint="eastAsia" w:ascii="Times New Roman" w:hAnsi="Times New Roman"/>
          <w:b/>
          <w:bCs/>
          <w:color w:val="0070C0"/>
          <w:szCs w:val="24"/>
          <w:lang w:val="en-US" w:eastAsia="zh-CN"/>
        </w:rPr>
        <w:t>Issue 2: Operating frequency range or band for 6G-5G MRSS</w:t>
      </w:r>
      <w:r>
        <w:rPr>
          <w:rFonts w:ascii="Times New Roman" w:hAnsi="Times New Roman"/>
          <w:b/>
          <w:bCs/>
          <w:color w:val="0070C0"/>
          <w:szCs w:val="24"/>
          <w:lang w:val="en-US"/>
        </w:rPr>
        <w:t xml:space="preserve"> </w:t>
      </w:r>
    </w:p>
    <w:p w14:paraId="6B1F3E14">
      <w:pPr>
        <w:pStyle w:val="151"/>
        <w:numPr>
          <w:ilvl w:val="0"/>
          <w:numId w:val="5"/>
        </w:numPr>
        <w:overflowPunct/>
        <w:autoSpaceDE/>
        <w:autoSpaceDN/>
        <w:adjustRightInd/>
        <w:spacing w:after="120"/>
        <w:ind w:left="720" w:firstLineChars="0"/>
        <w:textAlignment w:val="auto"/>
        <w:rPr>
          <w:rFonts w:hint="eastAsia" w:eastAsia="宋体"/>
          <w:color w:val="0070C0"/>
          <w:lang w:val="en-US" w:eastAsia="zh-CN"/>
        </w:rPr>
      </w:pPr>
      <w:r>
        <w:rPr>
          <w:rFonts w:hint="eastAsia" w:eastAsia="宋体"/>
          <w:color w:val="0070C0"/>
          <w:lang w:val="en-US" w:eastAsia="zh-CN"/>
        </w:rPr>
        <w:t>Proposals from companies:</w:t>
      </w:r>
    </w:p>
    <w:p w14:paraId="33C6BD81">
      <w:pPr>
        <w:pStyle w:val="151"/>
        <w:numPr>
          <w:ilvl w:val="1"/>
          <w:numId w:val="5"/>
        </w:numPr>
        <w:spacing w:after="120"/>
        <w:ind w:firstLineChars="0"/>
      </w:pPr>
      <w:r>
        <w:rPr>
          <w:rFonts w:hint="eastAsia" w:eastAsia="宋体"/>
        </w:rPr>
        <w:t>Option</w:t>
      </w:r>
      <w:r>
        <w:rPr>
          <w:rFonts w:hint="eastAsia"/>
        </w:rPr>
        <w:t xml:space="preserve"> 1 (Apple): </w:t>
      </w:r>
    </w:p>
    <w:p w14:paraId="415BB266">
      <w:pPr>
        <w:pStyle w:val="151"/>
        <w:numPr>
          <w:ilvl w:val="0"/>
          <w:numId w:val="6"/>
        </w:numPr>
        <w:spacing w:after="120"/>
        <w:ind w:firstLineChars="0"/>
      </w:pPr>
      <w:r>
        <w:rPr>
          <w:rFonts w:hint="eastAsia"/>
        </w:rPr>
        <w:t>RAN4 should prioritize 6G-5G MRSS in FR1.</w:t>
      </w:r>
    </w:p>
    <w:p w14:paraId="1754D672">
      <w:pPr>
        <w:pStyle w:val="151"/>
        <w:numPr>
          <w:ilvl w:val="0"/>
          <w:numId w:val="6"/>
        </w:numPr>
        <w:spacing w:after="120"/>
        <w:ind w:firstLineChars="0"/>
      </w:pPr>
      <w:r>
        <w:rPr>
          <w:rFonts w:hint="eastAsia"/>
        </w:rPr>
        <w:t>Prefer not to support MRSS in FR2 or treat it with low priority.</w:t>
      </w:r>
    </w:p>
    <w:p w14:paraId="79350D21">
      <w:pPr>
        <w:pStyle w:val="151"/>
        <w:numPr>
          <w:ilvl w:val="1"/>
          <w:numId w:val="5"/>
        </w:numPr>
        <w:spacing w:after="120"/>
        <w:ind w:firstLineChars="0"/>
      </w:pPr>
      <w:r>
        <w:rPr>
          <w:rFonts w:hint="eastAsia" w:eastAsia="宋体"/>
        </w:rPr>
        <w:t>Option</w:t>
      </w:r>
      <w:r>
        <w:rPr>
          <w:rFonts w:hint="eastAsia"/>
        </w:rPr>
        <w:t xml:space="preserve"> 2 (</w:t>
      </w:r>
      <w:r>
        <w:rPr>
          <w:rFonts w:hint="eastAsia" w:eastAsia="宋体"/>
        </w:rPr>
        <w:t>Samsung</w:t>
      </w:r>
      <w:r>
        <w:rPr>
          <w:rFonts w:hint="eastAsia"/>
        </w:rPr>
        <w:t>): RAN4 to focus on FR1 bands in MRSS discussion.</w:t>
      </w:r>
    </w:p>
    <w:p w14:paraId="798A0151">
      <w:pPr>
        <w:pStyle w:val="151"/>
        <w:numPr>
          <w:ilvl w:val="1"/>
          <w:numId w:val="5"/>
        </w:numPr>
        <w:spacing w:after="120"/>
        <w:ind w:firstLineChars="0"/>
      </w:pPr>
      <w:r>
        <w:rPr>
          <w:rFonts w:hint="eastAsia" w:eastAsia="宋体"/>
        </w:rPr>
        <w:t xml:space="preserve">Option 3 (CMCC): </w:t>
      </w:r>
    </w:p>
    <w:p w14:paraId="6BBDA02F">
      <w:pPr>
        <w:pStyle w:val="151"/>
        <w:numPr>
          <w:ilvl w:val="0"/>
          <w:numId w:val="6"/>
        </w:numPr>
        <w:spacing w:after="120"/>
        <w:ind w:firstLineChars="0"/>
      </w:pPr>
      <w:r>
        <w:t>For MRSS between 6GR and NR, it is proposed to focus on legacy bands where there is commercial NR deployment in FR1. FFS whether to consider MRSS for FR2-1.</w:t>
      </w:r>
    </w:p>
    <w:p w14:paraId="12D8BD42">
      <w:pPr>
        <w:pStyle w:val="151"/>
        <w:numPr>
          <w:ilvl w:val="0"/>
          <w:numId w:val="6"/>
        </w:numPr>
        <w:spacing w:after="120"/>
        <w:ind w:firstLineChars="0"/>
      </w:pPr>
      <w:r>
        <w:rPr>
          <w:rFonts w:hint="eastAsia"/>
        </w:rPr>
        <w:t>F</w:t>
      </w:r>
      <w:r>
        <w:t>or the legacy bands where there is no commercial NR deployment e.g. U6G, and new 6G spectrum, no need to consider MRSS</w:t>
      </w:r>
    </w:p>
    <w:p w14:paraId="4F49C46B">
      <w:pPr>
        <w:pStyle w:val="151"/>
        <w:numPr>
          <w:ilvl w:val="0"/>
          <w:numId w:val="6"/>
        </w:numPr>
        <w:spacing w:after="120"/>
        <w:ind w:firstLineChars="0"/>
      </w:pPr>
      <w:r>
        <w:t>it is proposed to support MRSS in both TDD and FDD</w:t>
      </w:r>
    </w:p>
    <w:p w14:paraId="7364DB1D">
      <w:pPr>
        <w:pStyle w:val="151"/>
        <w:numPr>
          <w:ilvl w:val="1"/>
          <w:numId w:val="5"/>
        </w:numPr>
        <w:spacing w:after="120"/>
        <w:ind w:firstLineChars="0"/>
      </w:pPr>
      <w:r>
        <w:rPr>
          <w:rFonts w:hint="eastAsia" w:eastAsia="宋体"/>
        </w:rPr>
        <w:t>Option 4 (CATT): both co-located and non co-located scenario should be considered</w:t>
      </w:r>
    </w:p>
    <w:p w14:paraId="1146E7D1">
      <w:pPr>
        <w:pStyle w:val="151"/>
        <w:numPr>
          <w:ilvl w:val="1"/>
          <w:numId w:val="5"/>
        </w:numPr>
        <w:spacing w:after="120"/>
        <w:ind w:firstLineChars="0"/>
        <w:rPr>
          <w:rFonts w:eastAsia="宋体"/>
        </w:rPr>
      </w:pPr>
      <w:r>
        <w:rPr>
          <w:rFonts w:hint="eastAsia" w:eastAsia="宋体"/>
        </w:rPr>
        <w:t>Option 6 (Xiaomi):</w:t>
      </w:r>
    </w:p>
    <w:p w14:paraId="085F83C0">
      <w:pPr>
        <w:pStyle w:val="151"/>
        <w:numPr>
          <w:ilvl w:val="0"/>
          <w:numId w:val="6"/>
        </w:numPr>
        <w:spacing w:after="120"/>
        <w:ind w:firstLineChars="0"/>
      </w:pPr>
      <w:r>
        <w:rPr>
          <w:rFonts w:hint="eastAsia" w:eastAsia="宋体"/>
        </w:rPr>
        <w:t xml:space="preserve">On spectrum sharing, focus on MRSS between 5G and 6G case in both FR1 (400MHz ~ </w:t>
      </w:r>
      <w:r>
        <w:rPr>
          <w:rFonts w:hint="eastAsia"/>
        </w:rPr>
        <w:t>7.125GHz) and FR2-1 (24.25GHz ~ 52.6GHz)</w:t>
      </w:r>
    </w:p>
    <w:p w14:paraId="20786CCB">
      <w:pPr>
        <w:pStyle w:val="151"/>
        <w:numPr>
          <w:ilvl w:val="1"/>
          <w:numId w:val="5"/>
        </w:numPr>
        <w:spacing w:after="120"/>
        <w:ind w:firstLineChars="0"/>
      </w:pPr>
      <w:r>
        <w:rPr>
          <w:rFonts w:hint="eastAsia"/>
        </w:rPr>
        <w:t>Option 7 (Spreadtrum, UNISOC): Co-existence between 5G and 6G for MRSS should be considered, we can focus on FR1 bands.</w:t>
      </w:r>
    </w:p>
    <w:p w14:paraId="0BA2BC73">
      <w:pPr>
        <w:pStyle w:val="151"/>
        <w:numPr>
          <w:ilvl w:val="1"/>
          <w:numId w:val="5"/>
        </w:numPr>
        <w:spacing w:after="120"/>
        <w:ind w:firstLineChars="0"/>
      </w:pPr>
      <w:r>
        <w:rPr>
          <w:rFonts w:hint="eastAsia"/>
        </w:rPr>
        <w:t>Option 8 (OPPO): 5G-6G MRSS operation priority on FR1 up to 7.125GHz spectrum, FR2-1 (24.25 GHz – 52.6GHz) can be considered base on the interest of industry</w:t>
      </w:r>
    </w:p>
    <w:p w14:paraId="4DC1EA96">
      <w:pPr>
        <w:pStyle w:val="151"/>
        <w:numPr>
          <w:ilvl w:val="0"/>
          <w:numId w:val="0"/>
        </w:numPr>
        <w:spacing w:after="120"/>
        <w:rPr>
          <w:rFonts w:hint="default" w:eastAsia="宋体"/>
          <w:bCs/>
          <w:lang w:val="en-US" w:eastAsia="zh-CN"/>
        </w:rPr>
      </w:pPr>
    </w:p>
    <w:p w14:paraId="59F11297">
      <w:pPr>
        <w:pStyle w:val="151"/>
        <w:numPr>
          <w:ilvl w:val="0"/>
          <w:numId w:val="5"/>
        </w:numPr>
        <w:overflowPunct/>
        <w:autoSpaceDE/>
        <w:autoSpaceDN/>
        <w:adjustRightInd/>
        <w:spacing w:after="120"/>
        <w:ind w:left="720" w:firstLineChars="0"/>
        <w:textAlignment w:val="auto"/>
        <w:rPr>
          <w:rFonts w:hint="eastAsia" w:eastAsia="宋体"/>
          <w:color w:val="0070C0"/>
          <w:lang w:val="en-US" w:eastAsia="zh-CN"/>
        </w:rPr>
      </w:pPr>
      <w:r>
        <w:rPr>
          <w:rFonts w:hint="eastAsia" w:eastAsia="宋体"/>
          <w:color w:val="0070C0"/>
          <w:lang w:val="en-US" w:eastAsia="zh-CN"/>
        </w:rPr>
        <w:t>Discuss following points:</w:t>
      </w:r>
    </w:p>
    <w:p w14:paraId="477E5EDC">
      <w:pPr>
        <w:pStyle w:val="151"/>
        <w:numPr>
          <w:ilvl w:val="0"/>
          <w:numId w:val="7"/>
        </w:numPr>
        <w:tabs>
          <w:tab w:val="left" w:pos="1680"/>
          <w:tab w:val="clear" w:pos="840"/>
        </w:tabs>
        <w:spacing w:after="120"/>
        <w:ind w:left="1260" w:leftChars="0" w:firstLineChars="0"/>
      </w:pPr>
      <w:r>
        <w:rPr>
          <w:rFonts w:hint="eastAsia"/>
        </w:rPr>
        <w:t>RAN4 prioritize 6G-5G MRSS in FR1</w:t>
      </w:r>
    </w:p>
    <w:p w14:paraId="63F2F821">
      <w:pPr>
        <w:pStyle w:val="151"/>
        <w:numPr>
          <w:ilvl w:val="0"/>
          <w:numId w:val="7"/>
        </w:numPr>
        <w:tabs>
          <w:tab w:val="left" w:pos="1680"/>
          <w:tab w:val="clear" w:pos="840"/>
        </w:tabs>
        <w:spacing w:after="120"/>
        <w:ind w:left="1260" w:leftChars="0" w:firstLineChars="0"/>
      </w:pPr>
      <w:r>
        <w:rPr>
          <w:rFonts w:hint="eastAsia"/>
        </w:rPr>
        <w:t>FFS whether to consider 6G-5G MRSS in FR2-1</w:t>
      </w:r>
    </w:p>
    <w:p w14:paraId="0741830E">
      <w:pPr>
        <w:pStyle w:val="151"/>
        <w:numPr>
          <w:ilvl w:val="0"/>
          <w:numId w:val="7"/>
        </w:numPr>
        <w:tabs>
          <w:tab w:val="left" w:pos="1680"/>
          <w:tab w:val="clear" w:pos="840"/>
        </w:tabs>
        <w:spacing w:after="120"/>
        <w:ind w:left="1260" w:leftChars="0" w:firstLineChars="0"/>
      </w:pPr>
      <w:r>
        <w:rPr>
          <w:rFonts w:hint="eastAsia" w:eastAsia="宋体"/>
          <w:lang w:val="en-US" w:eastAsia="zh-CN"/>
        </w:rPr>
        <w:t>N</w:t>
      </w:r>
      <w:r>
        <w:t>o need to consider MRSS</w:t>
      </w:r>
      <w:r>
        <w:rPr>
          <w:rFonts w:hint="eastAsia"/>
        </w:rPr>
        <w:t xml:space="preserve"> for legacy bands where there is no commercial NR deployment e.g. U6G, and new 6G spectrum</w:t>
      </w:r>
    </w:p>
    <w:p w14:paraId="09D37617">
      <w:pPr>
        <w:rPr>
          <w:rFonts w:eastAsia="宋体"/>
          <w:lang w:eastAsia="ko-KR"/>
        </w:rPr>
      </w:pPr>
    </w:p>
    <w:p w14:paraId="2DA1199E">
      <w:pPr>
        <w:pStyle w:val="3"/>
        <w:keepNext/>
        <w:keepLines/>
        <w:pageBreakBefore w:val="0"/>
        <w:widowControl/>
        <w:numPr>
          <w:ilvl w:val="-1"/>
          <w:numId w:val="0"/>
        </w:numPr>
        <w:kinsoku/>
        <w:wordWrap/>
        <w:overflowPunct/>
        <w:topLinePunct w:val="0"/>
        <w:autoSpaceDE/>
        <w:autoSpaceDN/>
        <w:bidi w:val="0"/>
        <w:adjustRightInd/>
        <w:snapToGrid/>
        <w:ind w:left="0" w:leftChars="0"/>
        <w:textAlignment w:val="auto"/>
        <w:outlineLvl w:val="1"/>
        <w:rPr>
          <w:rFonts w:hint="eastAsia" w:ascii="Times New Roman" w:hAnsi="Times New Roman"/>
          <w:b/>
          <w:bCs/>
          <w:color w:val="0070C0"/>
          <w:szCs w:val="24"/>
          <w:lang w:val="en-US" w:eastAsia="ko-KR"/>
        </w:rPr>
      </w:pPr>
      <w:r>
        <w:rPr>
          <w:rFonts w:hint="eastAsia" w:ascii="Times New Roman" w:hAnsi="Times New Roman"/>
          <w:b/>
          <w:bCs/>
          <w:color w:val="0070C0"/>
          <w:szCs w:val="24"/>
          <w:lang w:val="en-US" w:eastAsia="zh-CN"/>
        </w:rPr>
        <w:t>Issue 3: Migration scheme</w:t>
      </w:r>
    </w:p>
    <w:p w14:paraId="07132ECC">
      <w:pPr>
        <w:rPr>
          <w:rFonts w:eastAsia="宋体"/>
          <w:lang w:eastAsia="ko-KR"/>
        </w:rPr>
      </w:pPr>
    </w:p>
    <w:tbl>
      <w:tblPr>
        <w:tblStyle w:val="5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6774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14:paraId="350979F2">
            <w:pPr>
              <w:pStyle w:val="151"/>
              <w:spacing w:after="120"/>
              <w:ind w:firstLine="0" w:firstLineChars="0"/>
              <w:jc w:val="both"/>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SID on 6G radio (RP-25</w:t>
            </w:r>
            <w:r>
              <w:rPr>
                <w:rFonts w:hint="eastAsia" w:eastAsia="宋体"/>
                <w:b/>
                <w:bCs/>
                <w:color w:val="000000" w:themeColor="text1"/>
                <w:lang w:val="en-US" w:eastAsia="zh-CN"/>
                <w14:textFill>
                  <w14:solidFill>
                    <w14:schemeClr w14:val="tx1"/>
                  </w14:solidFill>
                </w14:textFill>
              </w:rPr>
              <w:t>2912</w:t>
            </w:r>
            <w:r>
              <w:rPr>
                <w:rFonts w:hint="eastAsia" w:eastAsia="宋体"/>
                <w:b/>
                <w:bCs/>
                <w:color w:val="000000" w:themeColor="text1"/>
                <w14:textFill>
                  <w14:solidFill>
                    <w14:schemeClr w14:val="tx1"/>
                  </w14:solidFill>
                </w14:textFill>
              </w:rPr>
              <w:t>)</w:t>
            </w:r>
          </w:p>
          <w:p w14:paraId="11E6821D">
            <w:pPr>
              <w:pStyle w:val="151"/>
              <w:numPr>
                <w:ilvl w:val="0"/>
                <w:numId w:val="0"/>
              </w:numPr>
              <w:spacing w:after="120"/>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(7) </w:t>
            </w:r>
            <w:r>
              <w:rPr>
                <w:color w:val="000000" w:themeColor="text1"/>
                <w14:textFill>
                  <w14:solidFill>
                    <w14:schemeClr w14:val="tx1"/>
                  </w14:solidFill>
                </w14:textFill>
              </w:rPr>
              <w:t>Migration from 5G NR to 6GR as well as interworking and mobility between 5G NR and 6GR:</w:t>
            </w:r>
          </w:p>
          <w:p w14:paraId="77476463">
            <w:pPr>
              <w:pStyle w:val="151"/>
              <w:numPr>
                <w:ilvl w:val="0"/>
                <w:numId w:val="8"/>
              </w:numPr>
              <w:spacing w:after="120"/>
              <w:ind w:left="840" w:leftChars="0" w:firstLineChars="0"/>
              <w:rPr>
                <w:color w:val="000000" w:themeColor="text1"/>
                <w14:textFill>
                  <w14:solidFill>
                    <w14:schemeClr w14:val="tx1"/>
                  </w14:solidFill>
                </w14:textFill>
              </w:rPr>
            </w:pPr>
            <w:r>
              <w:rPr>
                <w:color w:val="000000" w:themeColor="text1"/>
                <w14:textFill>
                  <w14:solidFill>
                    <w14:schemeClr w14:val="tx1"/>
                  </w14:solidFill>
                </w14:textFill>
              </w:rPr>
              <w:t>5G-6G Multi-RAT Spectrum Sharing for migration [RAN1</w:t>
            </w:r>
            <w:r>
              <w:rPr>
                <w:rFonts w:hint="eastAsia"/>
                <w:color w:val="000000" w:themeColor="text1"/>
                <w:lang w:eastAsia="ja-JP"/>
                <w14:textFill>
                  <w14:solidFill>
                    <w14:schemeClr w14:val="tx1"/>
                  </w14:solidFill>
                </w14:textFill>
              </w:rPr>
              <w:t>,</w:t>
            </w:r>
            <w:r>
              <w:rPr>
                <w:color w:val="000000" w:themeColor="text1"/>
                <w14:textFill>
                  <w14:solidFill>
                    <w14:schemeClr w14:val="tx1"/>
                  </w14:solidFill>
                </w14:textFill>
              </w:rPr>
              <w:t xml:space="preserve"> RAN2, RAN4, RAN3]</w:t>
            </w:r>
          </w:p>
          <w:p w14:paraId="566EC3A3">
            <w:pPr>
              <w:pStyle w:val="151"/>
              <w:numPr>
                <w:ilvl w:val="0"/>
                <w:numId w:val="8"/>
              </w:numPr>
              <w:spacing w:after="120"/>
              <w:ind w:left="840" w:leftChars="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Study if any additional </w:t>
            </w:r>
            <w:r>
              <w:rPr>
                <w:rFonts w:hint="eastAsia"/>
                <w:color w:val="000000" w:themeColor="text1"/>
                <w:lang w:eastAsia="ja-JP"/>
                <w14:textFill>
                  <w14:solidFill>
                    <w14:schemeClr w14:val="tx1"/>
                  </w14:solidFill>
                </w14:textFill>
              </w:rPr>
              <w:t>migration</w:t>
            </w:r>
            <w:r>
              <w:rPr>
                <w:color w:val="000000" w:themeColor="text1"/>
                <w14:textFill>
                  <w14:solidFill>
                    <w14:schemeClr w14:val="tx1"/>
                  </w14:solidFill>
                </w14:textFill>
              </w:rPr>
              <w:t xml:space="preserve"> </w:t>
            </w:r>
            <w:r>
              <w:rPr>
                <w:rFonts w:hint="eastAsia"/>
                <w:color w:val="000000" w:themeColor="text1"/>
                <w:lang w:eastAsia="ja-JP"/>
                <w14:textFill>
                  <w14:solidFill>
                    <w14:schemeClr w14:val="tx1"/>
                  </w14:solidFill>
                </w14:textFill>
              </w:rPr>
              <w:t>option(s)</w:t>
            </w:r>
            <w:r>
              <w:rPr>
                <w:color w:val="000000" w:themeColor="text1"/>
                <w14:textFill>
                  <w14:solidFill>
                    <w14:schemeClr w14:val="tx1"/>
                  </w14:solidFill>
                </w14:textFill>
              </w:rPr>
              <w:t xml:space="preserve"> is </w:t>
            </w:r>
            <w:r>
              <w:rPr>
                <w:rFonts w:hint="eastAsia"/>
                <w:color w:val="000000" w:themeColor="text1"/>
                <w:lang w:eastAsia="ja-JP"/>
                <w14:textFill>
                  <w14:solidFill>
                    <w14:schemeClr w14:val="tx1"/>
                  </w14:solidFill>
                </w14:textFill>
              </w:rPr>
              <w:t>needed (</w:t>
            </w:r>
            <w:r>
              <w:rPr>
                <w:color w:val="000000" w:themeColor="text1"/>
                <w:lang w:eastAsia="ja-JP"/>
                <w14:textFill>
                  <w14:solidFill>
                    <w14:schemeClr w14:val="tx1"/>
                  </w14:solidFill>
                </w14:textFill>
              </w:rPr>
              <w:t>other</w:t>
            </w:r>
            <w:r>
              <w:rPr>
                <w:rFonts w:hint="eastAsia"/>
                <w:color w:val="000000" w:themeColor="text1"/>
                <w:lang w:eastAsia="ja-JP"/>
                <w14:textFill>
                  <w14:solidFill>
                    <w14:schemeClr w14:val="tx1"/>
                  </w14:solidFill>
                </w14:textFill>
              </w:rPr>
              <w:t xml:space="preserve"> than standalone, MRSS, and inter-RAT mobility between NR-6G)</w:t>
            </w:r>
            <w:r>
              <w:rPr>
                <w:color w:val="000000" w:themeColor="text1"/>
                <w14:textFill>
                  <w14:solidFill>
                    <w14:schemeClr w14:val="tx1"/>
                  </w14:solidFill>
                </w14:textFill>
              </w:rPr>
              <w:t>. [RAN] [RAN2, RAN1, RAN3, RAN4]</w:t>
            </w:r>
            <w:r>
              <w:rPr>
                <w:color w:val="000000" w:themeColor="text1"/>
                <w14:textFill>
                  <w14:solidFill>
                    <w14:schemeClr w14:val="tx1"/>
                  </w14:solidFill>
                </w14:textFill>
              </w:rPr>
              <w:br w:type="textWrapping"/>
            </w:r>
            <w:r>
              <w:rPr>
                <w:rFonts w:hint="eastAsia"/>
                <w:color w:val="000000" w:themeColor="text1"/>
                <w:lang w:eastAsia="ja-JP"/>
                <w14:textFill>
                  <w14:solidFill>
                    <w14:schemeClr w14:val="tx1"/>
                  </w14:solidFill>
                </w14:textFill>
              </w:rPr>
              <w:t>RAN plenary starts this study in March 2026 and will make a decision by September 2026 whether to expand WG SI scope to cover additional migration option(s).</w:t>
            </w:r>
          </w:p>
          <w:p w14:paraId="2F4B7EC2">
            <w:pPr>
              <w:pStyle w:val="151"/>
              <w:numPr>
                <w:ilvl w:val="0"/>
                <w:numId w:val="8"/>
              </w:numPr>
              <w:spacing w:after="120"/>
              <w:ind w:left="840" w:leftChars="0" w:firstLineChars="0"/>
              <w:rPr>
                <w:color w:val="000000" w:themeColor="text1"/>
                <w14:textFill>
                  <w14:solidFill>
                    <w14:schemeClr w14:val="tx1"/>
                  </w14:solidFill>
                </w14:textFill>
              </w:rPr>
            </w:pPr>
            <w:r>
              <w:rPr>
                <w:color w:val="000000" w:themeColor="text1"/>
                <w14:textFill>
                  <w14:solidFill>
                    <w14:schemeClr w14:val="tx1"/>
                  </w14:solidFill>
                </w14:textFill>
              </w:rPr>
              <w:t>Mobility between 5G NR and 6GR [RAN2, RAN3, RAN4]</w:t>
            </w:r>
          </w:p>
          <w:p w14:paraId="5F3616BD">
            <w:pPr>
              <w:spacing w:after="120"/>
              <w:rPr>
                <w:bCs/>
              </w:rPr>
            </w:pPr>
            <w:r>
              <w:rPr>
                <w:rFonts w:hint="eastAsia"/>
                <w:color w:val="000000" w:themeColor="text1"/>
                <w:lang w:eastAsia="ja-JP"/>
                <w14:textFill>
                  <w14:solidFill>
                    <w14:schemeClr w14:val="tx1"/>
                  </w14:solidFill>
                </w14:textFill>
              </w:rPr>
              <w:t xml:space="preserve">Note: </w:t>
            </w:r>
            <w:r>
              <w:rPr>
                <w:color w:val="000000" w:themeColor="text1"/>
                <w:lang w:eastAsia="ja-JP"/>
                <w14:textFill>
                  <w14:solidFill>
                    <w14:schemeClr w14:val="tx1"/>
                  </w14:solidFill>
                </w14:textFill>
              </w:rPr>
              <w:t>Inclusion</w:t>
            </w:r>
            <w:r>
              <w:rPr>
                <w:rFonts w:hint="eastAsia"/>
                <w:color w:val="000000" w:themeColor="text1"/>
                <w:lang w:eastAsia="ja-JP"/>
                <w14:textFill>
                  <w14:solidFill>
                    <w14:schemeClr w14:val="tx1"/>
                  </w14:solidFill>
                </w14:textFill>
              </w:rPr>
              <w:t xml:space="preserve"> of LTE/6G interworking/coexistence aspects may be further discussed based on the requirement from RAN plenary</w:t>
            </w:r>
          </w:p>
        </w:tc>
      </w:tr>
    </w:tbl>
    <w:p w14:paraId="2471A28B">
      <w:pPr>
        <w:rPr>
          <w:rFonts w:eastAsia="宋体"/>
          <w:lang w:eastAsia="ko-KR"/>
        </w:rPr>
      </w:pPr>
    </w:p>
    <w:p w14:paraId="2CDEAD7A">
      <w:pPr>
        <w:pStyle w:val="151"/>
        <w:numPr>
          <w:ilvl w:val="0"/>
          <w:numId w:val="5"/>
        </w:numPr>
        <w:overflowPunct/>
        <w:autoSpaceDE/>
        <w:autoSpaceDN/>
        <w:adjustRightInd/>
        <w:spacing w:after="120"/>
        <w:ind w:left="720" w:firstLineChars="0"/>
        <w:textAlignment w:val="auto"/>
        <w:rPr>
          <w:rFonts w:hint="default" w:eastAsia="宋体"/>
          <w:color w:val="0070C0"/>
          <w:lang w:val="en-US" w:eastAsia="zh-CN"/>
        </w:rPr>
      </w:pPr>
      <w:r>
        <w:rPr>
          <w:rFonts w:hint="eastAsia" w:eastAsia="宋体"/>
          <w:color w:val="0070C0"/>
          <w:lang w:val="en-US" w:eastAsia="zh-CN"/>
        </w:rPr>
        <w:t>Discuss following points:</w:t>
      </w:r>
    </w:p>
    <w:p w14:paraId="18D2B4F2">
      <w:pPr>
        <w:pStyle w:val="151"/>
        <w:numPr>
          <w:ilvl w:val="0"/>
          <w:numId w:val="9"/>
        </w:numPr>
        <w:tabs>
          <w:tab w:val="left" w:pos="420"/>
          <w:tab w:val="clear" w:pos="840"/>
        </w:tabs>
        <w:spacing w:after="120"/>
        <w:ind w:left="1260" w:leftChars="0" w:hanging="420" w:firstLineChars="0"/>
      </w:pPr>
      <w:r>
        <w:rPr>
          <w:rFonts w:hint="eastAsia"/>
        </w:rPr>
        <w:t>RAN4 focus on MRSS between 6GR and NR</w:t>
      </w:r>
    </w:p>
    <w:p w14:paraId="27976953">
      <w:pPr>
        <w:pStyle w:val="151"/>
        <w:numPr>
          <w:ilvl w:val="0"/>
          <w:numId w:val="9"/>
        </w:numPr>
        <w:tabs>
          <w:tab w:val="left" w:pos="420"/>
          <w:tab w:val="clear" w:pos="840"/>
        </w:tabs>
        <w:spacing w:after="120"/>
        <w:ind w:left="1260" w:leftChars="0" w:hanging="420" w:firstLineChars="0"/>
      </w:pPr>
      <w:r>
        <w:rPr>
          <w:rFonts w:hint="eastAsia"/>
        </w:rPr>
        <w:t>RAN4 focus on inter-RAT mobility between 6GR and NR</w:t>
      </w:r>
    </w:p>
    <w:p w14:paraId="03BC0C9E">
      <w:pPr>
        <w:pStyle w:val="151"/>
        <w:numPr>
          <w:ilvl w:val="0"/>
          <w:numId w:val="9"/>
        </w:numPr>
        <w:tabs>
          <w:tab w:val="left" w:pos="420"/>
          <w:tab w:val="clear" w:pos="840"/>
        </w:tabs>
        <w:spacing w:after="120"/>
        <w:ind w:left="1260" w:leftChars="0" w:hanging="420" w:firstLineChars="0"/>
        <w:rPr>
          <w:rFonts w:hint="default" w:eastAsia="宋体"/>
          <w:lang w:val="en-US" w:eastAsia="zh-CN"/>
        </w:rPr>
      </w:pPr>
      <w:r>
        <w:rPr>
          <w:rFonts w:hint="eastAsia"/>
        </w:rPr>
        <w:t xml:space="preserve">FFS </w:t>
      </w:r>
      <w:r>
        <w:rPr>
          <w:rFonts w:hint="eastAsia" w:eastAsia="宋体"/>
          <w:lang w:val="en-US" w:eastAsia="zh-CN"/>
        </w:rPr>
        <w:t>spectrum sharing between 6GR and NB-IoT, spectrum sharing between 6GR and eMTC.</w:t>
      </w:r>
    </w:p>
    <w:p w14:paraId="09B8AF2D">
      <w:pPr>
        <w:pStyle w:val="151"/>
        <w:numPr>
          <w:ilvl w:val="0"/>
          <w:numId w:val="9"/>
        </w:numPr>
        <w:tabs>
          <w:tab w:val="left" w:pos="420"/>
          <w:tab w:val="clear" w:pos="840"/>
        </w:tabs>
        <w:spacing w:after="120"/>
        <w:ind w:left="1260" w:leftChars="0" w:hanging="420" w:firstLineChars="0"/>
        <w:rPr>
          <w:rFonts w:hint="default" w:eastAsia="宋体"/>
          <w:lang w:val="en-US" w:eastAsia="zh-CN"/>
        </w:rPr>
      </w:pPr>
      <w:r>
        <w:rPr>
          <w:rFonts w:hint="eastAsia" w:eastAsia="宋体"/>
          <w:lang w:val="en-US" w:eastAsia="zh-CN"/>
        </w:rPr>
        <w:t>Other migration scheme, e.g. dual stack, is up to RAN plenary decision</w:t>
      </w:r>
    </w:p>
    <w:p w14:paraId="4B9CBFB2">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20204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9A45"/>
    <w:multiLevelType w:val="singleLevel"/>
    <w:tmpl w:val="80879A45"/>
    <w:lvl w:ilvl="0" w:tentative="0">
      <w:start w:val="1"/>
      <w:numFmt w:val="bullet"/>
      <w:lvlText w:val=""/>
      <w:lvlJc w:val="left"/>
      <w:pPr>
        <w:tabs>
          <w:tab w:val="left" w:pos="840"/>
        </w:tabs>
        <w:ind w:left="1260" w:hanging="420"/>
      </w:pPr>
      <w:rPr>
        <w:rFonts w:hint="default" w:ascii="Wingdings" w:hAnsi="Wingdings"/>
      </w:rPr>
    </w:lvl>
  </w:abstractNum>
  <w:abstractNum w:abstractNumId="1">
    <w:nsid w:val="B94F13C1"/>
    <w:multiLevelType w:val="multilevel"/>
    <w:tmpl w:val="B94F13C1"/>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2">
    <w:nsid w:val="FB6994D2"/>
    <w:multiLevelType w:val="singleLevel"/>
    <w:tmpl w:val="FB6994D2"/>
    <w:lvl w:ilvl="0" w:tentative="0">
      <w:start w:val="1"/>
      <w:numFmt w:val="bullet"/>
      <w:lvlText w:val=""/>
      <w:lvlJc w:val="left"/>
      <w:pPr>
        <w:tabs>
          <w:tab w:val="left" w:pos="840"/>
        </w:tabs>
        <w:ind w:left="1260" w:hanging="420"/>
      </w:pPr>
      <w:rPr>
        <w:rFonts w:hint="default" w:ascii="Wingdings" w:hAnsi="Wingdings"/>
      </w:rPr>
    </w:lvl>
  </w:abstractNum>
  <w:abstractNum w:abstractNumId="3">
    <w:nsid w:val="1DC70AF4"/>
    <w:multiLevelType w:val="multilevel"/>
    <w:tmpl w:val="1DC70AF4"/>
    <w:lvl w:ilvl="0" w:tentative="0">
      <w:start w:val="1"/>
      <w:numFmt w:val="lowerLetter"/>
      <w:lvlText w:val="%1)"/>
      <w:lvlJc w:val="left"/>
      <w:pPr>
        <w:tabs>
          <w:tab w:val="left" w:pos="-840"/>
        </w:tabs>
        <w:ind w:left="840" w:hanging="360"/>
      </w:pPr>
    </w:lvl>
    <w:lvl w:ilvl="1" w:tentative="0">
      <w:start w:val="1"/>
      <w:numFmt w:val="lowerLetter"/>
      <w:lvlText w:val="%2."/>
      <w:lvlJc w:val="left"/>
      <w:pPr>
        <w:tabs>
          <w:tab w:val="left" w:pos="-840"/>
        </w:tabs>
        <w:ind w:left="1560" w:hanging="360"/>
      </w:pPr>
    </w:lvl>
    <w:lvl w:ilvl="2" w:tentative="0">
      <w:start w:val="1"/>
      <w:numFmt w:val="lowerRoman"/>
      <w:lvlText w:val="%3."/>
      <w:lvlJc w:val="right"/>
      <w:pPr>
        <w:tabs>
          <w:tab w:val="left" w:pos="-840"/>
        </w:tabs>
        <w:ind w:left="2280" w:hanging="180"/>
      </w:pPr>
    </w:lvl>
    <w:lvl w:ilvl="3" w:tentative="0">
      <w:start w:val="1"/>
      <w:numFmt w:val="decimal"/>
      <w:lvlText w:val="%4."/>
      <w:lvlJc w:val="left"/>
      <w:pPr>
        <w:tabs>
          <w:tab w:val="left" w:pos="-840"/>
        </w:tabs>
        <w:ind w:left="3000" w:hanging="360"/>
      </w:pPr>
    </w:lvl>
    <w:lvl w:ilvl="4" w:tentative="0">
      <w:start w:val="1"/>
      <w:numFmt w:val="lowerLetter"/>
      <w:lvlText w:val="%5."/>
      <w:lvlJc w:val="left"/>
      <w:pPr>
        <w:tabs>
          <w:tab w:val="left" w:pos="-840"/>
        </w:tabs>
        <w:ind w:left="3720" w:hanging="360"/>
      </w:pPr>
    </w:lvl>
    <w:lvl w:ilvl="5" w:tentative="0">
      <w:start w:val="1"/>
      <w:numFmt w:val="lowerRoman"/>
      <w:lvlText w:val="%6."/>
      <w:lvlJc w:val="right"/>
      <w:pPr>
        <w:tabs>
          <w:tab w:val="left" w:pos="-840"/>
        </w:tabs>
        <w:ind w:left="4440" w:hanging="180"/>
      </w:pPr>
    </w:lvl>
    <w:lvl w:ilvl="6" w:tentative="0">
      <w:start w:val="1"/>
      <w:numFmt w:val="decimal"/>
      <w:lvlText w:val="%7."/>
      <w:lvlJc w:val="left"/>
      <w:pPr>
        <w:tabs>
          <w:tab w:val="left" w:pos="-840"/>
        </w:tabs>
        <w:ind w:left="5160" w:hanging="360"/>
      </w:pPr>
    </w:lvl>
    <w:lvl w:ilvl="7" w:tentative="0">
      <w:start w:val="1"/>
      <w:numFmt w:val="lowerLetter"/>
      <w:lvlText w:val="%8."/>
      <w:lvlJc w:val="left"/>
      <w:pPr>
        <w:tabs>
          <w:tab w:val="left" w:pos="-840"/>
        </w:tabs>
        <w:ind w:left="5880" w:hanging="360"/>
      </w:pPr>
    </w:lvl>
    <w:lvl w:ilvl="8" w:tentative="0">
      <w:start w:val="1"/>
      <w:numFmt w:val="lowerRoman"/>
      <w:lvlText w:val="%9."/>
      <w:lvlJc w:val="right"/>
      <w:pPr>
        <w:tabs>
          <w:tab w:val="left" w:pos="-840"/>
        </w:tabs>
        <w:ind w:left="6600" w:hanging="180"/>
      </w:pPr>
    </w:lvl>
  </w:abstractNum>
  <w:abstractNum w:abstractNumId="4">
    <w:nsid w:val="2D9D23D2"/>
    <w:multiLevelType w:val="multilevel"/>
    <w:tmpl w:val="2D9D2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8">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5"/>
  </w:num>
  <w:num w:numId="2">
    <w:abstractNumId w:val="7"/>
  </w:num>
  <w:num w:numId="3">
    <w:abstractNumId w:val="6"/>
  </w:num>
  <w:num w:numId="4">
    <w:abstractNumId w:val="4"/>
  </w:num>
  <w:num w:numId="5">
    <w:abstractNumId w:val="8"/>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C934B3"/>
    <w:rsid w:val="01DD0CBF"/>
    <w:rsid w:val="01F0403A"/>
    <w:rsid w:val="0205655E"/>
    <w:rsid w:val="02746344"/>
    <w:rsid w:val="03076F74"/>
    <w:rsid w:val="03125417"/>
    <w:rsid w:val="03502CFD"/>
    <w:rsid w:val="039939F3"/>
    <w:rsid w:val="039E635A"/>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2F1B1B"/>
    <w:rsid w:val="095B4567"/>
    <w:rsid w:val="096F3207"/>
    <w:rsid w:val="09CB187F"/>
    <w:rsid w:val="0A2B60CA"/>
    <w:rsid w:val="0A876FC3"/>
    <w:rsid w:val="0A9F1191"/>
    <w:rsid w:val="0AE61AEF"/>
    <w:rsid w:val="0B191045"/>
    <w:rsid w:val="0B911F88"/>
    <w:rsid w:val="0BBD1B53"/>
    <w:rsid w:val="0C0B70D6"/>
    <w:rsid w:val="0C3C3B7A"/>
    <w:rsid w:val="0CB57BDE"/>
    <w:rsid w:val="0D4A169E"/>
    <w:rsid w:val="0D8A1BD2"/>
    <w:rsid w:val="0DC331A1"/>
    <w:rsid w:val="0EC465C7"/>
    <w:rsid w:val="0F581039"/>
    <w:rsid w:val="0F5A453C"/>
    <w:rsid w:val="0F8F73A3"/>
    <w:rsid w:val="10A9267A"/>
    <w:rsid w:val="10CF0651"/>
    <w:rsid w:val="10D95CB2"/>
    <w:rsid w:val="10F041A7"/>
    <w:rsid w:val="11620195"/>
    <w:rsid w:val="11DD2EDC"/>
    <w:rsid w:val="122468D8"/>
    <w:rsid w:val="122F4065"/>
    <w:rsid w:val="12371157"/>
    <w:rsid w:val="13BC126E"/>
    <w:rsid w:val="13EF7A5B"/>
    <w:rsid w:val="13F42529"/>
    <w:rsid w:val="1456146C"/>
    <w:rsid w:val="14815698"/>
    <w:rsid w:val="14D93FE7"/>
    <w:rsid w:val="15737AE9"/>
    <w:rsid w:val="15A90E19"/>
    <w:rsid w:val="15CD1628"/>
    <w:rsid w:val="1602720D"/>
    <w:rsid w:val="160D52BA"/>
    <w:rsid w:val="163A6417"/>
    <w:rsid w:val="16404810"/>
    <w:rsid w:val="16566238"/>
    <w:rsid w:val="166B60CA"/>
    <w:rsid w:val="16B45E26"/>
    <w:rsid w:val="17552D32"/>
    <w:rsid w:val="184E6AEE"/>
    <w:rsid w:val="184F676E"/>
    <w:rsid w:val="18833745"/>
    <w:rsid w:val="189C3AAC"/>
    <w:rsid w:val="18EB43EE"/>
    <w:rsid w:val="19191C06"/>
    <w:rsid w:val="19886047"/>
    <w:rsid w:val="1A5439C0"/>
    <w:rsid w:val="1A734275"/>
    <w:rsid w:val="1A913825"/>
    <w:rsid w:val="1AC963DB"/>
    <w:rsid w:val="1AD61769"/>
    <w:rsid w:val="1B124510"/>
    <w:rsid w:val="1B7E3A40"/>
    <w:rsid w:val="1B9C29A6"/>
    <w:rsid w:val="1C2577FD"/>
    <w:rsid w:val="1C5E7495"/>
    <w:rsid w:val="1C6C4030"/>
    <w:rsid w:val="1C7A752E"/>
    <w:rsid w:val="1D4470A4"/>
    <w:rsid w:val="1DA91839"/>
    <w:rsid w:val="1E5D4FF0"/>
    <w:rsid w:val="1EA57FA7"/>
    <w:rsid w:val="1ECD7650"/>
    <w:rsid w:val="1EEB314A"/>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947C48"/>
    <w:rsid w:val="23C27E3A"/>
    <w:rsid w:val="23EA577B"/>
    <w:rsid w:val="241F2752"/>
    <w:rsid w:val="244B3216"/>
    <w:rsid w:val="24F450AB"/>
    <w:rsid w:val="250174C1"/>
    <w:rsid w:val="256107E0"/>
    <w:rsid w:val="25996520"/>
    <w:rsid w:val="25AC60C6"/>
    <w:rsid w:val="25B6156F"/>
    <w:rsid w:val="25EA2CC2"/>
    <w:rsid w:val="25FA68C7"/>
    <w:rsid w:val="26185D90"/>
    <w:rsid w:val="26571A78"/>
    <w:rsid w:val="266235BB"/>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D10E32"/>
    <w:rsid w:val="3AD14E21"/>
    <w:rsid w:val="3B491FD0"/>
    <w:rsid w:val="3C034C82"/>
    <w:rsid w:val="3C3C08E3"/>
    <w:rsid w:val="3C56470C"/>
    <w:rsid w:val="3C746060"/>
    <w:rsid w:val="3C8A2903"/>
    <w:rsid w:val="3CEE0102"/>
    <w:rsid w:val="3D6A3373"/>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4D3A73"/>
    <w:rsid w:val="4265277D"/>
    <w:rsid w:val="42726210"/>
    <w:rsid w:val="429B3DB9"/>
    <w:rsid w:val="42CD30A6"/>
    <w:rsid w:val="42D33AFF"/>
    <w:rsid w:val="42F97CA9"/>
    <w:rsid w:val="436B1258"/>
    <w:rsid w:val="44023D84"/>
    <w:rsid w:val="44484861"/>
    <w:rsid w:val="454E1E40"/>
    <w:rsid w:val="45B253E8"/>
    <w:rsid w:val="45D71D2E"/>
    <w:rsid w:val="464B42E2"/>
    <w:rsid w:val="467B1CBE"/>
    <w:rsid w:val="46C82A81"/>
    <w:rsid w:val="46D02D13"/>
    <w:rsid w:val="474E196D"/>
    <w:rsid w:val="481D433B"/>
    <w:rsid w:val="48403870"/>
    <w:rsid w:val="485943C2"/>
    <w:rsid w:val="489522B0"/>
    <w:rsid w:val="48DE6819"/>
    <w:rsid w:val="48F8268A"/>
    <w:rsid w:val="49184C88"/>
    <w:rsid w:val="49535FE7"/>
    <w:rsid w:val="49896373"/>
    <w:rsid w:val="49A3785C"/>
    <w:rsid w:val="4A7638DA"/>
    <w:rsid w:val="4AA40703"/>
    <w:rsid w:val="4AB9626F"/>
    <w:rsid w:val="4ADE75E4"/>
    <w:rsid w:val="4B22605E"/>
    <w:rsid w:val="4B5F0E37"/>
    <w:rsid w:val="4C721BF8"/>
    <w:rsid w:val="4C862E17"/>
    <w:rsid w:val="4CA30BBC"/>
    <w:rsid w:val="4CA76BCF"/>
    <w:rsid w:val="4CB848EB"/>
    <w:rsid w:val="4CDC3826"/>
    <w:rsid w:val="4D4B515F"/>
    <w:rsid w:val="4D646055"/>
    <w:rsid w:val="4DF8697D"/>
    <w:rsid w:val="4E14406E"/>
    <w:rsid w:val="4E434F00"/>
    <w:rsid w:val="4E501189"/>
    <w:rsid w:val="4E711839"/>
    <w:rsid w:val="4EFF4282"/>
    <w:rsid w:val="4F0C128C"/>
    <w:rsid w:val="4F560A37"/>
    <w:rsid w:val="4FC15B68"/>
    <w:rsid w:val="4FE60326"/>
    <w:rsid w:val="4FE716D9"/>
    <w:rsid w:val="509129BD"/>
    <w:rsid w:val="50AA7C6B"/>
    <w:rsid w:val="50D95CC9"/>
    <w:rsid w:val="50DA38D6"/>
    <w:rsid w:val="51385D8D"/>
    <w:rsid w:val="515D5589"/>
    <w:rsid w:val="51BE389E"/>
    <w:rsid w:val="528A0579"/>
    <w:rsid w:val="52CF3519"/>
    <w:rsid w:val="52FF314E"/>
    <w:rsid w:val="53725147"/>
    <w:rsid w:val="53B939D8"/>
    <w:rsid w:val="53F72CCF"/>
    <w:rsid w:val="54163583"/>
    <w:rsid w:val="541F3870"/>
    <w:rsid w:val="54460B5D"/>
    <w:rsid w:val="54B54386"/>
    <w:rsid w:val="54BB6290"/>
    <w:rsid w:val="55802B56"/>
    <w:rsid w:val="55E55977"/>
    <w:rsid w:val="55F830AD"/>
    <w:rsid w:val="569752EE"/>
    <w:rsid w:val="56C338E1"/>
    <w:rsid w:val="56FA6C77"/>
    <w:rsid w:val="57081358"/>
    <w:rsid w:val="575C2093"/>
    <w:rsid w:val="5761344C"/>
    <w:rsid w:val="577D01D5"/>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A6712E"/>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B076CC"/>
    <w:rsid w:val="60D91FF3"/>
    <w:rsid w:val="621457E7"/>
    <w:rsid w:val="6261467D"/>
    <w:rsid w:val="62AE1EC2"/>
    <w:rsid w:val="62E04946"/>
    <w:rsid w:val="63495284"/>
    <w:rsid w:val="63DB4C03"/>
    <w:rsid w:val="63F56A0D"/>
    <w:rsid w:val="643C4E09"/>
    <w:rsid w:val="645962D8"/>
    <w:rsid w:val="645F2B03"/>
    <w:rsid w:val="64B51049"/>
    <w:rsid w:val="64EA021F"/>
    <w:rsid w:val="65E329B5"/>
    <w:rsid w:val="6665356A"/>
    <w:rsid w:val="667C18AF"/>
    <w:rsid w:val="669361B1"/>
    <w:rsid w:val="67117FE8"/>
    <w:rsid w:val="672520C8"/>
    <w:rsid w:val="677B6C3D"/>
    <w:rsid w:val="67EE03D0"/>
    <w:rsid w:val="680B32BF"/>
    <w:rsid w:val="68224A74"/>
    <w:rsid w:val="68523D1F"/>
    <w:rsid w:val="6862458B"/>
    <w:rsid w:val="69B02E08"/>
    <w:rsid w:val="6A146F17"/>
    <w:rsid w:val="6A696621"/>
    <w:rsid w:val="6AB14AC9"/>
    <w:rsid w:val="6B10040A"/>
    <w:rsid w:val="6B32606A"/>
    <w:rsid w:val="6B472799"/>
    <w:rsid w:val="6C383507"/>
    <w:rsid w:val="6CC51C9E"/>
    <w:rsid w:val="6CE33832"/>
    <w:rsid w:val="6D8127C5"/>
    <w:rsid w:val="6D9510D7"/>
    <w:rsid w:val="6E654005"/>
    <w:rsid w:val="6F3B6E8A"/>
    <w:rsid w:val="6F754E1F"/>
    <w:rsid w:val="6F853E06"/>
    <w:rsid w:val="6FB35A57"/>
    <w:rsid w:val="6FBB30AF"/>
    <w:rsid w:val="6FCC6CF1"/>
    <w:rsid w:val="704915C5"/>
    <w:rsid w:val="70624D42"/>
    <w:rsid w:val="70BE3698"/>
    <w:rsid w:val="70D829AA"/>
    <w:rsid w:val="71091A03"/>
    <w:rsid w:val="716A5329"/>
    <w:rsid w:val="71862CD7"/>
    <w:rsid w:val="72977F10"/>
    <w:rsid w:val="72CB6DEB"/>
    <w:rsid w:val="72D17CEA"/>
    <w:rsid w:val="733D289D"/>
    <w:rsid w:val="73403821"/>
    <w:rsid w:val="734B045B"/>
    <w:rsid w:val="73927DA8"/>
    <w:rsid w:val="73FA4A43"/>
    <w:rsid w:val="741A7050"/>
    <w:rsid w:val="74697E0C"/>
    <w:rsid w:val="74747EFA"/>
    <w:rsid w:val="74C37A10"/>
    <w:rsid w:val="74F41F6E"/>
    <w:rsid w:val="750A4112"/>
    <w:rsid w:val="751A43AC"/>
    <w:rsid w:val="75ED7F88"/>
    <w:rsid w:val="765E373E"/>
    <w:rsid w:val="767E58CC"/>
    <w:rsid w:val="76930B62"/>
    <w:rsid w:val="769900A0"/>
    <w:rsid w:val="76CD17F4"/>
    <w:rsid w:val="775252D0"/>
    <w:rsid w:val="775871DA"/>
    <w:rsid w:val="77A35F9C"/>
    <w:rsid w:val="77A41857"/>
    <w:rsid w:val="77D62F36"/>
    <w:rsid w:val="77EA18BC"/>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B41BA4"/>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標題 2 字元"/>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標題 1 字元"/>
    <w:link w:val="2"/>
    <w:qFormat/>
    <w:uiPriority w:val="0"/>
    <w:rPr>
      <w:rFonts w:ascii="Arial" w:hAnsi="Arial"/>
      <w:sz w:val="36"/>
      <w:lang w:val="sv-SE" w:eastAsia="en-US"/>
    </w:rPr>
  </w:style>
  <w:style w:type="character" w:customStyle="1" w:styleId="109">
    <w:name w:val="頁首 字元"/>
    <w:link w:val="39"/>
    <w:qFormat/>
    <w:uiPriority w:val="0"/>
    <w:rPr>
      <w:rFonts w:ascii="Arial" w:hAnsi="Arial"/>
      <w:b/>
      <w:sz w:val="18"/>
      <w:lang w:val="en-GB" w:bidi="ar-SA"/>
    </w:rPr>
  </w:style>
  <w:style w:type="character" w:customStyle="1" w:styleId="110">
    <w:name w:val="註解文字 字元"/>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註解方塊文字 字元"/>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標題 8 字元"/>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標號 字元"/>
    <w:link w:val="28"/>
    <w:qFormat/>
    <w:uiPriority w:val="0"/>
    <w:rPr>
      <w:b/>
      <w:lang w:val="en-GB"/>
    </w:rPr>
  </w:style>
  <w:style w:type="character" w:customStyle="1" w:styleId="124">
    <w:name w:val="標題 3 字元"/>
    <w:link w:val="4"/>
    <w:qFormat/>
    <w:uiPriority w:val="9"/>
    <w:rPr>
      <w:rFonts w:ascii="Arial" w:hAnsi="Arial"/>
      <w:sz w:val="28"/>
      <w:szCs w:val="18"/>
      <w:lang w:val="sv-SE"/>
    </w:rPr>
  </w:style>
  <w:style w:type="character" w:customStyle="1" w:styleId="125">
    <w:name w:val="本文 字元"/>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純文字 字元"/>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註解主旨 字元"/>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頁尾 字元"/>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標題 4 字元"/>
    <w:basedOn w:val="52"/>
    <w:link w:val="5"/>
    <w:qFormat/>
    <w:uiPriority w:val="0"/>
    <w:rPr>
      <w:rFonts w:ascii="Arial" w:hAnsi="Arial"/>
      <w:sz w:val="24"/>
      <w:szCs w:val="18"/>
      <w:lang w:val="sv-SE"/>
    </w:rPr>
  </w:style>
  <w:style w:type="character" w:customStyle="1" w:styleId="138">
    <w:name w:val="標題 5 字元"/>
    <w:basedOn w:val="52"/>
    <w:link w:val="6"/>
    <w:qFormat/>
    <w:uiPriority w:val="0"/>
    <w:rPr>
      <w:rFonts w:ascii="Arial" w:hAnsi="Arial"/>
      <w:sz w:val="22"/>
      <w:szCs w:val="18"/>
      <w:lang w:val="sv-SE"/>
    </w:rPr>
  </w:style>
  <w:style w:type="character" w:customStyle="1" w:styleId="139">
    <w:name w:val="標題 6 字元"/>
    <w:basedOn w:val="52"/>
    <w:link w:val="7"/>
    <w:qFormat/>
    <w:uiPriority w:val="0"/>
    <w:rPr>
      <w:rFonts w:ascii="Arial" w:hAnsi="Arial"/>
      <w:szCs w:val="18"/>
      <w:lang w:val="sv-SE"/>
    </w:rPr>
  </w:style>
  <w:style w:type="character" w:customStyle="1" w:styleId="140">
    <w:name w:val="標題 7 字元"/>
    <w:basedOn w:val="52"/>
    <w:link w:val="9"/>
    <w:qFormat/>
    <w:uiPriority w:val="0"/>
    <w:rPr>
      <w:rFonts w:ascii="Arial" w:hAnsi="Arial"/>
      <w:szCs w:val="18"/>
      <w:lang w:val="sv-SE"/>
    </w:rPr>
  </w:style>
  <w:style w:type="character" w:customStyle="1" w:styleId="141">
    <w:name w:val="標題 9 字元"/>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本文縮排 2 字元"/>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章節附註文字 字元"/>
    <w:basedOn w:val="52"/>
    <w:link w:val="36"/>
    <w:qFormat/>
    <w:uiPriority w:val="0"/>
    <w:rPr>
      <w:rFonts w:eastAsia="Yu Mincho"/>
      <w:lang w:val="en-GB" w:eastAsia="en-US"/>
    </w:rPr>
  </w:style>
  <w:style w:type="character" w:customStyle="1" w:styleId="146">
    <w:name w:val="註腳文字 字元"/>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清單段落 字元"/>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文 字元"/>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3</Pages>
  <Words>5491</Words>
  <Characters>28339</Characters>
  <Lines>726</Lines>
  <Paragraphs>504</Paragraphs>
  <TotalTime>32</TotalTime>
  <ScaleCrop>false</ScaleCrop>
  <LinksUpToDate>false</LinksUpToDate>
  <CharactersWithSpaces>33326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2025-10-09T13:46:00Z</dcterms:created>
  <dc:creator>양윤오/책임연구원/미래기술센터 C&amp;M표준(연)5G무선통신표준Task(yoonoh.yang@lge.com)</dc:creator>
  <cp:lastModifiedBy>CMCC-Jingjing</cp:lastModifiedBy>
  <cp:lastPrinted>2019-04-25T01:09:00Z</cp:lastPrinted>
  <dcterms:modified xsi:type="dcterms:W3CDTF">2025-10-15T17:21:37Z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