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23BF8" w14:textId="64C7DF15" w:rsidR="004E39C3" w:rsidRPr="00BA1689" w:rsidRDefault="004E39C3" w:rsidP="004E39C3">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BA1689">
        <w:rPr>
          <w:rFonts w:ascii="Arial" w:eastAsia="SimSun" w:hAnsi="Arial" w:cs="Arial"/>
          <w:b/>
          <w:sz w:val="24"/>
          <w:szCs w:val="24"/>
          <w:lang w:eastAsia="zh-CN"/>
        </w:rPr>
        <w:t>3GPP TSG-RAN WG4 Meeting #116</w:t>
      </w:r>
      <w:r w:rsidRPr="00BA1689">
        <w:rPr>
          <w:rFonts w:ascii="Arial" w:eastAsia="SimSun" w:hAnsi="Arial" w:cs="Arial"/>
          <w:b/>
          <w:sz w:val="24"/>
          <w:szCs w:val="24"/>
          <w:lang w:eastAsia="zh-CN"/>
        </w:rPr>
        <w:tab/>
      </w:r>
      <w:r w:rsidR="00DE709A" w:rsidRPr="00DE709A">
        <w:rPr>
          <w:rFonts w:ascii="Arial" w:eastAsia="SimSun" w:hAnsi="Arial" w:cs="Arial"/>
          <w:b/>
          <w:sz w:val="24"/>
          <w:szCs w:val="24"/>
          <w:lang w:eastAsia="zh-CN"/>
        </w:rPr>
        <w:t>R4-2509488</w:t>
      </w:r>
    </w:p>
    <w:p w14:paraId="53436273" w14:textId="77777777" w:rsidR="004E39C3" w:rsidRPr="00BA1689" w:rsidRDefault="004E39C3" w:rsidP="004E39C3">
      <w:pPr>
        <w:tabs>
          <w:tab w:val="right" w:pos="9781"/>
          <w:tab w:val="right" w:pos="13323"/>
        </w:tabs>
        <w:spacing w:before="60" w:after="60"/>
        <w:outlineLvl w:val="0"/>
        <w:rPr>
          <w:rFonts w:ascii="Arial" w:eastAsia="SimSun" w:hAnsi="Arial" w:cs="Arial"/>
          <w:b/>
          <w:sz w:val="24"/>
          <w:szCs w:val="24"/>
          <w:lang w:eastAsia="zh-CN"/>
        </w:rPr>
      </w:pPr>
      <w:r w:rsidRPr="00BA1689">
        <w:rPr>
          <w:rFonts w:ascii="Arial" w:eastAsia="SimSun" w:hAnsi="Arial" w:cs="Arial"/>
          <w:b/>
          <w:sz w:val="24"/>
          <w:szCs w:val="24"/>
          <w:lang w:eastAsia="zh-CN"/>
        </w:rPr>
        <w:t>Bengaluru, India, August 25</w:t>
      </w:r>
      <w:r w:rsidRPr="00BA1689">
        <w:rPr>
          <w:rFonts w:ascii="Arial" w:eastAsia="SimSun" w:hAnsi="Arial" w:cs="Arial"/>
          <w:b/>
          <w:sz w:val="24"/>
          <w:szCs w:val="24"/>
          <w:vertAlign w:val="superscript"/>
          <w:lang w:eastAsia="zh-CN"/>
        </w:rPr>
        <w:t>th</w:t>
      </w:r>
      <w:r w:rsidRPr="00BA1689">
        <w:rPr>
          <w:rFonts w:ascii="Arial" w:eastAsia="SimSun" w:hAnsi="Arial" w:cs="Arial"/>
          <w:b/>
          <w:sz w:val="24"/>
          <w:szCs w:val="24"/>
          <w:lang w:eastAsia="zh-CN"/>
        </w:rPr>
        <w:t xml:space="preserve"> – 29</w:t>
      </w:r>
      <w:r w:rsidRPr="00BA1689">
        <w:rPr>
          <w:rFonts w:ascii="Arial" w:eastAsia="SimSun" w:hAnsi="Arial" w:cs="Arial"/>
          <w:b/>
          <w:sz w:val="24"/>
          <w:szCs w:val="24"/>
          <w:vertAlign w:val="superscript"/>
          <w:lang w:eastAsia="zh-CN"/>
        </w:rPr>
        <w:t>th</w:t>
      </w:r>
      <w:r w:rsidRPr="00BA1689">
        <w:rPr>
          <w:rFonts w:ascii="Arial" w:eastAsia="SimSun" w:hAnsi="Arial" w:cs="Arial"/>
          <w:b/>
          <w:sz w:val="24"/>
          <w:szCs w:val="24"/>
          <w:lang w:eastAsia="zh-CN"/>
        </w:rPr>
        <w:t>, 2025</w:t>
      </w:r>
    </w:p>
    <w:p w14:paraId="2305CEA3" w14:textId="377DD9CD" w:rsidR="009F52D7" w:rsidRPr="005A61C6" w:rsidRDefault="009F52D7" w:rsidP="00BA2FC0">
      <w:pPr>
        <w:pStyle w:val="CH"/>
        <w:spacing w:before="240" w:after="0"/>
        <w:rPr>
          <w:sz w:val="24"/>
          <w:szCs w:val="24"/>
          <w:lang w:val="en-US"/>
        </w:rPr>
      </w:pPr>
      <w:r w:rsidRPr="005A61C6">
        <w:rPr>
          <w:sz w:val="24"/>
          <w:szCs w:val="24"/>
          <w:lang w:val="en-US"/>
        </w:rPr>
        <w:t>Agenda item:</w:t>
      </w:r>
      <w:r w:rsidRPr="005A61C6">
        <w:rPr>
          <w:sz w:val="24"/>
          <w:szCs w:val="24"/>
          <w:lang w:val="en-US"/>
        </w:rPr>
        <w:tab/>
      </w:r>
      <w:r w:rsidR="006B4603" w:rsidRPr="005A61C6">
        <w:rPr>
          <w:sz w:val="24"/>
          <w:szCs w:val="24"/>
          <w:lang w:val="en-US"/>
        </w:rPr>
        <w:t>7.2</w:t>
      </w:r>
      <w:r w:rsidR="004E39C3">
        <w:rPr>
          <w:sz w:val="24"/>
          <w:szCs w:val="24"/>
          <w:lang w:val="en-US"/>
        </w:rPr>
        <w:t>0</w:t>
      </w:r>
      <w:r w:rsidR="006B4603" w:rsidRPr="005A61C6">
        <w:rPr>
          <w:sz w:val="24"/>
          <w:szCs w:val="24"/>
          <w:lang w:val="en-US"/>
        </w:rPr>
        <w:t>.</w:t>
      </w:r>
      <w:r w:rsidR="00EF7E34">
        <w:rPr>
          <w:sz w:val="24"/>
          <w:szCs w:val="24"/>
          <w:lang w:val="en-US"/>
        </w:rPr>
        <w:t>6</w:t>
      </w:r>
    </w:p>
    <w:p w14:paraId="30D50B86" w14:textId="1B183FBA" w:rsidR="009F52D7" w:rsidRPr="005A61C6" w:rsidRDefault="009F52D7" w:rsidP="003537DA">
      <w:pPr>
        <w:pStyle w:val="CH"/>
        <w:spacing w:after="0"/>
        <w:rPr>
          <w:sz w:val="24"/>
          <w:szCs w:val="24"/>
          <w:lang w:val="en-US"/>
        </w:rPr>
      </w:pPr>
      <w:r w:rsidRPr="005A61C6">
        <w:rPr>
          <w:sz w:val="24"/>
          <w:szCs w:val="24"/>
          <w:lang w:val="en-US"/>
        </w:rPr>
        <w:t>Source:</w:t>
      </w:r>
      <w:r w:rsidRPr="005A61C6">
        <w:rPr>
          <w:sz w:val="24"/>
          <w:szCs w:val="24"/>
          <w:lang w:val="en-US"/>
        </w:rPr>
        <w:tab/>
        <w:t>Apple</w:t>
      </w:r>
    </w:p>
    <w:p w14:paraId="7827D204" w14:textId="67A44D3C" w:rsidR="009F52D7" w:rsidRPr="005A61C6" w:rsidRDefault="009F52D7" w:rsidP="0069369B">
      <w:pPr>
        <w:pStyle w:val="CH"/>
        <w:spacing w:after="0"/>
        <w:ind w:left="2250" w:hanging="2250"/>
        <w:rPr>
          <w:sz w:val="24"/>
          <w:szCs w:val="24"/>
          <w:lang w:val="en-US"/>
        </w:rPr>
      </w:pPr>
      <w:r w:rsidRPr="005A61C6">
        <w:rPr>
          <w:sz w:val="24"/>
          <w:szCs w:val="24"/>
          <w:lang w:val="en-US"/>
        </w:rPr>
        <w:t>Title:</w:t>
      </w:r>
      <w:r w:rsidRPr="005A61C6">
        <w:rPr>
          <w:sz w:val="24"/>
          <w:szCs w:val="24"/>
          <w:lang w:val="en-US"/>
        </w:rPr>
        <w:tab/>
      </w:r>
      <w:r w:rsidR="00EF7E34" w:rsidRPr="00EF7E34">
        <w:rPr>
          <w:sz w:val="24"/>
          <w:szCs w:val="24"/>
          <w:lang w:val="en-US"/>
        </w:rPr>
        <w:t>On UE Demodulation and CSI Reporting Requirements for MIMO Phase 5</w:t>
      </w:r>
    </w:p>
    <w:p w14:paraId="2AB0E874" w14:textId="708BEC41" w:rsidR="009F52D7" w:rsidRPr="005A61C6" w:rsidRDefault="009F52D7" w:rsidP="003537DA">
      <w:pPr>
        <w:pStyle w:val="CH"/>
        <w:spacing w:after="0"/>
        <w:rPr>
          <w:sz w:val="24"/>
          <w:szCs w:val="24"/>
          <w:lang w:val="en-US"/>
        </w:rPr>
      </w:pPr>
      <w:r w:rsidRPr="005A61C6">
        <w:rPr>
          <w:sz w:val="24"/>
          <w:szCs w:val="24"/>
          <w:lang w:val="en-US"/>
        </w:rPr>
        <w:t>Release:</w:t>
      </w:r>
      <w:r w:rsidRPr="005A61C6">
        <w:rPr>
          <w:sz w:val="24"/>
          <w:szCs w:val="24"/>
          <w:lang w:val="en-US"/>
        </w:rPr>
        <w:tab/>
        <w:t>Rel-1</w:t>
      </w:r>
      <w:r w:rsidR="002D7073" w:rsidRPr="005A61C6">
        <w:rPr>
          <w:sz w:val="24"/>
          <w:szCs w:val="24"/>
          <w:lang w:val="en-US"/>
        </w:rPr>
        <w:t>9</w:t>
      </w:r>
    </w:p>
    <w:p w14:paraId="5FD26D80" w14:textId="69E72605" w:rsidR="009F52D7" w:rsidRPr="005A61C6" w:rsidRDefault="009F52D7" w:rsidP="003537DA">
      <w:pPr>
        <w:pStyle w:val="CH"/>
        <w:spacing w:after="0"/>
        <w:rPr>
          <w:sz w:val="24"/>
          <w:szCs w:val="24"/>
          <w:lang w:val="en-US"/>
        </w:rPr>
      </w:pPr>
      <w:r w:rsidRPr="005A61C6">
        <w:rPr>
          <w:sz w:val="24"/>
          <w:szCs w:val="24"/>
          <w:lang w:val="en-US"/>
        </w:rPr>
        <w:t>Document for:</w:t>
      </w:r>
      <w:r w:rsidRPr="005A61C6">
        <w:rPr>
          <w:sz w:val="24"/>
          <w:szCs w:val="24"/>
          <w:lang w:val="en-US"/>
        </w:rPr>
        <w:tab/>
      </w:r>
      <w:r w:rsidR="00AD261E" w:rsidRPr="005A61C6">
        <w:rPr>
          <w:sz w:val="24"/>
          <w:szCs w:val="24"/>
          <w:lang w:val="en-US"/>
        </w:rPr>
        <w:t>Discussion</w:t>
      </w:r>
    </w:p>
    <w:p w14:paraId="26BFACA8" w14:textId="77777777" w:rsidR="009F52D7" w:rsidRPr="005A61C6" w:rsidRDefault="009F52D7" w:rsidP="003537DA">
      <w:pPr>
        <w:pStyle w:val="CH"/>
        <w:rPr>
          <w:lang w:val="en-US"/>
        </w:rPr>
      </w:pPr>
    </w:p>
    <w:p w14:paraId="7D03A8FD" w14:textId="77777777" w:rsidR="002249BA" w:rsidRPr="005A61C6" w:rsidRDefault="002249BA" w:rsidP="002249BA">
      <w:pPr>
        <w:pStyle w:val="Heading1"/>
        <w:rPr>
          <w:lang w:val="en-US"/>
        </w:rPr>
      </w:pPr>
      <w:r w:rsidRPr="005A61C6">
        <w:rPr>
          <w:lang w:val="en-US"/>
        </w:rPr>
        <w:t xml:space="preserve">1. Introduction </w:t>
      </w:r>
    </w:p>
    <w:p w14:paraId="1369B17B" w14:textId="1A3F6C79" w:rsidR="00941159" w:rsidRDefault="004E39C3" w:rsidP="004E39C3">
      <w:r w:rsidRPr="003537DA">
        <w:t xml:space="preserve">In </w:t>
      </w:r>
      <w:r>
        <w:t>RAN4#115 the UE demodulation and CSI reporting requirements for MIMO Phase 5 WI were discussed and way forward [1] was agreed.</w:t>
      </w:r>
      <w:r w:rsidR="00941159">
        <w:t xml:space="preserve"> In this contribution we present our views on the </w:t>
      </w:r>
      <w:r w:rsidR="00057FAD">
        <w:t>UE demodulation and CSI reporting requirements for this WI</w:t>
      </w:r>
      <w:r w:rsidR="00941159">
        <w:t xml:space="preserve">. </w:t>
      </w:r>
    </w:p>
    <w:p w14:paraId="35AA4B63" w14:textId="2162D4E4" w:rsidR="00447D8B" w:rsidRPr="005A61C6" w:rsidRDefault="002249BA" w:rsidP="003537DA">
      <w:pPr>
        <w:pStyle w:val="Heading1"/>
        <w:rPr>
          <w:lang w:val="en-US"/>
        </w:rPr>
      </w:pPr>
      <w:r w:rsidRPr="005A61C6">
        <w:rPr>
          <w:lang w:val="en-US"/>
        </w:rPr>
        <w:t>2. Discussion</w:t>
      </w:r>
    </w:p>
    <w:p w14:paraId="73A7ECEC" w14:textId="4542D438" w:rsidR="0060646E" w:rsidRPr="0060646E" w:rsidRDefault="0060646E" w:rsidP="0060646E">
      <w:pPr>
        <w:pStyle w:val="Heading3"/>
        <w:spacing w:after="240"/>
        <w:rPr>
          <w:rFonts w:ascii="Arial" w:hAnsi="Arial" w:cs="Arial"/>
          <w:color w:val="000000" w:themeColor="text1"/>
          <w:sz w:val="28"/>
          <w:szCs w:val="28"/>
          <w:lang w:eastAsia="zh-CN"/>
        </w:rPr>
      </w:pPr>
      <w:r>
        <w:rPr>
          <w:rFonts w:ascii="Arial" w:hAnsi="Arial" w:cs="Arial"/>
          <w:color w:val="000000" w:themeColor="text1"/>
          <w:sz w:val="28"/>
          <w:szCs w:val="28"/>
          <w:lang w:eastAsia="zh-CN"/>
        </w:rPr>
        <w:t>General</w:t>
      </w:r>
      <w:r w:rsidR="00912152">
        <w:rPr>
          <w:rFonts w:ascii="Arial" w:hAnsi="Arial" w:cs="Arial"/>
          <w:color w:val="000000" w:themeColor="text1"/>
          <w:sz w:val="28"/>
          <w:szCs w:val="28"/>
          <w:lang w:eastAsia="zh-CN"/>
        </w:rPr>
        <w:t>/ Scope</w:t>
      </w:r>
    </w:p>
    <w:p w14:paraId="660B9D1E" w14:textId="78050544" w:rsidR="00057FAD" w:rsidRDefault="00C657F3" w:rsidP="00057FAD">
      <w:r>
        <w:t xml:space="preserve">Based on the </w:t>
      </w:r>
      <w:r w:rsidR="00932B84">
        <w:t>discussion in RAN4#115, the table below summarizes of scope of UE demod and CSI reporting requirements for MIMO Phase 5 WI.</w:t>
      </w:r>
    </w:p>
    <w:p w14:paraId="30885827" w14:textId="77777777" w:rsidR="00932B84" w:rsidRDefault="00932B84" w:rsidP="00057F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837"/>
        <w:gridCol w:w="3648"/>
        <w:gridCol w:w="3240"/>
      </w:tblGrid>
      <w:tr w:rsidR="00932B84" w:rsidRPr="00AE167E" w14:paraId="569BB7F7" w14:textId="77777777" w:rsidTr="0060646E">
        <w:trPr>
          <w:jc w:val="center"/>
        </w:trPr>
        <w:tc>
          <w:tcPr>
            <w:tcW w:w="1837" w:type="dxa"/>
            <w:vAlign w:val="center"/>
          </w:tcPr>
          <w:p w14:paraId="733D07AB" w14:textId="77777777" w:rsidR="00932B84" w:rsidRPr="00AE167E" w:rsidRDefault="00932B84" w:rsidP="00982507">
            <w:pPr>
              <w:spacing w:after="120"/>
              <w:jc w:val="center"/>
              <w:rPr>
                <w:rFonts w:eastAsia="Malgun Gothic"/>
                <w:b/>
                <w:bCs/>
              </w:rPr>
            </w:pPr>
            <w:r w:rsidRPr="00AE167E">
              <w:rPr>
                <w:rFonts w:eastAsia="Malgun Gothic"/>
                <w:b/>
                <w:bCs/>
              </w:rPr>
              <w:t>Topic</w:t>
            </w:r>
          </w:p>
        </w:tc>
        <w:tc>
          <w:tcPr>
            <w:tcW w:w="3648" w:type="dxa"/>
            <w:vAlign w:val="center"/>
          </w:tcPr>
          <w:p w14:paraId="075C1AD8" w14:textId="77777777" w:rsidR="00932B84" w:rsidRPr="00AE167E" w:rsidRDefault="00932B84" w:rsidP="00982507">
            <w:pPr>
              <w:spacing w:after="120"/>
              <w:jc w:val="center"/>
              <w:rPr>
                <w:rFonts w:eastAsia="Malgun Gothic"/>
                <w:b/>
                <w:bCs/>
              </w:rPr>
            </w:pPr>
            <w:r w:rsidRPr="00AE167E">
              <w:rPr>
                <w:rFonts w:eastAsia="Malgun Gothic"/>
                <w:b/>
                <w:bCs/>
              </w:rPr>
              <w:t>Description</w:t>
            </w:r>
          </w:p>
        </w:tc>
        <w:tc>
          <w:tcPr>
            <w:tcW w:w="3240" w:type="dxa"/>
            <w:vAlign w:val="center"/>
          </w:tcPr>
          <w:p w14:paraId="737E7D59" w14:textId="426908C0" w:rsidR="00932B84" w:rsidRPr="00AE167E" w:rsidRDefault="0060646E" w:rsidP="00982507">
            <w:pPr>
              <w:spacing w:after="120"/>
              <w:jc w:val="center"/>
              <w:rPr>
                <w:rFonts w:eastAsia="Malgun Gothic"/>
                <w:b/>
                <w:bCs/>
              </w:rPr>
            </w:pPr>
            <w:r>
              <w:rPr>
                <w:rFonts w:eastAsia="Malgun Gothic"/>
                <w:b/>
                <w:bCs/>
              </w:rPr>
              <w:t>UE Demod Requirements Impact</w:t>
            </w:r>
          </w:p>
        </w:tc>
      </w:tr>
      <w:tr w:rsidR="00932B84" w:rsidRPr="00D544CA" w14:paraId="6FB6D446" w14:textId="77777777" w:rsidTr="0060646E">
        <w:trPr>
          <w:trHeight w:val="650"/>
          <w:jc w:val="center"/>
        </w:trPr>
        <w:tc>
          <w:tcPr>
            <w:tcW w:w="1837" w:type="dxa"/>
            <w:vAlign w:val="center"/>
          </w:tcPr>
          <w:p w14:paraId="2EED6981" w14:textId="77777777" w:rsidR="00932B84" w:rsidRPr="00D544CA" w:rsidRDefault="00932B84" w:rsidP="00982507">
            <w:pPr>
              <w:spacing w:after="120"/>
              <w:rPr>
                <w:rFonts w:eastAsia="Malgun Gothic"/>
              </w:rPr>
            </w:pPr>
            <w:r w:rsidRPr="00D544CA">
              <w:rPr>
                <w:rFonts w:eastAsia="Malgun Gothic"/>
              </w:rPr>
              <w:t>UE-initiated/event-driven beam management</w:t>
            </w:r>
          </w:p>
        </w:tc>
        <w:tc>
          <w:tcPr>
            <w:tcW w:w="3648" w:type="dxa"/>
            <w:vAlign w:val="center"/>
          </w:tcPr>
          <w:p w14:paraId="64F54D7B" w14:textId="77777777" w:rsidR="00932B84" w:rsidRPr="00D544CA" w:rsidRDefault="00932B84" w:rsidP="00982507">
            <w:pPr>
              <w:spacing w:after="120"/>
              <w:rPr>
                <w:rFonts w:eastAsia="Malgun Gothic"/>
              </w:rPr>
            </w:pPr>
            <w:r w:rsidRPr="00D544CA">
              <w:t>UE-initiated/event-driven beam management</w:t>
            </w:r>
          </w:p>
        </w:tc>
        <w:tc>
          <w:tcPr>
            <w:tcW w:w="3240" w:type="dxa"/>
            <w:vAlign w:val="center"/>
          </w:tcPr>
          <w:p w14:paraId="31AA5CCC" w14:textId="08BAAECC" w:rsidR="00932B84" w:rsidRPr="00D544CA" w:rsidRDefault="0060646E" w:rsidP="00982507">
            <w:pPr>
              <w:spacing w:after="120"/>
              <w:jc w:val="center"/>
              <w:rPr>
                <w:rFonts w:eastAsia="DengXian"/>
                <w:lang w:eastAsia="zh-CN"/>
              </w:rPr>
            </w:pPr>
            <w:r>
              <w:rPr>
                <w:rFonts w:eastAsia="DengXian"/>
                <w:lang w:eastAsia="zh-CN"/>
              </w:rPr>
              <w:t>No</w:t>
            </w:r>
          </w:p>
        </w:tc>
      </w:tr>
      <w:tr w:rsidR="0060646E" w:rsidRPr="00D544CA" w14:paraId="4EDA91E5" w14:textId="77777777" w:rsidTr="0060646E">
        <w:trPr>
          <w:trHeight w:val="120"/>
          <w:jc w:val="center"/>
        </w:trPr>
        <w:tc>
          <w:tcPr>
            <w:tcW w:w="1837" w:type="dxa"/>
            <w:vMerge w:val="restart"/>
            <w:vAlign w:val="center"/>
          </w:tcPr>
          <w:p w14:paraId="53FA7D49" w14:textId="77777777" w:rsidR="0060646E" w:rsidRPr="00D544CA" w:rsidRDefault="0060646E" w:rsidP="00982507">
            <w:pPr>
              <w:spacing w:after="120"/>
              <w:rPr>
                <w:rFonts w:eastAsia="DengXian"/>
                <w:lang w:eastAsia="zh-CN"/>
              </w:rPr>
            </w:pPr>
            <w:r w:rsidRPr="00D544CA">
              <w:rPr>
                <w:rFonts w:eastAsia="DengXian"/>
                <w:lang w:eastAsia="zh-CN"/>
              </w:rPr>
              <w:t>CSI enhancement</w:t>
            </w:r>
          </w:p>
        </w:tc>
        <w:tc>
          <w:tcPr>
            <w:tcW w:w="3648" w:type="dxa"/>
            <w:vAlign w:val="center"/>
          </w:tcPr>
          <w:p w14:paraId="4BA53D19" w14:textId="77777777" w:rsidR="0060646E" w:rsidRPr="00D544CA" w:rsidRDefault="0060646E" w:rsidP="00982507">
            <w:pPr>
              <w:spacing w:after="120"/>
            </w:pPr>
            <w:r w:rsidRPr="00D544CA">
              <w:rPr>
                <w:color w:val="000000"/>
                <w:kern w:val="24"/>
              </w:rPr>
              <w:t>Type-I codebook refinement supporting up to a total of 128 CSI-RS ports</w:t>
            </w:r>
          </w:p>
        </w:tc>
        <w:tc>
          <w:tcPr>
            <w:tcW w:w="3240" w:type="dxa"/>
            <w:vAlign w:val="center"/>
          </w:tcPr>
          <w:p w14:paraId="1D25D149" w14:textId="3FB6258C" w:rsidR="0060646E" w:rsidRPr="00D544CA" w:rsidRDefault="0060646E" w:rsidP="00982507">
            <w:pPr>
              <w:spacing w:after="120"/>
              <w:jc w:val="center"/>
              <w:rPr>
                <w:lang w:eastAsia="zh-CN"/>
              </w:rPr>
            </w:pPr>
            <w:r>
              <w:rPr>
                <w:lang w:eastAsia="zh-CN"/>
              </w:rPr>
              <w:t>Yes – PMI reporting requirements</w:t>
            </w:r>
            <w:r w:rsidR="00BB48CB">
              <w:rPr>
                <w:lang w:eastAsia="zh-CN"/>
              </w:rPr>
              <w:t xml:space="preserve"> for Type I SP</w:t>
            </w:r>
          </w:p>
        </w:tc>
      </w:tr>
      <w:tr w:rsidR="0060646E" w:rsidRPr="00D544CA" w14:paraId="4805604F" w14:textId="77777777" w:rsidTr="0060646E">
        <w:trPr>
          <w:trHeight w:val="119"/>
          <w:jc w:val="center"/>
        </w:trPr>
        <w:tc>
          <w:tcPr>
            <w:tcW w:w="1837" w:type="dxa"/>
            <w:vMerge/>
            <w:vAlign w:val="center"/>
          </w:tcPr>
          <w:p w14:paraId="321BD6C2" w14:textId="77777777" w:rsidR="0060646E" w:rsidRPr="00D544CA" w:rsidRDefault="0060646E" w:rsidP="00982507">
            <w:pPr>
              <w:spacing w:after="120"/>
            </w:pPr>
          </w:p>
        </w:tc>
        <w:tc>
          <w:tcPr>
            <w:tcW w:w="3648" w:type="dxa"/>
            <w:vAlign w:val="center"/>
          </w:tcPr>
          <w:p w14:paraId="710A9EC6" w14:textId="77777777" w:rsidR="0060646E" w:rsidRPr="00D544CA" w:rsidRDefault="0060646E" w:rsidP="00982507">
            <w:pPr>
              <w:spacing w:after="120"/>
            </w:pPr>
            <w:r w:rsidRPr="00D544CA">
              <w:rPr>
                <w:color w:val="000000"/>
                <w:kern w:val="24"/>
              </w:rPr>
              <w:t>Type-II codebook refinement supporting up to a total of 128 CSI-RS ports</w:t>
            </w:r>
          </w:p>
        </w:tc>
        <w:tc>
          <w:tcPr>
            <w:tcW w:w="3240" w:type="dxa"/>
            <w:vAlign w:val="center"/>
          </w:tcPr>
          <w:p w14:paraId="3F7A0B04" w14:textId="2B2063A1" w:rsidR="0060646E" w:rsidRPr="00D544CA" w:rsidRDefault="0060646E" w:rsidP="00982507">
            <w:pPr>
              <w:spacing w:after="120"/>
              <w:jc w:val="center"/>
              <w:rPr>
                <w:lang w:eastAsia="zh-CN"/>
              </w:rPr>
            </w:pPr>
            <w:r>
              <w:rPr>
                <w:lang w:eastAsia="zh-CN"/>
              </w:rPr>
              <w:t>FFS – PMI reporting requirements</w:t>
            </w:r>
            <w:r w:rsidR="00BB48CB">
              <w:rPr>
                <w:lang w:eastAsia="zh-CN"/>
              </w:rPr>
              <w:t xml:space="preserve"> for </w:t>
            </w:r>
            <w:proofErr w:type="spellStart"/>
            <w:r w:rsidR="00BB48CB">
              <w:rPr>
                <w:lang w:eastAsia="zh-CN"/>
              </w:rPr>
              <w:t>eType</w:t>
            </w:r>
            <w:proofErr w:type="spellEnd"/>
            <w:r w:rsidR="00BB48CB">
              <w:rPr>
                <w:lang w:eastAsia="zh-CN"/>
              </w:rPr>
              <w:t xml:space="preserve"> II and </w:t>
            </w:r>
            <w:proofErr w:type="spellStart"/>
            <w:r w:rsidR="00BB48CB">
              <w:rPr>
                <w:lang w:eastAsia="zh-CN"/>
              </w:rPr>
              <w:t>eType</w:t>
            </w:r>
            <w:proofErr w:type="spellEnd"/>
            <w:r w:rsidR="00BB48CB">
              <w:rPr>
                <w:lang w:eastAsia="zh-CN"/>
              </w:rPr>
              <w:t xml:space="preserve"> II-Doppler codebooks</w:t>
            </w:r>
          </w:p>
        </w:tc>
      </w:tr>
      <w:tr w:rsidR="0060646E" w:rsidRPr="00D544CA" w14:paraId="5DD8E25E" w14:textId="77777777" w:rsidTr="0060646E">
        <w:trPr>
          <w:trHeight w:val="119"/>
          <w:jc w:val="center"/>
        </w:trPr>
        <w:tc>
          <w:tcPr>
            <w:tcW w:w="1837" w:type="dxa"/>
            <w:vMerge/>
            <w:vAlign w:val="center"/>
          </w:tcPr>
          <w:p w14:paraId="114C97F6" w14:textId="77777777" w:rsidR="0060646E" w:rsidRPr="00D544CA" w:rsidRDefault="0060646E" w:rsidP="00982507">
            <w:pPr>
              <w:spacing w:after="120"/>
            </w:pPr>
          </w:p>
        </w:tc>
        <w:tc>
          <w:tcPr>
            <w:tcW w:w="3648" w:type="dxa"/>
            <w:vAlign w:val="center"/>
          </w:tcPr>
          <w:p w14:paraId="426E6300" w14:textId="77777777" w:rsidR="0060646E" w:rsidRPr="00D544CA" w:rsidRDefault="0060646E" w:rsidP="00982507">
            <w:pPr>
              <w:spacing w:after="120"/>
            </w:pPr>
            <w:r w:rsidRPr="00D544CA">
              <w:rPr>
                <w:color w:val="000000"/>
                <w:kern w:val="24"/>
              </w:rPr>
              <w:t>CRI-based CSI refinement for up to 128 CSI-RS ports</w:t>
            </w:r>
          </w:p>
        </w:tc>
        <w:tc>
          <w:tcPr>
            <w:tcW w:w="3240" w:type="dxa"/>
            <w:vAlign w:val="center"/>
          </w:tcPr>
          <w:p w14:paraId="1FD8DE67" w14:textId="77777777" w:rsidR="0060646E" w:rsidRPr="00D544CA" w:rsidRDefault="0060646E" w:rsidP="00982507">
            <w:pPr>
              <w:spacing w:after="120"/>
              <w:jc w:val="center"/>
              <w:rPr>
                <w:lang w:eastAsia="zh-CN"/>
              </w:rPr>
            </w:pPr>
            <w:r>
              <w:rPr>
                <w:lang w:eastAsia="zh-CN"/>
              </w:rPr>
              <w:t>No</w:t>
            </w:r>
          </w:p>
        </w:tc>
      </w:tr>
      <w:tr w:rsidR="0060646E" w:rsidRPr="00D544CA" w14:paraId="69F3AE40" w14:textId="77777777" w:rsidTr="0060646E">
        <w:trPr>
          <w:trHeight w:val="119"/>
          <w:jc w:val="center"/>
        </w:trPr>
        <w:tc>
          <w:tcPr>
            <w:tcW w:w="1837" w:type="dxa"/>
            <w:vMerge/>
            <w:vAlign w:val="center"/>
          </w:tcPr>
          <w:p w14:paraId="2B628A0E" w14:textId="77777777" w:rsidR="0060646E" w:rsidRPr="00D544CA" w:rsidRDefault="0060646E" w:rsidP="00982507">
            <w:pPr>
              <w:spacing w:after="120"/>
            </w:pPr>
          </w:p>
        </w:tc>
        <w:tc>
          <w:tcPr>
            <w:tcW w:w="3648" w:type="dxa"/>
            <w:vAlign w:val="center"/>
          </w:tcPr>
          <w:p w14:paraId="7E56F274" w14:textId="53445311" w:rsidR="0060646E" w:rsidRPr="00D544CA" w:rsidRDefault="0060646E" w:rsidP="00982507">
            <w:pPr>
              <w:spacing w:after="120"/>
              <w:rPr>
                <w:color w:val="000000"/>
                <w:kern w:val="24"/>
              </w:rPr>
            </w:pPr>
            <w:r>
              <w:rPr>
                <w:color w:val="000000"/>
                <w:kern w:val="24"/>
              </w:rPr>
              <w:t>SRS Port grouping</w:t>
            </w:r>
          </w:p>
        </w:tc>
        <w:tc>
          <w:tcPr>
            <w:tcW w:w="3240" w:type="dxa"/>
            <w:vAlign w:val="center"/>
          </w:tcPr>
          <w:p w14:paraId="68A05542" w14:textId="6DA43413" w:rsidR="0060646E" w:rsidRDefault="0060646E" w:rsidP="00982507">
            <w:pPr>
              <w:spacing w:after="120"/>
              <w:jc w:val="center"/>
              <w:rPr>
                <w:lang w:eastAsia="zh-CN"/>
              </w:rPr>
            </w:pPr>
            <w:r>
              <w:rPr>
                <w:lang w:eastAsia="zh-CN"/>
              </w:rPr>
              <w:t>FFS – PDSCH demod requirements</w:t>
            </w:r>
          </w:p>
        </w:tc>
      </w:tr>
      <w:tr w:rsidR="00276BD2" w:rsidRPr="00D544CA" w14:paraId="5A2E6892" w14:textId="77777777" w:rsidTr="0060646E">
        <w:trPr>
          <w:trHeight w:val="650"/>
          <w:jc w:val="center"/>
        </w:trPr>
        <w:tc>
          <w:tcPr>
            <w:tcW w:w="1837" w:type="dxa"/>
            <w:vAlign w:val="center"/>
          </w:tcPr>
          <w:p w14:paraId="2C521EE0" w14:textId="703C7730" w:rsidR="00276BD2" w:rsidRPr="00D544CA" w:rsidRDefault="00276BD2" w:rsidP="00982507">
            <w:pPr>
              <w:spacing w:after="120"/>
              <w:rPr>
                <w:rFonts w:eastAsia="Malgun Gothic"/>
              </w:rPr>
            </w:pPr>
            <w:r>
              <w:rPr>
                <w:rFonts w:eastAsia="Malgun Gothic"/>
              </w:rPr>
              <w:t>CJT Calibration reporting</w:t>
            </w:r>
          </w:p>
        </w:tc>
        <w:tc>
          <w:tcPr>
            <w:tcW w:w="3648" w:type="dxa"/>
            <w:vAlign w:val="center"/>
          </w:tcPr>
          <w:p w14:paraId="65774F7D" w14:textId="79C8D5E7" w:rsidR="00276BD2" w:rsidRPr="00D544CA" w:rsidRDefault="00276BD2" w:rsidP="00982507">
            <w:pPr>
              <w:spacing w:after="120"/>
              <w:rPr>
                <w:color w:val="000000"/>
                <w:kern w:val="24"/>
              </w:rPr>
            </w:pPr>
            <w:r w:rsidRPr="00D544CA">
              <w:rPr>
                <w:color w:val="000000"/>
                <w:kern w:val="24"/>
              </w:rPr>
              <w:t>Aperiodic standalone CJT calibration reporting</w:t>
            </w:r>
          </w:p>
        </w:tc>
        <w:tc>
          <w:tcPr>
            <w:tcW w:w="3240" w:type="dxa"/>
            <w:vAlign w:val="center"/>
          </w:tcPr>
          <w:p w14:paraId="2D315FA1" w14:textId="217C9F0C" w:rsidR="00276BD2" w:rsidRDefault="00276BD2" w:rsidP="00982507">
            <w:pPr>
              <w:spacing w:after="120"/>
              <w:jc w:val="center"/>
              <w:rPr>
                <w:lang w:eastAsia="zh-CN"/>
              </w:rPr>
            </w:pPr>
            <w:r>
              <w:rPr>
                <w:lang w:eastAsia="zh-CN"/>
              </w:rPr>
              <w:t>FFS – PDSCH demod and CSI reporting requirements</w:t>
            </w:r>
          </w:p>
        </w:tc>
      </w:tr>
      <w:tr w:rsidR="00932B84" w:rsidRPr="00D544CA" w14:paraId="4AE087B5" w14:textId="77777777" w:rsidTr="0060646E">
        <w:trPr>
          <w:trHeight w:val="650"/>
          <w:jc w:val="center"/>
        </w:trPr>
        <w:tc>
          <w:tcPr>
            <w:tcW w:w="1837" w:type="dxa"/>
            <w:vAlign w:val="center"/>
          </w:tcPr>
          <w:p w14:paraId="4B0CF933" w14:textId="77777777" w:rsidR="00932B84" w:rsidRPr="00D544CA" w:rsidRDefault="00932B84" w:rsidP="00982507">
            <w:pPr>
              <w:spacing w:after="120"/>
              <w:rPr>
                <w:rFonts w:eastAsia="Malgun Gothic"/>
              </w:rPr>
            </w:pPr>
            <w:r w:rsidRPr="00D544CA">
              <w:rPr>
                <w:rFonts w:eastAsia="Malgun Gothic"/>
              </w:rPr>
              <w:lastRenderedPageBreak/>
              <w:t>3TX</w:t>
            </w:r>
          </w:p>
        </w:tc>
        <w:tc>
          <w:tcPr>
            <w:tcW w:w="3648" w:type="dxa"/>
            <w:vAlign w:val="center"/>
          </w:tcPr>
          <w:p w14:paraId="4BC0EB20" w14:textId="77777777" w:rsidR="00932B84" w:rsidRPr="00D544CA" w:rsidRDefault="00932B84" w:rsidP="00982507">
            <w:pPr>
              <w:spacing w:after="120"/>
              <w:rPr>
                <w:rFonts w:eastAsia="Malgun Gothic"/>
              </w:rPr>
            </w:pPr>
            <w:r w:rsidRPr="00D544CA">
              <w:rPr>
                <w:color w:val="000000"/>
                <w:kern w:val="24"/>
              </w:rPr>
              <w:t>3-antenna-port codebook-based UL transmission</w:t>
            </w:r>
          </w:p>
        </w:tc>
        <w:tc>
          <w:tcPr>
            <w:tcW w:w="3240" w:type="dxa"/>
            <w:vAlign w:val="center"/>
          </w:tcPr>
          <w:p w14:paraId="4308FD0C" w14:textId="77777777" w:rsidR="00932B84" w:rsidRPr="00D544CA" w:rsidRDefault="00932B84" w:rsidP="00982507">
            <w:pPr>
              <w:spacing w:after="120"/>
              <w:jc w:val="center"/>
              <w:rPr>
                <w:rFonts w:eastAsia="DengXian"/>
                <w:lang w:eastAsia="zh-CN"/>
              </w:rPr>
            </w:pPr>
            <w:r>
              <w:rPr>
                <w:lang w:eastAsia="zh-CN"/>
              </w:rPr>
              <w:t>No</w:t>
            </w:r>
          </w:p>
        </w:tc>
      </w:tr>
      <w:tr w:rsidR="00932B84" w:rsidRPr="00D544CA" w14:paraId="4C529B6F" w14:textId="77777777" w:rsidTr="0060646E">
        <w:trPr>
          <w:trHeight w:val="650"/>
          <w:jc w:val="center"/>
        </w:trPr>
        <w:tc>
          <w:tcPr>
            <w:tcW w:w="1837" w:type="dxa"/>
            <w:vAlign w:val="center"/>
          </w:tcPr>
          <w:p w14:paraId="22C2F622" w14:textId="77777777" w:rsidR="00932B84" w:rsidRPr="00D544CA" w:rsidRDefault="00932B84" w:rsidP="00982507">
            <w:pPr>
              <w:spacing w:after="120"/>
              <w:rPr>
                <w:rFonts w:eastAsia="Malgun Gothic"/>
              </w:rPr>
            </w:pPr>
            <w:r w:rsidRPr="00D544CA">
              <w:rPr>
                <w:rFonts w:eastAsia="Malgun Gothic"/>
              </w:rPr>
              <w:t xml:space="preserve">Asymmetric DL </w:t>
            </w:r>
            <w:proofErr w:type="spellStart"/>
            <w:r w:rsidRPr="00D544CA">
              <w:rPr>
                <w:rFonts w:eastAsia="Malgun Gothic"/>
              </w:rPr>
              <w:t>sTRP</w:t>
            </w:r>
            <w:proofErr w:type="spellEnd"/>
            <w:r w:rsidRPr="00D544CA">
              <w:rPr>
                <w:rFonts w:eastAsia="Malgun Gothic"/>
              </w:rPr>
              <w:t xml:space="preserve">/UL </w:t>
            </w:r>
            <w:proofErr w:type="spellStart"/>
            <w:r w:rsidRPr="00D544CA">
              <w:rPr>
                <w:rFonts w:eastAsia="Malgun Gothic"/>
              </w:rPr>
              <w:t>mTR</w:t>
            </w:r>
            <w:r w:rsidRPr="00D544CA">
              <w:t>P</w:t>
            </w:r>
            <w:proofErr w:type="spellEnd"/>
          </w:p>
        </w:tc>
        <w:tc>
          <w:tcPr>
            <w:tcW w:w="3648" w:type="dxa"/>
            <w:vAlign w:val="center"/>
          </w:tcPr>
          <w:p w14:paraId="2C6945DA" w14:textId="79C186E4" w:rsidR="00932B84" w:rsidRPr="00D544CA" w:rsidRDefault="0060646E" w:rsidP="00982507">
            <w:pPr>
              <w:spacing w:after="120"/>
              <w:rPr>
                <w:rFonts w:eastAsia="Malgun Gothic"/>
                <w:lang w:eastAsia="zh-CN"/>
              </w:rPr>
            </w:pPr>
            <w:r w:rsidRPr="00D544CA">
              <w:rPr>
                <w:rFonts w:eastAsia="Malgun Gothic"/>
              </w:rPr>
              <w:t xml:space="preserve">Asymmetric DL </w:t>
            </w:r>
            <w:proofErr w:type="spellStart"/>
            <w:r w:rsidRPr="00D544CA">
              <w:rPr>
                <w:rFonts w:eastAsia="Malgun Gothic"/>
              </w:rPr>
              <w:t>sTRP</w:t>
            </w:r>
            <w:proofErr w:type="spellEnd"/>
            <w:r w:rsidRPr="00D544CA">
              <w:rPr>
                <w:rFonts w:eastAsia="Malgun Gothic"/>
              </w:rPr>
              <w:t xml:space="preserve">/UL </w:t>
            </w:r>
            <w:proofErr w:type="spellStart"/>
            <w:r w:rsidRPr="00D544CA">
              <w:rPr>
                <w:rFonts w:eastAsia="Malgun Gothic"/>
              </w:rPr>
              <w:t>mTR</w:t>
            </w:r>
            <w:r w:rsidRPr="00D544CA">
              <w:t>P</w:t>
            </w:r>
            <w:proofErr w:type="spellEnd"/>
          </w:p>
        </w:tc>
        <w:tc>
          <w:tcPr>
            <w:tcW w:w="3240" w:type="dxa"/>
            <w:vAlign w:val="center"/>
          </w:tcPr>
          <w:p w14:paraId="5DA98B51" w14:textId="70B3BE8F" w:rsidR="00932B84" w:rsidRPr="00D544CA" w:rsidRDefault="0060646E" w:rsidP="00982507">
            <w:pPr>
              <w:spacing w:after="120"/>
              <w:jc w:val="center"/>
              <w:rPr>
                <w:rFonts w:eastAsia="DengXian"/>
                <w:lang w:eastAsia="zh-CN"/>
              </w:rPr>
            </w:pPr>
            <w:r>
              <w:rPr>
                <w:lang w:eastAsia="zh-CN"/>
              </w:rPr>
              <w:t>No</w:t>
            </w:r>
          </w:p>
        </w:tc>
      </w:tr>
    </w:tbl>
    <w:p w14:paraId="21EFEFEB" w14:textId="77777777" w:rsidR="00932B84" w:rsidRPr="002C4B04" w:rsidRDefault="00932B84" w:rsidP="00057FAD"/>
    <w:p w14:paraId="0E91BFC6" w14:textId="7CB7B087" w:rsidR="00057FAD" w:rsidRPr="00A705C9" w:rsidRDefault="00057FAD" w:rsidP="00A705C9">
      <w:pPr>
        <w:pStyle w:val="Heading3"/>
        <w:spacing w:after="240"/>
        <w:rPr>
          <w:rFonts w:ascii="Arial" w:hAnsi="Arial" w:cs="Arial"/>
          <w:color w:val="000000" w:themeColor="text1"/>
          <w:sz w:val="28"/>
          <w:szCs w:val="28"/>
          <w:lang w:eastAsia="zh-CN"/>
        </w:rPr>
      </w:pPr>
      <w:r w:rsidRPr="00A705C9">
        <w:rPr>
          <w:rFonts w:ascii="Arial" w:hAnsi="Arial" w:cs="Arial"/>
          <w:color w:val="000000" w:themeColor="text1"/>
          <w:sz w:val="28"/>
          <w:szCs w:val="28"/>
          <w:lang w:eastAsia="zh-CN"/>
        </w:rPr>
        <w:t>CSI Enhancements</w:t>
      </w:r>
    </w:p>
    <w:p w14:paraId="3270D700" w14:textId="77777777" w:rsidR="00276BD2" w:rsidRDefault="00276BD2" w:rsidP="00276BD2">
      <w:r>
        <w:t>For CSI enhancements, the following are introduced in RAN1:</w:t>
      </w:r>
    </w:p>
    <w:p w14:paraId="2DF4E5C8" w14:textId="77777777" w:rsidR="00276BD2" w:rsidRDefault="00276BD2" w:rsidP="00276BD2">
      <w:pPr>
        <w:pStyle w:val="ListParagraph"/>
        <w:numPr>
          <w:ilvl w:val="0"/>
          <w:numId w:val="58"/>
        </w:numPr>
      </w:pPr>
      <w:r>
        <w:t>PMI reporting for 48, 64, 128 ports for the following codebooks</w:t>
      </w:r>
    </w:p>
    <w:p w14:paraId="271FE7C6" w14:textId="77777777" w:rsidR="00276BD2" w:rsidRPr="00AE0255" w:rsidRDefault="00276BD2" w:rsidP="00276BD2">
      <w:pPr>
        <w:pStyle w:val="ListParagraph"/>
        <w:numPr>
          <w:ilvl w:val="1"/>
          <w:numId w:val="58"/>
        </w:numPr>
        <w:rPr>
          <w:color w:val="70AD47" w:themeColor="accent6"/>
        </w:rPr>
      </w:pPr>
      <w:r w:rsidRPr="00AE0255">
        <w:rPr>
          <w:color w:val="70AD47" w:themeColor="accent6"/>
        </w:rPr>
        <w:t>Rel-15 Type I-SP (Single panel)</w:t>
      </w:r>
    </w:p>
    <w:p w14:paraId="0E0B60AA" w14:textId="77777777" w:rsidR="00276BD2" w:rsidRPr="00DA5301" w:rsidRDefault="00276BD2" w:rsidP="00276BD2">
      <w:pPr>
        <w:pStyle w:val="ListParagraph"/>
        <w:numPr>
          <w:ilvl w:val="1"/>
          <w:numId w:val="58"/>
        </w:numPr>
        <w:rPr>
          <w:color w:val="D0CECE" w:themeColor="background2" w:themeShade="E6"/>
        </w:rPr>
      </w:pPr>
      <w:r w:rsidRPr="00DA5301">
        <w:rPr>
          <w:color w:val="D0CECE" w:themeColor="background2" w:themeShade="E6"/>
        </w:rPr>
        <w:t>Rel-15 Type I-MP (multi panel)</w:t>
      </w:r>
    </w:p>
    <w:p w14:paraId="6588030B" w14:textId="77777777" w:rsidR="00276BD2" w:rsidRDefault="00276BD2" w:rsidP="00276BD2">
      <w:pPr>
        <w:pStyle w:val="ListParagraph"/>
        <w:numPr>
          <w:ilvl w:val="1"/>
          <w:numId w:val="58"/>
        </w:numPr>
      </w:pPr>
      <w:r>
        <w:t xml:space="preserve">Rel-16 </w:t>
      </w:r>
      <w:proofErr w:type="spellStart"/>
      <w:r>
        <w:t>eType</w:t>
      </w:r>
      <w:proofErr w:type="spellEnd"/>
      <w:r>
        <w:t xml:space="preserve"> II </w:t>
      </w:r>
    </w:p>
    <w:p w14:paraId="2DE99A0F" w14:textId="77777777" w:rsidR="00276BD2" w:rsidRPr="00DA5301" w:rsidRDefault="00276BD2" w:rsidP="00276BD2">
      <w:pPr>
        <w:pStyle w:val="ListParagraph"/>
        <w:numPr>
          <w:ilvl w:val="1"/>
          <w:numId w:val="58"/>
        </w:numPr>
        <w:rPr>
          <w:color w:val="D0CECE" w:themeColor="background2" w:themeShade="E6"/>
        </w:rPr>
      </w:pPr>
      <w:r w:rsidRPr="00DA5301">
        <w:rPr>
          <w:color w:val="D0CECE" w:themeColor="background2" w:themeShade="E6"/>
        </w:rPr>
        <w:t xml:space="preserve">Rel-17 </w:t>
      </w:r>
      <w:proofErr w:type="spellStart"/>
      <w:r w:rsidRPr="00DA5301">
        <w:rPr>
          <w:color w:val="D0CECE" w:themeColor="background2" w:themeShade="E6"/>
        </w:rPr>
        <w:t>FeType</w:t>
      </w:r>
      <w:proofErr w:type="spellEnd"/>
      <w:r w:rsidRPr="00DA5301">
        <w:rPr>
          <w:color w:val="D0CECE" w:themeColor="background2" w:themeShade="E6"/>
        </w:rPr>
        <w:t xml:space="preserve"> II PS (port selection)</w:t>
      </w:r>
    </w:p>
    <w:p w14:paraId="75C7FBDA" w14:textId="77777777" w:rsidR="00276BD2" w:rsidRDefault="00276BD2" w:rsidP="00276BD2">
      <w:pPr>
        <w:pStyle w:val="ListParagraph"/>
        <w:numPr>
          <w:ilvl w:val="1"/>
          <w:numId w:val="58"/>
        </w:numPr>
      </w:pPr>
      <w:r>
        <w:t>Rel-18 Type II-Doppler</w:t>
      </w:r>
    </w:p>
    <w:p w14:paraId="1415C233" w14:textId="77777777" w:rsidR="00276BD2" w:rsidRPr="00DA5301" w:rsidRDefault="00276BD2" w:rsidP="00276BD2">
      <w:pPr>
        <w:pStyle w:val="ListParagraph"/>
        <w:numPr>
          <w:ilvl w:val="1"/>
          <w:numId w:val="58"/>
        </w:numPr>
        <w:rPr>
          <w:color w:val="D0CECE" w:themeColor="background2" w:themeShade="E6"/>
        </w:rPr>
      </w:pPr>
      <w:r w:rsidRPr="00DA5301">
        <w:rPr>
          <w:color w:val="D0CECE" w:themeColor="background2" w:themeShade="E6"/>
        </w:rPr>
        <w:t xml:space="preserve">Rel-18 Type II-CJT </w:t>
      </w:r>
    </w:p>
    <w:p w14:paraId="21C7D680" w14:textId="77777777" w:rsidR="00276BD2" w:rsidRPr="00276BD2" w:rsidRDefault="00276BD2" w:rsidP="00276BD2">
      <w:pPr>
        <w:pStyle w:val="ListParagraph"/>
        <w:numPr>
          <w:ilvl w:val="0"/>
          <w:numId w:val="58"/>
        </w:numPr>
        <w:rPr>
          <w:color w:val="D0CECE" w:themeColor="background2" w:themeShade="E6"/>
        </w:rPr>
      </w:pPr>
      <w:r w:rsidRPr="00276BD2">
        <w:rPr>
          <w:color w:val="D0CECE" w:themeColor="background2" w:themeShade="E6"/>
        </w:rPr>
        <w:t xml:space="preserve">CRI reporting enhancement for up to 128 ports for Type I and </w:t>
      </w:r>
      <w:proofErr w:type="spellStart"/>
      <w:r w:rsidRPr="00276BD2">
        <w:rPr>
          <w:color w:val="D0CECE" w:themeColor="background2" w:themeShade="E6"/>
        </w:rPr>
        <w:t>eType</w:t>
      </w:r>
      <w:proofErr w:type="spellEnd"/>
      <w:r w:rsidRPr="00276BD2">
        <w:rPr>
          <w:color w:val="D0CECE" w:themeColor="background2" w:themeShade="E6"/>
        </w:rPr>
        <w:t xml:space="preserve"> II codebooks</w:t>
      </w:r>
    </w:p>
    <w:p w14:paraId="0A7CBA47" w14:textId="77777777" w:rsidR="00276BD2" w:rsidRDefault="00276BD2" w:rsidP="00276BD2">
      <w:pPr>
        <w:pStyle w:val="ListParagraph"/>
        <w:numPr>
          <w:ilvl w:val="0"/>
          <w:numId w:val="58"/>
        </w:numPr>
      </w:pPr>
      <w:r>
        <w:t>F</w:t>
      </w:r>
      <w:r w:rsidRPr="00B00E6C">
        <w:t>ixed SRS port group</w:t>
      </w:r>
      <w:r>
        <w:t xml:space="preserve"> mapping for SRS antenna switching when &gt; 4 layers/ 2 2CW is supported</w:t>
      </w:r>
    </w:p>
    <w:p w14:paraId="03DAE9CA" w14:textId="77777777" w:rsidR="00276BD2" w:rsidRDefault="00276BD2" w:rsidP="00057FAD"/>
    <w:p w14:paraId="77E50787" w14:textId="3475F744" w:rsidR="00AE0255" w:rsidRPr="00912152" w:rsidRDefault="00AE0255" w:rsidP="00057FAD">
      <w:pPr>
        <w:rPr>
          <w:b/>
          <w:bCs/>
          <w:sz w:val="22"/>
          <w:szCs w:val="22"/>
          <w:u w:val="single"/>
        </w:rPr>
      </w:pPr>
      <w:r w:rsidRPr="00912152">
        <w:rPr>
          <w:b/>
          <w:bCs/>
          <w:sz w:val="22"/>
          <w:szCs w:val="22"/>
          <w:u w:val="single"/>
        </w:rPr>
        <w:t>Codebook enhancement</w:t>
      </w:r>
    </w:p>
    <w:p w14:paraId="1F25F5B1" w14:textId="226DCED8" w:rsidR="00EA1D8E" w:rsidRDefault="00EA1D8E" w:rsidP="00057FAD">
      <w:pPr>
        <w:rPr>
          <w:rFonts w:eastAsia="SimSun"/>
          <w:szCs w:val="24"/>
          <w:lang w:eastAsia="zh-CN"/>
        </w:rPr>
      </w:pPr>
      <w:r>
        <w:t xml:space="preserve">For codebook refinement for up to 128 ports it has been agreed to define PMI reporting requirements for </w:t>
      </w:r>
      <w:r w:rsidRPr="00003F52">
        <w:rPr>
          <w:rFonts w:eastAsia="SimSun"/>
          <w:szCs w:val="24"/>
          <w:lang w:eastAsia="zh-CN"/>
        </w:rPr>
        <w:t>typeI-SinglePanel-r19</w:t>
      </w:r>
      <w:r>
        <w:rPr>
          <w:rFonts w:eastAsia="SimSun"/>
          <w:szCs w:val="24"/>
          <w:lang w:eastAsia="zh-CN"/>
        </w:rPr>
        <w:t xml:space="preserve">. </w:t>
      </w:r>
      <w:r w:rsidR="00276BD2">
        <w:rPr>
          <w:rFonts w:eastAsia="SimSun"/>
          <w:szCs w:val="24"/>
          <w:lang w:eastAsia="zh-CN"/>
        </w:rPr>
        <w:t xml:space="preserve">And FFS if requirements are introduced for </w:t>
      </w:r>
      <w:proofErr w:type="spellStart"/>
      <w:r w:rsidR="00AE0255">
        <w:rPr>
          <w:rFonts w:eastAsia="SimSun"/>
          <w:szCs w:val="24"/>
          <w:lang w:eastAsia="zh-CN"/>
        </w:rPr>
        <w:t>eType</w:t>
      </w:r>
      <w:proofErr w:type="spellEnd"/>
      <w:r w:rsidR="00AE0255">
        <w:rPr>
          <w:rFonts w:eastAsia="SimSun"/>
          <w:szCs w:val="24"/>
          <w:lang w:eastAsia="zh-CN"/>
        </w:rPr>
        <w:t xml:space="preserve"> II and Type II-Doppler codebook for &gt; 32 ports. It is not necessary to define requirements for all codebooks with increased number of TX. </w:t>
      </w:r>
      <w:r w:rsidR="00024815">
        <w:rPr>
          <w:rFonts w:eastAsia="SimSun"/>
          <w:szCs w:val="24"/>
          <w:lang w:eastAsia="zh-CN"/>
        </w:rPr>
        <w:t xml:space="preserve">Hence, we propose not to define requirements for </w:t>
      </w:r>
      <w:proofErr w:type="spellStart"/>
      <w:r w:rsidR="00024815">
        <w:rPr>
          <w:rFonts w:eastAsia="SimSun"/>
          <w:szCs w:val="24"/>
          <w:lang w:eastAsia="zh-CN"/>
        </w:rPr>
        <w:t>eType</w:t>
      </w:r>
      <w:proofErr w:type="spellEnd"/>
      <w:r w:rsidR="00024815">
        <w:rPr>
          <w:rFonts w:eastAsia="SimSun"/>
          <w:szCs w:val="24"/>
          <w:lang w:eastAsia="zh-CN"/>
        </w:rPr>
        <w:t xml:space="preserve"> II and Type II-Doppler codebook with larger number of TX. </w:t>
      </w:r>
    </w:p>
    <w:p w14:paraId="36E15D6F" w14:textId="77777777" w:rsidR="00024815" w:rsidRPr="00044DCB" w:rsidRDefault="00024815" w:rsidP="00024815">
      <w:pPr>
        <w:pStyle w:val="ListParagraph"/>
        <w:numPr>
          <w:ilvl w:val="0"/>
          <w:numId w:val="48"/>
        </w:numPr>
        <w:rPr>
          <w:i/>
          <w:iCs/>
        </w:rPr>
      </w:pPr>
      <w:r w:rsidRPr="00044DCB">
        <w:rPr>
          <w:i/>
          <w:iCs/>
        </w:rPr>
        <w:t>It is not necessary to introduce PMI reporting requirements for all codebooks with increased number of TX ports</w:t>
      </w:r>
    </w:p>
    <w:p w14:paraId="7ECA3F77" w14:textId="5FE436DE" w:rsidR="00024815" w:rsidRPr="00044DCB" w:rsidRDefault="00024815" w:rsidP="00024815">
      <w:pPr>
        <w:pStyle w:val="ListParagraph"/>
        <w:ind w:left="360"/>
        <w:rPr>
          <w:b/>
          <w:bCs/>
        </w:rPr>
      </w:pPr>
      <w:r>
        <w:rPr>
          <w:b/>
          <w:bCs/>
        </w:rPr>
        <w:t>Do not d</w:t>
      </w:r>
      <w:r w:rsidRPr="00044DCB">
        <w:rPr>
          <w:b/>
          <w:bCs/>
        </w:rPr>
        <w:t xml:space="preserve">efine requirements with </w:t>
      </w:r>
      <w:proofErr w:type="spellStart"/>
      <w:r>
        <w:rPr>
          <w:b/>
          <w:bCs/>
        </w:rPr>
        <w:t>e</w:t>
      </w:r>
      <w:r w:rsidRPr="00044DCB">
        <w:rPr>
          <w:b/>
          <w:bCs/>
        </w:rPr>
        <w:t>Type</w:t>
      </w:r>
      <w:proofErr w:type="spellEnd"/>
      <w:r w:rsidRPr="00044DCB">
        <w:rPr>
          <w:b/>
          <w:bCs/>
        </w:rPr>
        <w:t xml:space="preserve"> I</w:t>
      </w:r>
      <w:r>
        <w:rPr>
          <w:b/>
          <w:bCs/>
        </w:rPr>
        <w:t>I</w:t>
      </w:r>
      <w:r w:rsidRPr="00044DCB">
        <w:rPr>
          <w:b/>
          <w:bCs/>
        </w:rPr>
        <w:t xml:space="preserve"> </w:t>
      </w:r>
      <w:r>
        <w:rPr>
          <w:b/>
          <w:bCs/>
        </w:rPr>
        <w:t xml:space="preserve">or Type II-Doppler </w:t>
      </w:r>
      <w:r w:rsidRPr="00044DCB">
        <w:rPr>
          <w:b/>
          <w:bCs/>
        </w:rPr>
        <w:t xml:space="preserve">codebook with </w:t>
      </w:r>
      <w:r>
        <w:rPr>
          <w:b/>
          <w:bCs/>
        </w:rPr>
        <w:t>&gt; 32</w:t>
      </w:r>
      <w:r w:rsidRPr="00044DCB">
        <w:rPr>
          <w:b/>
          <w:bCs/>
        </w:rPr>
        <w:t xml:space="preserve"> TX ports in Rel-19.  </w:t>
      </w:r>
    </w:p>
    <w:p w14:paraId="177B6DBC" w14:textId="77777777" w:rsidR="00024815" w:rsidRDefault="00024815" w:rsidP="00057FAD"/>
    <w:p w14:paraId="4BFF0533" w14:textId="392DC9B1" w:rsidR="00912152" w:rsidRPr="00912152" w:rsidRDefault="00912152" w:rsidP="00912152">
      <w:pPr>
        <w:rPr>
          <w:b/>
          <w:bCs/>
          <w:sz w:val="22"/>
          <w:szCs w:val="22"/>
          <w:u w:val="single"/>
        </w:rPr>
      </w:pPr>
      <w:r>
        <w:rPr>
          <w:b/>
          <w:bCs/>
          <w:sz w:val="22"/>
          <w:szCs w:val="22"/>
          <w:u w:val="single"/>
        </w:rPr>
        <w:t>SRS Port grouping</w:t>
      </w:r>
    </w:p>
    <w:p w14:paraId="06823384" w14:textId="77777777" w:rsidR="00912152" w:rsidRDefault="00912152" w:rsidP="00057FAD"/>
    <w:p w14:paraId="3F48170D" w14:textId="77777777" w:rsidR="003D4486" w:rsidRDefault="003D4486" w:rsidP="003D4486">
      <w:pPr>
        <w:rPr>
          <w:b/>
          <w:u w:val="single"/>
          <w:lang w:eastAsia="ko-KR"/>
        </w:rPr>
      </w:pPr>
      <w:r w:rsidRPr="005A058C">
        <w:rPr>
          <w:b/>
          <w:u w:val="single"/>
          <w:lang w:eastAsia="ko-KR"/>
        </w:rPr>
        <w:t>Issue 1-1</w:t>
      </w:r>
      <w:r>
        <w:rPr>
          <w:b/>
          <w:u w:val="single"/>
          <w:lang w:eastAsia="ko-KR"/>
        </w:rPr>
        <w:t>-9</w:t>
      </w:r>
      <w:r w:rsidRPr="005A058C">
        <w:rPr>
          <w:b/>
          <w:u w:val="single"/>
          <w:lang w:eastAsia="ko-KR"/>
        </w:rPr>
        <w:t xml:space="preserve">: Clarify if </w:t>
      </w:r>
      <w:r>
        <w:rPr>
          <w:b/>
          <w:u w:val="single"/>
          <w:lang w:eastAsia="ko-KR"/>
        </w:rPr>
        <w:t xml:space="preserve">UE </w:t>
      </w:r>
      <w:r w:rsidRPr="005A058C">
        <w:rPr>
          <w:b/>
          <w:u w:val="single"/>
          <w:lang w:eastAsia="ko-KR"/>
        </w:rPr>
        <w:t>demodulation/CSI reporting requirements are needed for SRS port grouping</w:t>
      </w:r>
    </w:p>
    <w:p w14:paraId="4BA921A4" w14:textId="77777777" w:rsidR="003D4486" w:rsidRDefault="003D4486" w:rsidP="003D4486">
      <w:pPr>
        <w:rPr>
          <w:rFonts w:eastAsia="SimSun"/>
          <w:bCs/>
          <w:szCs w:val="24"/>
          <w:u w:val="single"/>
          <w:lang w:eastAsia="zh-CN"/>
        </w:rPr>
      </w:pPr>
      <w:r w:rsidRPr="00FB0A0F">
        <w:rPr>
          <w:bCs/>
          <w:u w:val="single"/>
          <w:lang w:eastAsia="zh-CN"/>
        </w:rPr>
        <w:t>Way forward</w:t>
      </w:r>
      <w:r w:rsidRPr="00FB0A0F">
        <w:rPr>
          <w:rFonts w:eastAsia="SimSun"/>
          <w:bCs/>
          <w:szCs w:val="24"/>
          <w:u w:val="single"/>
          <w:lang w:eastAsia="zh-CN"/>
        </w:rPr>
        <w:t>:</w:t>
      </w:r>
    </w:p>
    <w:p w14:paraId="327C7B34" w14:textId="77777777" w:rsidR="003D4486" w:rsidRDefault="003D4486" w:rsidP="003D4486">
      <w:pPr>
        <w:pStyle w:val="B1"/>
        <w:rPr>
          <w:lang w:eastAsia="zh-CN"/>
        </w:rPr>
      </w:pPr>
      <w:r>
        <w:rPr>
          <w:lang w:eastAsia="zh-CN"/>
        </w:rPr>
        <w:t>-</w:t>
      </w:r>
      <w:r>
        <w:rPr>
          <w:lang w:eastAsia="zh-CN"/>
        </w:rPr>
        <w:tab/>
        <w:t xml:space="preserve">Option 1: </w:t>
      </w:r>
      <w:r w:rsidRPr="001D3C61">
        <w:rPr>
          <w:lang w:eastAsia="zh-CN"/>
        </w:rPr>
        <w:t>RAN4 introduce PDSCH demodulation requirements for SRS port grouping</w:t>
      </w:r>
    </w:p>
    <w:p w14:paraId="6C8F3F92" w14:textId="77777777" w:rsidR="003D4486" w:rsidRDefault="003D4486" w:rsidP="003D4486">
      <w:pPr>
        <w:pStyle w:val="B1"/>
        <w:ind w:left="900"/>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Pr="001D3C61">
        <w:rPr>
          <w:rFonts w:eastAsiaTheme="minorEastAsia"/>
          <w:lang w:eastAsia="zh-CN"/>
        </w:rPr>
        <w:t>-</w:t>
      </w:r>
      <w:r w:rsidRPr="001D3C61">
        <w:rPr>
          <w:rFonts w:eastAsiaTheme="minorEastAsia"/>
          <w:lang w:eastAsia="zh-CN"/>
        </w:rPr>
        <w:tab/>
        <w:t>Option 1A: RAN4 to discuss reuse of existing demod requirements for SRS port grouping scheme.</w:t>
      </w:r>
    </w:p>
    <w:p w14:paraId="4E86C165" w14:textId="77777777" w:rsidR="003D4486" w:rsidRPr="001D3C61" w:rsidRDefault="003D4486" w:rsidP="003D4486">
      <w:pPr>
        <w:pStyle w:val="B1"/>
        <w:ind w:leftChars="570" w:left="1440" w:hangingChars="150" w:hanging="300"/>
        <w:rPr>
          <w:rFonts w:eastAsiaTheme="minorEastAsia"/>
          <w:lang w:eastAsia="zh-CN"/>
        </w:rPr>
      </w:pPr>
      <w:r w:rsidRPr="001D3C61">
        <w:rPr>
          <w:rFonts w:eastAsiaTheme="minorEastAsia"/>
          <w:lang w:eastAsia="zh-CN"/>
        </w:rPr>
        <w:lastRenderedPageBreak/>
        <w:t>-</w:t>
      </w:r>
      <w:r w:rsidRPr="001D3C61">
        <w:rPr>
          <w:rFonts w:eastAsiaTheme="minorEastAsia"/>
          <w:lang w:eastAsia="zh-CN"/>
        </w:rPr>
        <w:tab/>
        <w:t>Option 1B: RAN4 to discuss the new performance requirements for R19 8Rx UE supporting SRS port grouping, FFS the test setup.</w:t>
      </w:r>
    </w:p>
    <w:p w14:paraId="22B61530" w14:textId="77777777" w:rsidR="003D4486" w:rsidRDefault="003D4486" w:rsidP="003D4486">
      <w:pPr>
        <w:pStyle w:val="B1"/>
        <w:rPr>
          <w:lang w:eastAsia="zh-CN"/>
        </w:rPr>
      </w:pPr>
      <w:r>
        <w:rPr>
          <w:lang w:eastAsia="zh-CN"/>
        </w:rPr>
        <w:t>-</w:t>
      </w:r>
      <w:r>
        <w:rPr>
          <w:lang w:eastAsia="zh-CN"/>
        </w:rPr>
        <w:tab/>
        <w:t xml:space="preserve">Option 2: </w:t>
      </w:r>
      <w:r w:rsidRPr="001D3C61">
        <w:rPr>
          <w:lang w:eastAsia="zh-CN"/>
        </w:rPr>
        <w:t xml:space="preserve">RAN4 </w:t>
      </w:r>
      <w:r>
        <w:rPr>
          <w:lang w:eastAsia="zh-CN"/>
        </w:rPr>
        <w:t>do</w:t>
      </w:r>
      <w:r w:rsidRPr="001D3C61">
        <w:rPr>
          <w:lang w:eastAsia="zh-CN"/>
        </w:rPr>
        <w:t xml:space="preserve"> not introduce UE demodulation/CSI reporting requirements for SRS port grouping </w:t>
      </w:r>
    </w:p>
    <w:p w14:paraId="3DE96EAF" w14:textId="77777777" w:rsidR="003D4486" w:rsidRDefault="003D4486" w:rsidP="00057FAD"/>
    <w:p w14:paraId="11B6C8A6" w14:textId="2C9F4CDD" w:rsidR="00EA1D8E" w:rsidRDefault="002165B9" w:rsidP="00057FAD">
      <w:r>
        <w:t xml:space="preserve">It is FFS if requirements should be introduced for SRS port grouping. SRS port grouping feature introduces fixed port grouping for </w:t>
      </w:r>
      <w:r w:rsidR="003D4486">
        <w:t>low complexity 6RX /8RX receiver for &gt; 4 MIMO layers. To properly verify this the test setup will need to have the following –</w:t>
      </w:r>
    </w:p>
    <w:p w14:paraId="66EE0E85" w14:textId="08FCA3E9" w:rsidR="003D4486" w:rsidRDefault="003D4486" w:rsidP="003D4486">
      <w:pPr>
        <w:pStyle w:val="ListParagraph"/>
        <w:numPr>
          <w:ilvl w:val="0"/>
          <w:numId w:val="62"/>
        </w:numPr>
      </w:pPr>
      <w:r>
        <w:t>SRS antenna switching</w:t>
      </w:r>
    </w:p>
    <w:p w14:paraId="3C065DA0" w14:textId="43C698F9" w:rsidR="003D4486" w:rsidRDefault="003D4486" w:rsidP="003D4486">
      <w:pPr>
        <w:pStyle w:val="ListParagraph"/>
        <w:numPr>
          <w:ilvl w:val="0"/>
          <w:numId w:val="62"/>
        </w:numPr>
      </w:pPr>
      <w:r>
        <w:t>Reciprocity based SVD precoder for PDSCH</w:t>
      </w:r>
    </w:p>
    <w:p w14:paraId="3ED87176" w14:textId="2907F8A4" w:rsidR="003D4486" w:rsidRDefault="003D4486" w:rsidP="003D4486">
      <w:r>
        <w:t xml:space="preserve">Neither of these are introduced for demod requirements so far. </w:t>
      </w:r>
    </w:p>
    <w:p w14:paraId="3D4556D8" w14:textId="40757ADE" w:rsidR="003D4486" w:rsidRDefault="003D4486" w:rsidP="003D4486">
      <w:r>
        <w:t xml:space="preserve">We cannot reuse the exiting requirements for testing SRS port grouping in our understanding. </w:t>
      </w:r>
    </w:p>
    <w:p w14:paraId="59054C66" w14:textId="5EC1236A" w:rsidR="003D4486" w:rsidRDefault="003D4486" w:rsidP="003D4486">
      <w:pPr>
        <w:pStyle w:val="ListParagraph"/>
        <w:numPr>
          <w:ilvl w:val="0"/>
          <w:numId w:val="48"/>
        </w:numPr>
        <w:rPr>
          <w:i/>
          <w:iCs/>
        </w:rPr>
      </w:pPr>
      <w:r>
        <w:rPr>
          <w:i/>
          <w:iCs/>
        </w:rPr>
        <w:t>For testing SRS port grouping with UE demod requirements, we would need to introduce (1) SRS antenna switching (2) Reciprocity based SVD precoder which have not been done so far for UE demodulation requirements.</w:t>
      </w:r>
    </w:p>
    <w:p w14:paraId="2F58ABF5" w14:textId="031C2AB8" w:rsidR="003D4486" w:rsidRDefault="003D4486" w:rsidP="003D4486">
      <w:pPr>
        <w:pStyle w:val="ListParagraph"/>
        <w:numPr>
          <w:ilvl w:val="0"/>
          <w:numId w:val="48"/>
        </w:numPr>
        <w:rPr>
          <w:i/>
          <w:iCs/>
        </w:rPr>
      </w:pPr>
      <w:r>
        <w:rPr>
          <w:i/>
          <w:iCs/>
        </w:rPr>
        <w:t>Existing requirements cannot be reused to test SRS port grouping.</w:t>
      </w:r>
    </w:p>
    <w:p w14:paraId="7230E670" w14:textId="77777777" w:rsidR="003D4486" w:rsidRDefault="003D4486" w:rsidP="003D4486"/>
    <w:p w14:paraId="09D82B89" w14:textId="47A58E4C" w:rsidR="003D4486" w:rsidRDefault="003D4486" w:rsidP="003D4486">
      <w:r>
        <w:t>We can further discuss the feasibility of the test set up and introduction of requirements to test SRS port grouping in Rel-19.</w:t>
      </w:r>
    </w:p>
    <w:p w14:paraId="209E6C00" w14:textId="2D8A7CE2" w:rsidR="003D4486" w:rsidRPr="00044DCB" w:rsidRDefault="003D4486" w:rsidP="003D4486">
      <w:pPr>
        <w:pStyle w:val="ListParagraph"/>
        <w:ind w:left="360"/>
        <w:rPr>
          <w:b/>
          <w:bCs/>
        </w:rPr>
      </w:pPr>
      <w:r>
        <w:rPr>
          <w:b/>
          <w:bCs/>
        </w:rPr>
        <w:t>Discuss feasibility of test setup fo</w:t>
      </w:r>
      <w:r w:rsidR="00912152">
        <w:rPr>
          <w:b/>
          <w:bCs/>
        </w:rPr>
        <w:t xml:space="preserve">r introducing requirements with SRS port grouping </w:t>
      </w:r>
      <w:r w:rsidRPr="00044DCB">
        <w:rPr>
          <w:b/>
          <w:bCs/>
        </w:rPr>
        <w:t xml:space="preserve">in Rel-19.  </w:t>
      </w:r>
    </w:p>
    <w:p w14:paraId="784E3A23" w14:textId="77777777" w:rsidR="003D4486" w:rsidRDefault="003D4486" w:rsidP="003D4486"/>
    <w:p w14:paraId="07FC15BC" w14:textId="77777777" w:rsidR="00FC495E" w:rsidRDefault="00FC495E" w:rsidP="00A96703"/>
    <w:p w14:paraId="12416FE5" w14:textId="1EE60300" w:rsidR="00057FAD" w:rsidRPr="00A705C9" w:rsidRDefault="00057FAD" w:rsidP="00A705C9">
      <w:pPr>
        <w:pStyle w:val="Heading3"/>
        <w:spacing w:after="240"/>
        <w:rPr>
          <w:rFonts w:ascii="Arial" w:hAnsi="Arial" w:cs="Arial"/>
          <w:color w:val="000000" w:themeColor="text1"/>
          <w:sz w:val="28"/>
          <w:szCs w:val="28"/>
          <w:lang w:eastAsia="zh-CN"/>
        </w:rPr>
      </w:pPr>
      <w:r w:rsidRPr="00A705C9">
        <w:rPr>
          <w:rFonts w:ascii="Arial" w:hAnsi="Arial" w:cs="Arial"/>
          <w:color w:val="000000" w:themeColor="text1"/>
          <w:sz w:val="28"/>
          <w:szCs w:val="28"/>
          <w:lang w:eastAsia="zh-CN"/>
        </w:rPr>
        <w:t xml:space="preserve">CJT Reporting Enhancement </w:t>
      </w:r>
    </w:p>
    <w:p w14:paraId="736E5138" w14:textId="17B609BC" w:rsidR="00057FAD" w:rsidRPr="002C4B04" w:rsidRDefault="00057FAD" w:rsidP="00057FAD">
      <w:r w:rsidRPr="002C4B04">
        <w:t xml:space="preserve">For this feature RAN1 </w:t>
      </w:r>
      <w:r w:rsidR="00DC1C51">
        <w:t>has</w:t>
      </w:r>
      <w:r w:rsidRPr="002C4B04">
        <w:t xml:space="preserve"> </w:t>
      </w:r>
      <w:r w:rsidR="00DC1C51">
        <w:t>introduced</w:t>
      </w:r>
      <w:r w:rsidRPr="002C4B04">
        <w:t xml:space="preserve"> the following enhancement:</w:t>
      </w:r>
    </w:p>
    <w:p w14:paraId="3C0E78EA" w14:textId="55FD943A" w:rsidR="00057FAD" w:rsidRDefault="00057FAD" w:rsidP="003537DA">
      <w:r w:rsidRPr="00057FAD">
        <w:rPr>
          <w:noProof/>
        </w:rPr>
        <w:drawing>
          <wp:inline distT="0" distB="0" distL="0" distR="0" wp14:anchorId="7C2C464A" wp14:editId="17D7825E">
            <wp:extent cx="5943600" cy="735330"/>
            <wp:effectExtent l="12700" t="12700" r="12700" b="13970"/>
            <wp:docPr id="1841385340" name="Picture 1"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385340" name="Picture 1" descr="A close-up of a white background&#10;&#10;Description automatically generated"/>
                    <pic:cNvPicPr/>
                  </pic:nvPicPr>
                  <pic:blipFill>
                    <a:blip r:embed="rId7"/>
                    <a:stretch>
                      <a:fillRect/>
                    </a:stretch>
                  </pic:blipFill>
                  <pic:spPr>
                    <a:xfrm>
                      <a:off x="0" y="0"/>
                      <a:ext cx="5943600" cy="735330"/>
                    </a:xfrm>
                    <a:prstGeom prst="rect">
                      <a:avLst/>
                    </a:prstGeom>
                    <a:ln>
                      <a:solidFill>
                        <a:schemeClr val="tx1"/>
                      </a:solidFill>
                    </a:ln>
                  </pic:spPr>
                </pic:pic>
              </a:graphicData>
            </a:graphic>
          </wp:inline>
        </w:drawing>
      </w:r>
    </w:p>
    <w:p w14:paraId="53AE6D5D" w14:textId="77777777" w:rsidR="00DC1C51" w:rsidRPr="005A058C" w:rsidRDefault="00DC1C51" w:rsidP="00DC1C51">
      <w:pPr>
        <w:rPr>
          <w:b/>
          <w:u w:val="single"/>
          <w:lang w:eastAsia="ko-KR"/>
        </w:rPr>
      </w:pPr>
      <w:r w:rsidRPr="005A058C">
        <w:rPr>
          <w:b/>
          <w:u w:val="single"/>
          <w:lang w:eastAsia="ko-KR"/>
        </w:rPr>
        <w:t>Issue 1-1</w:t>
      </w:r>
      <w:r>
        <w:rPr>
          <w:b/>
          <w:u w:val="single"/>
          <w:lang w:eastAsia="ko-KR"/>
        </w:rPr>
        <w:t>-10</w:t>
      </w:r>
      <w:r w:rsidRPr="005A058C">
        <w:rPr>
          <w:b/>
          <w:u w:val="single"/>
          <w:lang w:eastAsia="ko-KR"/>
        </w:rPr>
        <w:t xml:space="preserve">: Clarify if </w:t>
      </w:r>
      <w:r>
        <w:rPr>
          <w:b/>
          <w:u w:val="single"/>
          <w:lang w:eastAsia="ko-KR"/>
        </w:rPr>
        <w:t xml:space="preserve">UE </w:t>
      </w:r>
      <w:r w:rsidRPr="005A058C">
        <w:rPr>
          <w:b/>
          <w:u w:val="single"/>
          <w:lang w:eastAsia="ko-KR"/>
        </w:rPr>
        <w:t xml:space="preserve">demodulation requirements are needed for </w:t>
      </w:r>
      <w:r w:rsidRPr="00CC3539">
        <w:rPr>
          <w:b/>
          <w:u w:val="single"/>
          <w:lang w:eastAsia="ko-KR"/>
        </w:rPr>
        <w:t>UE reporting enhancement for CJT</w:t>
      </w:r>
    </w:p>
    <w:p w14:paraId="65A662C6" w14:textId="77777777" w:rsidR="00DC1C51" w:rsidRPr="000C3ACE" w:rsidRDefault="00DC1C51" w:rsidP="00DC1C51">
      <w:pPr>
        <w:rPr>
          <w:rFonts w:eastAsia="SimSun"/>
          <w:bCs/>
          <w:szCs w:val="24"/>
          <w:u w:val="single"/>
          <w:lang w:eastAsia="zh-CN"/>
        </w:rPr>
      </w:pPr>
      <w:r w:rsidRPr="000C3ACE">
        <w:rPr>
          <w:bCs/>
          <w:u w:val="single"/>
          <w:lang w:eastAsia="zh-CN"/>
        </w:rPr>
        <w:t>Way forward</w:t>
      </w:r>
      <w:r w:rsidRPr="000C3ACE">
        <w:rPr>
          <w:rFonts w:eastAsia="SimSun"/>
          <w:bCs/>
          <w:szCs w:val="24"/>
          <w:u w:val="single"/>
          <w:lang w:eastAsia="zh-CN"/>
        </w:rPr>
        <w:t>:</w:t>
      </w:r>
    </w:p>
    <w:p w14:paraId="3B28258A" w14:textId="77777777" w:rsidR="00DC1C51" w:rsidRPr="000C3ACE" w:rsidRDefault="00DC1C51" w:rsidP="00DC1C51">
      <w:pPr>
        <w:pStyle w:val="B1"/>
        <w:rPr>
          <w:rFonts w:eastAsia="SimSun"/>
          <w:szCs w:val="24"/>
          <w:lang w:eastAsia="zh-CN"/>
        </w:rPr>
      </w:pPr>
      <w:r>
        <w:rPr>
          <w:lang w:eastAsia="zh-CN"/>
        </w:rPr>
        <w:t>-</w:t>
      </w:r>
      <w:r>
        <w:rPr>
          <w:lang w:eastAsia="zh-CN"/>
        </w:rPr>
        <w:tab/>
      </w:r>
      <w:r w:rsidRPr="000C3ACE">
        <w:rPr>
          <w:rFonts w:eastAsia="SimSun"/>
          <w:szCs w:val="24"/>
          <w:lang w:eastAsia="zh-CN"/>
        </w:rPr>
        <w:t>Option 1: RAN4 do not introduce demodulation requirements for reporting enhancements for CJT deployments</w:t>
      </w:r>
    </w:p>
    <w:p w14:paraId="0E34F049" w14:textId="77777777" w:rsidR="00DC1C51" w:rsidRPr="000C3ACE" w:rsidRDefault="00DC1C51" w:rsidP="00DC1C51">
      <w:pPr>
        <w:pStyle w:val="B1"/>
        <w:rPr>
          <w:szCs w:val="24"/>
          <w:lang w:eastAsia="zh-CN"/>
        </w:rPr>
      </w:pPr>
      <w:r>
        <w:rPr>
          <w:lang w:eastAsia="zh-CN"/>
        </w:rPr>
        <w:t>-</w:t>
      </w:r>
      <w:r>
        <w:rPr>
          <w:lang w:eastAsia="zh-CN"/>
        </w:rPr>
        <w:tab/>
      </w:r>
      <w:r w:rsidRPr="000C3ACE">
        <w:rPr>
          <w:rFonts w:eastAsia="SimSun"/>
          <w:szCs w:val="24"/>
          <w:lang w:eastAsia="zh-CN"/>
        </w:rPr>
        <w:t>Option 2: RAN4 further discussion on whether to introduce new PDSCH demodulation performance requirements for PDSCH transmission Scheme C/Scheme D/Scheme E.</w:t>
      </w:r>
    </w:p>
    <w:p w14:paraId="1FF2C922" w14:textId="77777777" w:rsidR="00DC1C51" w:rsidRDefault="00DC1C51" w:rsidP="00DC1C51">
      <w:pPr>
        <w:rPr>
          <w:b/>
          <w:u w:val="single"/>
          <w:lang w:eastAsia="ko-KR"/>
        </w:rPr>
      </w:pPr>
    </w:p>
    <w:p w14:paraId="401AE210" w14:textId="77777777" w:rsidR="00DC1C51" w:rsidRPr="005A058C" w:rsidRDefault="00DC1C51" w:rsidP="00DC1C51">
      <w:pPr>
        <w:rPr>
          <w:b/>
          <w:u w:val="single"/>
          <w:lang w:eastAsia="ko-KR"/>
        </w:rPr>
      </w:pPr>
      <w:r w:rsidRPr="005A058C">
        <w:rPr>
          <w:b/>
          <w:u w:val="single"/>
          <w:lang w:eastAsia="ko-KR"/>
        </w:rPr>
        <w:lastRenderedPageBreak/>
        <w:t>Issue 1-1</w:t>
      </w:r>
      <w:r>
        <w:rPr>
          <w:b/>
          <w:u w:val="single"/>
          <w:lang w:eastAsia="ko-KR"/>
        </w:rPr>
        <w:t>-11</w:t>
      </w:r>
      <w:r w:rsidRPr="005A058C">
        <w:rPr>
          <w:b/>
          <w:u w:val="single"/>
          <w:lang w:eastAsia="ko-KR"/>
        </w:rPr>
        <w:t xml:space="preserve">: Clarify if CSI </w:t>
      </w:r>
      <w:r>
        <w:rPr>
          <w:b/>
          <w:u w:val="single"/>
          <w:lang w:eastAsia="ko-KR"/>
        </w:rPr>
        <w:t xml:space="preserve">reporting </w:t>
      </w:r>
      <w:r w:rsidRPr="005A058C">
        <w:rPr>
          <w:b/>
          <w:u w:val="single"/>
          <w:lang w:eastAsia="ko-KR"/>
        </w:rPr>
        <w:t xml:space="preserve">requirements are needed for </w:t>
      </w:r>
      <w:r>
        <w:rPr>
          <w:b/>
          <w:u w:val="single"/>
          <w:lang w:eastAsia="ko-KR"/>
        </w:rPr>
        <w:t xml:space="preserve">UE </w:t>
      </w:r>
      <w:r w:rsidRPr="005A058C">
        <w:rPr>
          <w:b/>
          <w:u w:val="single"/>
          <w:lang w:eastAsia="ko-KR"/>
        </w:rPr>
        <w:t>reporting enhancements for CJT</w:t>
      </w:r>
    </w:p>
    <w:p w14:paraId="625F48F1" w14:textId="77777777" w:rsidR="00DC1C51" w:rsidRPr="000C3ACE" w:rsidRDefault="00DC1C51" w:rsidP="00DC1C51">
      <w:pPr>
        <w:rPr>
          <w:rFonts w:eastAsia="SimSun"/>
          <w:bCs/>
          <w:szCs w:val="24"/>
          <w:u w:val="single"/>
          <w:lang w:eastAsia="zh-CN"/>
        </w:rPr>
      </w:pPr>
      <w:r w:rsidRPr="000C3ACE">
        <w:rPr>
          <w:bCs/>
          <w:u w:val="single"/>
          <w:lang w:eastAsia="zh-CN"/>
        </w:rPr>
        <w:t>Way forward</w:t>
      </w:r>
      <w:r w:rsidRPr="000C3ACE">
        <w:rPr>
          <w:rFonts w:eastAsia="SimSun"/>
          <w:bCs/>
          <w:szCs w:val="24"/>
          <w:u w:val="single"/>
          <w:lang w:eastAsia="zh-CN"/>
        </w:rPr>
        <w:t>:</w:t>
      </w:r>
    </w:p>
    <w:p w14:paraId="7C7E2A2D" w14:textId="77777777" w:rsidR="00DC1C51" w:rsidRPr="00CF4E5F" w:rsidRDefault="00DC1C51" w:rsidP="00DC1C51">
      <w:pPr>
        <w:pStyle w:val="B1"/>
        <w:rPr>
          <w:rFonts w:eastAsia="SimSun"/>
          <w:szCs w:val="24"/>
          <w:lang w:eastAsia="zh-CN"/>
        </w:rPr>
      </w:pPr>
      <w:r>
        <w:rPr>
          <w:lang w:eastAsia="zh-CN"/>
        </w:rPr>
        <w:t>-</w:t>
      </w:r>
      <w:r>
        <w:rPr>
          <w:lang w:eastAsia="zh-CN"/>
        </w:rPr>
        <w:tab/>
      </w:r>
      <w:r w:rsidRPr="00CF4E5F">
        <w:rPr>
          <w:rFonts w:eastAsia="SimSun"/>
          <w:szCs w:val="24"/>
          <w:lang w:eastAsia="zh-CN"/>
        </w:rPr>
        <w:t xml:space="preserve">Option 1: RAN4 </w:t>
      </w:r>
      <w:r>
        <w:rPr>
          <w:rFonts w:eastAsia="SimSun"/>
          <w:szCs w:val="24"/>
          <w:lang w:eastAsia="zh-CN"/>
        </w:rPr>
        <w:t>do</w:t>
      </w:r>
      <w:r w:rsidRPr="00CF4E5F">
        <w:rPr>
          <w:rFonts w:eastAsia="SimSun"/>
          <w:szCs w:val="24"/>
          <w:lang w:eastAsia="zh-CN"/>
        </w:rPr>
        <w:t xml:space="preserve"> not introduce CSI reporting requirements for UE reporting enhancements for CJT</w:t>
      </w:r>
    </w:p>
    <w:p w14:paraId="0F24FE61" w14:textId="77777777" w:rsidR="00DC1C51" w:rsidRPr="00CF4E5F" w:rsidRDefault="00DC1C51" w:rsidP="00DC1C51">
      <w:pPr>
        <w:pStyle w:val="B1"/>
        <w:rPr>
          <w:rFonts w:eastAsia="SimSun"/>
          <w:szCs w:val="24"/>
          <w:lang w:eastAsia="zh-CN"/>
        </w:rPr>
      </w:pPr>
      <w:r>
        <w:rPr>
          <w:lang w:eastAsia="zh-CN"/>
        </w:rPr>
        <w:t>-</w:t>
      </w:r>
      <w:r>
        <w:rPr>
          <w:lang w:eastAsia="zh-CN"/>
        </w:rPr>
        <w:tab/>
      </w:r>
      <w:r w:rsidRPr="00CF4E5F">
        <w:rPr>
          <w:rFonts w:eastAsia="SimSun" w:hint="eastAsia"/>
          <w:szCs w:val="24"/>
          <w:lang w:eastAsia="zh-CN"/>
        </w:rPr>
        <w:t>O</w:t>
      </w:r>
      <w:r w:rsidRPr="00CF4E5F">
        <w:rPr>
          <w:rFonts w:eastAsia="SimSun"/>
          <w:szCs w:val="24"/>
          <w:lang w:eastAsia="zh-CN"/>
        </w:rPr>
        <w:t xml:space="preserve">ption 2: RAN4 introduce new requirements for CJT calibration offset reporting for the time offset (TO), the carrier frequency offset (CFO) and the phase offset (PO) scenarios. Further study exact implementation of the new requirements. </w:t>
      </w:r>
    </w:p>
    <w:p w14:paraId="193F96A6" w14:textId="77777777" w:rsidR="00DC1C51" w:rsidRDefault="00DC1C51" w:rsidP="00DC1C51">
      <w:pPr>
        <w:pStyle w:val="B1"/>
        <w:ind w:left="1702"/>
        <w:rPr>
          <w:rFonts w:eastAsia="SimSun"/>
          <w:szCs w:val="24"/>
          <w:lang w:eastAsia="zh-CN"/>
        </w:rPr>
      </w:pPr>
      <w:r w:rsidRPr="001D3C61">
        <w:rPr>
          <w:rFonts w:eastAsiaTheme="minorEastAsia"/>
          <w:lang w:eastAsia="zh-CN"/>
        </w:rPr>
        <w:t>-</w:t>
      </w:r>
      <w:r w:rsidRPr="001D3C61">
        <w:rPr>
          <w:rFonts w:eastAsiaTheme="minorEastAsia"/>
          <w:lang w:eastAsia="zh-CN"/>
        </w:rPr>
        <w:tab/>
      </w:r>
      <w:r w:rsidRPr="00B15E42">
        <w:rPr>
          <w:rFonts w:eastAsia="SimSun"/>
          <w:szCs w:val="24"/>
          <w:lang w:eastAsia="zh-CN"/>
        </w:rPr>
        <w:t xml:space="preserve">RAN4 do not introduce new CQI/RI and dedicated PMI reporting requirements but consider PMI calculation as part of the CJT calibration reporting requirements. </w:t>
      </w:r>
    </w:p>
    <w:p w14:paraId="378315C1" w14:textId="77777777" w:rsidR="00DC1C51" w:rsidRPr="0092508A" w:rsidRDefault="00DC1C51" w:rsidP="00DC1C51">
      <w:pPr>
        <w:pStyle w:val="B1"/>
        <w:ind w:left="1702"/>
        <w:rPr>
          <w:rFonts w:eastAsia="SimSun"/>
          <w:szCs w:val="24"/>
          <w:lang w:eastAsia="zh-CN"/>
        </w:rPr>
      </w:pPr>
      <w:r w:rsidRPr="001D3C61">
        <w:rPr>
          <w:rFonts w:eastAsiaTheme="minorEastAsia"/>
          <w:lang w:eastAsia="zh-CN"/>
        </w:rPr>
        <w:t>-</w:t>
      </w:r>
      <w:r w:rsidRPr="001D3C61">
        <w:rPr>
          <w:rFonts w:eastAsiaTheme="minorEastAsia"/>
          <w:lang w:eastAsia="zh-CN"/>
        </w:rPr>
        <w:tab/>
      </w:r>
      <w:r w:rsidRPr="0092508A">
        <w:rPr>
          <w:szCs w:val="24"/>
          <w:lang w:eastAsia="zh-CN"/>
        </w:rPr>
        <w:t xml:space="preserve">Introduce a new subsection in TS 138 101-4 to cover introduction of CJT calibration offset reporting requirements. </w:t>
      </w:r>
    </w:p>
    <w:p w14:paraId="244C23AE" w14:textId="12073C83" w:rsidR="001D59F7" w:rsidRDefault="008545FC" w:rsidP="003537DA">
      <w:r>
        <w:t xml:space="preserve">Requirements for CJT reporting enhancements is discussed in RRM with evaluation for number of samples for defining delay and accuracy requirements for delay and frequency offset. </w:t>
      </w:r>
      <w:r w:rsidR="001D59F7">
        <w:t>For phase offset reporting RRM requirements will be de-prioritized in Rel-19</w:t>
      </w:r>
    </w:p>
    <w:p w14:paraId="2E1840F1" w14:textId="1F6B6981" w:rsidR="001D59F7" w:rsidRDefault="001D59F7" w:rsidP="003537DA">
      <w:r>
        <w:t>Agreements in RAN4#115 for MIMO Phase 5 RRM:</w:t>
      </w:r>
    </w:p>
    <w:p w14:paraId="6B8C6599" w14:textId="77777777" w:rsidR="001D59F7" w:rsidRDefault="001D59F7" w:rsidP="001D59F7">
      <w:pPr>
        <w:rPr>
          <w:b/>
          <w:u w:val="single"/>
          <w:lang w:eastAsia="ko-KR"/>
        </w:rPr>
      </w:pPr>
      <w:r>
        <w:rPr>
          <w:b/>
          <w:u w:val="single"/>
          <w:lang w:eastAsia="ko-KR"/>
        </w:rPr>
        <w:t>Issue 1-1: How to define measurement period requirements for delay and frequency offset reporting for CJT calibration?</w:t>
      </w:r>
    </w:p>
    <w:p w14:paraId="042281F1" w14:textId="77777777" w:rsidR="001D59F7" w:rsidRPr="002C15A0" w:rsidRDefault="001D59F7" w:rsidP="001D59F7">
      <w:pPr>
        <w:snapToGrid w:val="0"/>
        <w:spacing w:after="120"/>
        <w:rPr>
          <w:rFonts w:eastAsia="SimSun"/>
          <w:sz w:val="21"/>
          <w:szCs w:val="21"/>
          <w:highlight w:val="green"/>
          <w:lang w:eastAsia="zh-CN"/>
        </w:rPr>
      </w:pPr>
      <w:r w:rsidRPr="002C15A0">
        <w:rPr>
          <w:rFonts w:eastAsia="SimSun"/>
          <w:sz w:val="21"/>
          <w:szCs w:val="21"/>
          <w:highlight w:val="green"/>
          <w:lang w:eastAsia="zh-CN"/>
        </w:rPr>
        <w:t xml:space="preserve">Agreement: </w:t>
      </w:r>
    </w:p>
    <w:p w14:paraId="3ADFA87C" w14:textId="77777777" w:rsidR="001D59F7" w:rsidRPr="002C15A0" w:rsidRDefault="001D59F7" w:rsidP="001D59F7">
      <w:pPr>
        <w:pStyle w:val="ListParagraph"/>
        <w:numPr>
          <w:ilvl w:val="0"/>
          <w:numId w:val="63"/>
        </w:numPr>
        <w:autoSpaceDN w:val="0"/>
        <w:rPr>
          <w:rFonts w:eastAsiaTheme="minorEastAsia"/>
          <w:sz w:val="21"/>
          <w:szCs w:val="21"/>
          <w:highlight w:val="green"/>
        </w:rPr>
      </w:pPr>
      <w:r w:rsidRPr="002C15A0">
        <w:rPr>
          <w:szCs w:val="21"/>
          <w:highlight w:val="green"/>
        </w:rPr>
        <w:t>RAN4 to discuss the achievable accuracy in terms of delay and frequency offsets based on 1 sample and [3 or 5] samples in the next meeting.</w:t>
      </w:r>
    </w:p>
    <w:p w14:paraId="314F5DC9" w14:textId="77777777" w:rsidR="001D59F7" w:rsidRPr="002C15A0" w:rsidRDefault="001D59F7" w:rsidP="001D59F7">
      <w:pPr>
        <w:pStyle w:val="ListParagraph"/>
        <w:numPr>
          <w:ilvl w:val="0"/>
          <w:numId w:val="63"/>
        </w:numPr>
        <w:autoSpaceDN w:val="0"/>
        <w:rPr>
          <w:szCs w:val="21"/>
          <w:highlight w:val="green"/>
        </w:rPr>
      </w:pPr>
      <w:r w:rsidRPr="002C15A0">
        <w:rPr>
          <w:szCs w:val="21"/>
          <w:highlight w:val="green"/>
        </w:rPr>
        <w:t>RAN4 to conclude the delay requirement for delay and frequency offset reporting in the next meeting. The delay requirement for phase offset is deprioritized in Rel-19.</w:t>
      </w:r>
    </w:p>
    <w:p w14:paraId="22524617" w14:textId="77777777" w:rsidR="001D59F7" w:rsidRDefault="001D59F7" w:rsidP="003537DA"/>
    <w:p w14:paraId="42A94334" w14:textId="24389058" w:rsidR="001D59F7" w:rsidRDefault="001D59F7" w:rsidP="003537DA">
      <w:r>
        <w:t xml:space="preserve">Introduction of RRM requirements for delay and accuracy would be sufficient to verify CJT calibration reporting feature. We don’t see the necessity to introduce a UE demod requirement for the same as the test procedure would be complicated and we still need to evaluate if there is a reasonable and significant performance difference observed in link level simulations with compensation. </w:t>
      </w:r>
    </w:p>
    <w:p w14:paraId="4A95E36F" w14:textId="10C7647F" w:rsidR="001D59F7" w:rsidRDefault="001D59F7" w:rsidP="001D59F7">
      <w:pPr>
        <w:pStyle w:val="ListParagraph"/>
        <w:numPr>
          <w:ilvl w:val="0"/>
          <w:numId w:val="48"/>
        </w:numPr>
        <w:rPr>
          <w:i/>
          <w:iCs/>
        </w:rPr>
      </w:pPr>
      <w:r>
        <w:rPr>
          <w:i/>
          <w:iCs/>
        </w:rPr>
        <w:t xml:space="preserve">RAN4 will define RRM requirements for delay and accuracy for time and frequency offset reporting for CJT </w:t>
      </w:r>
      <w:proofErr w:type="spellStart"/>
      <w:r>
        <w:rPr>
          <w:i/>
          <w:iCs/>
        </w:rPr>
        <w:t>calibrtion</w:t>
      </w:r>
      <w:proofErr w:type="spellEnd"/>
    </w:p>
    <w:p w14:paraId="67F9F4B4" w14:textId="07053F5F" w:rsidR="001D59F7" w:rsidRDefault="001D59F7" w:rsidP="001D59F7">
      <w:pPr>
        <w:pStyle w:val="ListParagraph"/>
        <w:numPr>
          <w:ilvl w:val="0"/>
          <w:numId w:val="48"/>
        </w:numPr>
        <w:rPr>
          <w:i/>
          <w:iCs/>
        </w:rPr>
      </w:pPr>
      <w:r>
        <w:rPr>
          <w:i/>
          <w:iCs/>
        </w:rPr>
        <w:t>RRM requirements would be sufficient to verify implementation of this feature</w:t>
      </w:r>
    </w:p>
    <w:p w14:paraId="59A947F7" w14:textId="3CF09BD0" w:rsidR="001D59F7" w:rsidRPr="00044DCB" w:rsidRDefault="001D59F7" w:rsidP="001D59F7">
      <w:pPr>
        <w:pStyle w:val="ListParagraph"/>
        <w:numPr>
          <w:ilvl w:val="0"/>
          <w:numId w:val="48"/>
        </w:numPr>
        <w:rPr>
          <w:i/>
          <w:iCs/>
        </w:rPr>
      </w:pPr>
      <w:r>
        <w:rPr>
          <w:i/>
          <w:iCs/>
        </w:rPr>
        <w:t xml:space="preserve">UE demodulation requirements would need further study on test procedure and evaluation if performance delta is observed with compensation in link level simulations. </w:t>
      </w:r>
    </w:p>
    <w:p w14:paraId="18E665F6" w14:textId="0B3DDF39" w:rsidR="001D59F7" w:rsidRPr="00044DCB" w:rsidRDefault="001D59F7" w:rsidP="001D59F7">
      <w:pPr>
        <w:pStyle w:val="ListParagraph"/>
        <w:ind w:left="360"/>
        <w:rPr>
          <w:b/>
          <w:bCs/>
        </w:rPr>
      </w:pPr>
      <w:r>
        <w:rPr>
          <w:b/>
          <w:bCs/>
        </w:rPr>
        <w:t>Do not introduce UE demodulation requirements for CJT calibration reporting in Rel-19</w:t>
      </w:r>
      <w:r w:rsidRPr="00044DCB">
        <w:rPr>
          <w:b/>
          <w:bCs/>
        </w:rPr>
        <w:t xml:space="preserve">.  </w:t>
      </w:r>
    </w:p>
    <w:p w14:paraId="6F381F57" w14:textId="77777777" w:rsidR="001D59F7" w:rsidRDefault="001D59F7" w:rsidP="003537DA"/>
    <w:p w14:paraId="0F25393F" w14:textId="77777777" w:rsidR="001D59F7" w:rsidRDefault="001D59F7" w:rsidP="003537DA"/>
    <w:p w14:paraId="6D902609" w14:textId="77777777" w:rsidR="00057FAD" w:rsidRDefault="00057FAD" w:rsidP="003537DA"/>
    <w:p w14:paraId="3B50B83E" w14:textId="77777777" w:rsidR="000E0A21" w:rsidRPr="005A61C6" w:rsidRDefault="000E0A21" w:rsidP="003537DA">
      <w:pPr>
        <w:rPr>
          <w:rFonts w:eastAsia="SimSun"/>
          <w:lang w:eastAsia="en-GB"/>
        </w:rPr>
      </w:pPr>
    </w:p>
    <w:p w14:paraId="20DC28A5" w14:textId="77777777" w:rsidR="002249BA" w:rsidRPr="005A61C6" w:rsidRDefault="002249BA" w:rsidP="002249BA">
      <w:pPr>
        <w:pStyle w:val="Heading1"/>
        <w:rPr>
          <w:lang w:val="en-US"/>
        </w:rPr>
      </w:pPr>
      <w:r w:rsidRPr="005A61C6">
        <w:rPr>
          <w:lang w:val="en-US"/>
        </w:rPr>
        <w:lastRenderedPageBreak/>
        <w:t>3. Conclusion</w:t>
      </w:r>
    </w:p>
    <w:p w14:paraId="39100AC6" w14:textId="3AD07537" w:rsidR="002249BA" w:rsidRPr="005A61C6" w:rsidRDefault="002249BA" w:rsidP="003537DA">
      <w:r w:rsidRPr="005A61C6">
        <w:t>In this paper, we</w:t>
      </w:r>
      <w:r w:rsidR="00C30900">
        <w:t xml:space="preserve"> present our views </w:t>
      </w:r>
      <w:r w:rsidR="00C657F3">
        <w:t>on the scope of UE demodulation and CSI reporting requirements</w:t>
      </w:r>
      <w:r w:rsidR="00C30900">
        <w:t xml:space="preserve"> for </w:t>
      </w:r>
      <w:r w:rsidR="00C657F3">
        <w:t>MIMO Phase 5 WI</w:t>
      </w:r>
      <w:r w:rsidRPr="005A61C6">
        <w:t>. Our observations and proposals are captured below:</w:t>
      </w:r>
    </w:p>
    <w:p w14:paraId="4D486F0D" w14:textId="77777777" w:rsidR="00A705C9" w:rsidRPr="00044DCB" w:rsidRDefault="00A705C9" w:rsidP="00A705C9">
      <w:pPr>
        <w:pStyle w:val="ListParagraph"/>
        <w:numPr>
          <w:ilvl w:val="0"/>
          <w:numId w:val="64"/>
        </w:numPr>
        <w:rPr>
          <w:i/>
          <w:iCs/>
        </w:rPr>
      </w:pPr>
      <w:r w:rsidRPr="00044DCB">
        <w:rPr>
          <w:i/>
          <w:iCs/>
        </w:rPr>
        <w:t>It is not necessary to introduce PMI reporting requirements for all codebooks with increased number of TX ports</w:t>
      </w:r>
    </w:p>
    <w:p w14:paraId="6ED922C8" w14:textId="77777777" w:rsidR="00A705C9" w:rsidRPr="00A705C9" w:rsidRDefault="00A705C9" w:rsidP="00A705C9">
      <w:pPr>
        <w:pStyle w:val="ListParagraph"/>
        <w:numPr>
          <w:ilvl w:val="0"/>
          <w:numId w:val="65"/>
        </w:numPr>
        <w:rPr>
          <w:b/>
          <w:bCs/>
        </w:rPr>
      </w:pPr>
      <w:r w:rsidRPr="00A705C9">
        <w:rPr>
          <w:b/>
          <w:bCs/>
        </w:rPr>
        <w:t xml:space="preserve">Do not define requirements with </w:t>
      </w:r>
      <w:proofErr w:type="spellStart"/>
      <w:r w:rsidRPr="00A705C9">
        <w:rPr>
          <w:b/>
          <w:bCs/>
        </w:rPr>
        <w:t>eType</w:t>
      </w:r>
      <w:proofErr w:type="spellEnd"/>
      <w:r w:rsidRPr="00A705C9">
        <w:rPr>
          <w:b/>
          <w:bCs/>
        </w:rPr>
        <w:t xml:space="preserve"> II or Type II-Doppler codebook with &gt; 32 TX ports in Rel-19.  </w:t>
      </w:r>
    </w:p>
    <w:p w14:paraId="1B18436D" w14:textId="77777777" w:rsidR="00A705C9" w:rsidRDefault="00A705C9" w:rsidP="00A705C9">
      <w:pPr>
        <w:pStyle w:val="ListParagraph"/>
        <w:numPr>
          <w:ilvl w:val="0"/>
          <w:numId w:val="64"/>
        </w:numPr>
        <w:rPr>
          <w:i/>
          <w:iCs/>
        </w:rPr>
      </w:pPr>
      <w:r>
        <w:rPr>
          <w:i/>
          <w:iCs/>
        </w:rPr>
        <w:t>For testing SRS port grouping with UE demod requirements, we would need to introduce (1) SRS antenna switching (2) Reciprocity based SVD precoder which have not been done so far for UE demodulation requirements.</w:t>
      </w:r>
    </w:p>
    <w:p w14:paraId="0CDF6E50" w14:textId="77777777" w:rsidR="00A705C9" w:rsidRDefault="00A705C9" w:rsidP="00A705C9">
      <w:pPr>
        <w:pStyle w:val="ListParagraph"/>
        <w:numPr>
          <w:ilvl w:val="0"/>
          <w:numId w:val="64"/>
        </w:numPr>
        <w:rPr>
          <w:i/>
          <w:iCs/>
        </w:rPr>
      </w:pPr>
      <w:r>
        <w:rPr>
          <w:i/>
          <w:iCs/>
        </w:rPr>
        <w:t>Existing requirements cannot be reused to test SRS port grouping.</w:t>
      </w:r>
    </w:p>
    <w:p w14:paraId="7297B200" w14:textId="77777777" w:rsidR="00A705C9" w:rsidRPr="00044DCB" w:rsidRDefault="00A705C9" w:rsidP="00A705C9">
      <w:pPr>
        <w:pStyle w:val="ListParagraph"/>
        <w:ind w:left="360"/>
        <w:rPr>
          <w:b/>
          <w:bCs/>
        </w:rPr>
      </w:pPr>
      <w:r>
        <w:rPr>
          <w:b/>
          <w:bCs/>
        </w:rPr>
        <w:t xml:space="preserve">Discuss feasibility of test setup for introducing requirements with SRS port grouping </w:t>
      </w:r>
      <w:r w:rsidRPr="00044DCB">
        <w:rPr>
          <w:b/>
          <w:bCs/>
        </w:rPr>
        <w:t xml:space="preserve">in Rel-19.  </w:t>
      </w:r>
    </w:p>
    <w:p w14:paraId="40949A05" w14:textId="77777777" w:rsidR="00A705C9" w:rsidRDefault="00A705C9" w:rsidP="00A705C9">
      <w:pPr>
        <w:pStyle w:val="ListParagraph"/>
        <w:numPr>
          <w:ilvl w:val="0"/>
          <w:numId w:val="64"/>
        </w:numPr>
        <w:rPr>
          <w:i/>
          <w:iCs/>
        </w:rPr>
      </w:pPr>
      <w:r>
        <w:rPr>
          <w:i/>
          <w:iCs/>
        </w:rPr>
        <w:t xml:space="preserve">RAN4 will define RRM requirements for delay and accuracy for time and frequency offset reporting for CJT </w:t>
      </w:r>
      <w:proofErr w:type="spellStart"/>
      <w:r>
        <w:rPr>
          <w:i/>
          <w:iCs/>
        </w:rPr>
        <w:t>calibrtion</w:t>
      </w:r>
      <w:proofErr w:type="spellEnd"/>
    </w:p>
    <w:p w14:paraId="1FE57A93" w14:textId="77777777" w:rsidR="00A705C9" w:rsidRDefault="00A705C9" w:rsidP="00A705C9">
      <w:pPr>
        <w:pStyle w:val="ListParagraph"/>
        <w:numPr>
          <w:ilvl w:val="0"/>
          <w:numId w:val="64"/>
        </w:numPr>
        <w:rPr>
          <w:i/>
          <w:iCs/>
        </w:rPr>
      </w:pPr>
      <w:r>
        <w:rPr>
          <w:i/>
          <w:iCs/>
        </w:rPr>
        <w:t>RRM requirements would be sufficient to verify implementation of this feature</w:t>
      </w:r>
    </w:p>
    <w:p w14:paraId="419C1B31" w14:textId="77777777" w:rsidR="00A705C9" w:rsidRPr="00044DCB" w:rsidRDefault="00A705C9" w:rsidP="00A705C9">
      <w:pPr>
        <w:pStyle w:val="ListParagraph"/>
        <w:numPr>
          <w:ilvl w:val="0"/>
          <w:numId w:val="64"/>
        </w:numPr>
        <w:rPr>
          <w:i/>
          <w:iCs/>
        </w:rPr>
      </w:pPr>
      <w:r>
        <w:rPr>
          <w:i/>
          <w:iCs/>
        </w:rPr>
        <w:t xml:space="preserve">UE demodulation requirements would need further study on test procedure and evaluation if performance delta is observed with compensation in link level simulations. </w:t>
      </w:r>
    </w:p>
    <w:p w14:paraId="1CCBECB6" w14:textId="77777777" w:rsidR="00A705C9" w:rsidRPr="00044DCB" w:rsidRDefault="00A705C9" w:rsidP="00A705C9">
      <w:pPr>
        <w:pStyle w:val="ListParagraph"/>
        <w:ind w:left="360"/>
        <w:rPr>
          <w:b/>
          <w:bCs/>
        </w:rPr>
      </w:pPr>
      <w:r>
        <w:rPr>
          <w:b/>
          <w:bCs/>
        </w:rPr>
        <w:t>Do not introduce UE demodulation requirements for CJT calibration reporting in Rel-19</w:t>
      </w:r>
      <w:r w:rsidRPr="00044DCB">
        <w:rPr>
          <w:b/>
          <w:bCs/>
        </w:rPr>
        <w:t xml:space="preserve">.  </w:t>
      </w:r>
    </w:p>
    <w:p w14:paraId="4B1A2BC7" w14:textId="7AE28795" w:rsidR="00440650" w:rsidRDefault="00440650" w:rsidP="00D627A8"/>
    <w:p w14:paraId="099A66E3" w14:textId="77777777" w:rsidR="00C657F3" w:rsidRPr="009A6BA6" w:rsidRDefault="00C657F3" w:rsidP="00C657F3">
      <w:pPr>
        <w:pStyle w:val="Heading1"/>
        <w:ind w:left="432" w:hanging="432"/>
        <w:rPr>
          <w:lang w:val="en-US"/>
        </w:rPr>
      </w:pPr>
      <w:r w:rsidRPr="009A6BA6">
        <w:rPr>
          <w:lang w:val="en-US"/>
        </w:rPr>
        <w:t>Reference</w:t>
      </w:r>
    </w:p>
    <w:p w14:paraId="0369C38C" w14:textId="58BD2B16" w:rsidR="00C657F3" w:rsidRPr="00C657F3" w:rsidRDefault="004E39C3" w:rsidP="00C657F3">
      <w:pPr>
        <w:numPr>
          <w:ilvl w:val="0"/>
          <w:numId w:val="2"/>
        </w:numPr>
        <w:spacing w:after="120"/>
        <w:rPr>
          <w:rFonts w:eastAsia="SimSun" w:cs="SimSun"/>
          <w:bCs/>
          <w:lang w:eastAsia="zh-CN"/>
        </w:rPr>
      </w:pPr>
      <w:r w:rsidRPr="004E39C3">
        <w:rPr>
          <w:rFonts w:eastAsia="SimSun" w:cs="SimSun"/>
          <w:bCs/>
          <w:lang w:eastAsia="zh-CN"/>
        </w:rPr>
        <w:t>R4-2508627</w:t>
      </w:r>
      <w:r w:rsidR="00C657F3" w:rsidRPr="00C657F3">
        <w:rPr>
          <w:rFonts w:eastAsia="SimSun" w:cs="SimSun"/>
          <w:bCs/>
          <w:lang w:eastAsia="zh-CN"/>
        </w:rPr>
        <w:t>, “</w:t>
      </w:r>
      <w:r w:rsidRPr="004E39C3">
        <w:rPr>
          <w:rFonts w:eastAsia="SimSun" w:cs="SimSun"/>
          <w:bCs/>
          <w:lang w:eastAsia="zh-CN"/>
        </w:rPr>
        <w:t xml:space="preserve">Way Forward for [115][329] </w:t>
      </w:r>
      <w:proofErr w:type="spellStart"/>
      <w:r w:rsidRPr="004E39C3">
        <w:rPr>
          <w:rFonts w:eastAsia="SimSun" w:cs="SimSun"/>
          <w:bCs/>
          <w:lang w:eastAsia="zh-CN"/>
        </w:rPr>
        <w:t>NR_MIMO_demod</w:t>
      </w:r>
      <w:proofErr w:type="spellEnd"/>
      <w:r w:rsidR="00C657F3" w:rsidRPr="00C657F3">
        <w:rPr>
          <w:rFonts w:eastAsia="SimSun" w:cs="SimSun"/>
          <w:bCs/>
          <w:lang w:eastAsia="zh-CN"/>
        </w:rPr>
        <w:t>”, Samsung.</w:t>
      </w:r>
    </w:p>
    <w:p w14:paraId="0B7F845D" w14:textId="77777777" w:rsidR="00C657F3" w:rsidRPr="009A6BA6" w:rsidRDefault="00C657F3" w:rsidP="00C657F3">
      <w:pPr>
        <w:spacing w:after="120"/>
        <w:rPr>
          <w:rFonts w:eastAsia="SimSun" w:cs="SimSun"/>
          <w:lang w:eastAsia="zh-CN"/>
        </w:rPr>
      </w:pPr>
    </w:p>
    <w:p w14:paraId="78590179" w14:textId="77777777" w:rsidR="00C657F3" w:rsidRPr="005A61C6" w:rsidRDefault="00C657F3" w:rsidP="00D627A8"/>
    <w:sectPr w:rsidR="00C657F3" w:rsidRPr="005A61C6" w:rsidSect="00EB13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3652A" w14:textId="77777777" w:rsidR="00FD28AF" w:rsidRDefault="00FD28AF" w:rsidP="00EF7E34">
      <w:pPr>
        <w:spacing w:after="0"/>
      </w:pPr>
      <w:r>
        <w:separator/>
      </w:r>
    </w:p>
  </w:endnote>
  <w:endnote w:type="continuationSeparator" w:id="0">
    <w:p w14:paraId="710A86AD" w14:textId="77777777" w:rsidR="00FD28AF" w:rsidRDefault="00FD28AF" w:rsidP="00EF7E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3F3C8" w14:textId="77777777" w:rsidR="00FD28AF" w:rsidRDefault="00FD28AF" w:rsidP="00EF7E34">
      <w:pPr>
        <w:spacing w:after="0"/>
      </w:pPr>
      <w:r>
        <w:separator/>
      </w:r>
    </w:p>
  </w:footnote>
  <w:footnote w:type="continuationSeparator" w:id="0">
    <w:p w14:paraId="0EC1DF20" w14:textId="77777777" w:rsidR="00FD28AF" w:rsidRDefault="00FD28AF" w:rsidP="00EF7E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0FAC"/>
    <w:multiLevelType w:val="multilevel"/>
    <w:tmpl w:val="EA2ACE5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D60420D"/>
    <w:multiLevelType w:val="hybridMultilevel"/>
    <w:tmpl w:val="8D8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5" w15:restartNumberingAfterBreak="0">
    <w:nsid w:val="127A76C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78666F"/>
    <w:multiLevelType w:val="hybridMultilevel"/>
    <w:tmpl w:val="47389186"/>
    <w:lvl w:ilvl="0" w:tplc="3A08D5AC">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2402BA0"/>
    <w:multiLevelType w:val="hybridMultilevel"/>
    <w:tmpl w:val="D542BCD4"/>
    <w:lvl w:ilvl="0" w:tplc="CB005B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488384F"/>
    <w:multiLevelType w:val="hybridMultilevel"/>
    <w:tmpl w:val="A0E87528"/>
    <w:lvl w:ilvl="0" w:tplc="AF06E7C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43807"/>
    <w:multiLevelType w:val="hybridMultilevel"/>
    <w:tmpl w:val="C18CA524"/>
    <w:lvl w:ilvl="0" w:tplc="E9609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DD15E3"/>
    <w:multiLevelType w:val="multilevel"/>
    <w:tmpl w:val="3702CA8A"/>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7C57819"/>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A00D5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A963E9"/>
    <w:multiLevelType w:val="hybridMultilevel"/>
    <w:tmpl w:val="1E003EA8"/>
    <w:lvl w:ilvl="0" w:tplc="AF8E4D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AD53C4"/>
    <w:multiLevelType w:val="hybridMultilevel"/>
    <w:tmpl w:val="A6E2BE12"/>
    <w:lvl w:ilvl="0" w:tplc="FDFEB3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46B24"/>
    <w:multiLevelType w:val="hybridMultilevel"/>
    <w:tmpl w:val="63C4EA02"/>
    <w:lvl w:ilvl="0" w:tplc="6B200B5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0E05F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0171D6C"/>
    <w:multiLevelType w:val="hybridMultilevel"/>
    <w:tmpl w:val="442A4C3A"/>
    <w:lvl w:ilvl="0" w:tplc="C0DC42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327D1453"/>
    <w:multiLevelType w:val="hybridMultilevel"/>
    <w:tmpl w:val="16643C9A"/>
    <w:lvl w:ilvl="0" w:tplc="5F584810">
      <w:start w:val="1"/>
      <w:numFmt w:val="decimal"/>
      <w:pStyle w:val="ListParagraph"/>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30D4809"/>
    <w:multiLevelType w:val="hybridMultilevel"/>
    <w:tmpl w:val="64DE2FD2"/>
    <w:lvl w:ilvl="0" w:tplc="FFFFFFFF">
      <w:start w:val="1"/>
      <w:numFmt w:val="bullet"/>
      <w:lvlText w:val="-"/>
      <w:lvlJc w:val="left"/>
      <w:pPr>
        <w:ind w:left="1544" w:hanging="420"/>
      </w:pPr>
      <w:rPr>
        <w:rFonts w:ascii="SimSun" w:hAnsi="SimSun" w:hint="default"/>
      </w:rPr>
    </w:lvl>
    <w:lvl w:ilvl="1" w:tplc="5AE69472">
      <w:numFmt w:val="bullet"/>
      <w:lvlText w:val="-"/>
      <w:lvlJc w:val="left"/>
      <w:pPr>
        <w:ind w:left="1904" w:hanging="360"/>
      </w:pPr>
      <w:rPr>
        <w:rFonts w:ascii="Calibri" w:eastAsia="SimSun" w:hAnsi="Calibri" w:cs="Calibri" w:hint="default"/>
      </w:rPr>
    </w:lvl>
    <w:lvl w:ilvl="2" w:tplc="FFFFFFFF">
      <w:start w:val="1"/>
      <w:numFmt w:val="bullet"/>
      <w:lvlText w:val=""/>
      <w:lvlJc w:val="left"/>
      <w:pPr>
        <w:ind w:left="2384" w:hanging="420"/>
      </w:pPr>
      <w:rPr>
        <w:rFonts w:ascii="Wingdings" w:hAnsi="Wingdings" w:hint="default"/>
      </w:rPr>
    </w:lvl>
    <w:lvl w:ilvl="3" w:tplc="FFFFFFFF">
      <w:start w:val="1"/>
      <w:numFmt w:val="bullet"/>
      <w:lvlText w:val=""/>
      <w:lvlJc w:val="left"/>
      <w:pPr>
        <w:ind w:left="2804" w:hanging="420"/>
      </w:pPr>
      <w:rPr>
        <w:rFonts w:ascii="Wingdings" w:hAnsi="Wingdings" w:hint="default"/>
      </w:rPr>
    </w:lvl>
    <w:lvl w:ilvl="4" w:tplc="FFFFFFFF" w:tentative="1">
      <w:start w:val="1"/>
      <w:numFmt w:val="bullet"/>
      <w:lvlText w:val=""/>
      <w:lvlJc w:val="left"/>
      <w:pPr>
        <w:ind w:left="3224" w:hanging="420"/>
      </w:pPr>
      <w:rPr>
        <w:rFonts w:ascii="Wingdings" w:hAnsi="Wingdings" w:hint="default"/>
      </w:rPr>
    </w:lvl>
    <w:lvl w:ilvl="5" w:tplc="FFFFFFFF" w:tentative="1">
      <w:start w:val="1"/>
      <w:numFmt w:val="bullet"/>
      <w:lvlText w:val=""/>
      <w:lvlJc w:val="left"/>
      <w:pPr>
        <w:ind w:left="3644" w:hanging="420"/>
      </w:pPr>
      <w:rPr>
        <w:rFonts w:ascii="Wingdings" w:hAnsi="Wingdings" w:hint="default"/>
      </w:rPr>
    </w:lvl>
    <w:lvl w:ilvl="6" w:tplc="FFFFFFFF" w:tentative="1">
      <w:start w:val="1"/>
      <w:numFmt w:val="bullet"/>
      <w:lvlText w:val=""/>
      <w:lvlJc w:val="left"/>
      <w:pPr>
        <w:ind w:left="4064" w:hanging="420"/>
      </w:pPr>
      <w:rPr>
        <w:rFonts w:ascii="Wingdings" w:hAnsi="Wingdings" w:hint="default"/>
      </w:rPr>
    </w:lvl>
    <w:lvl w:ilvl="7" w:tplc="FFFFFFFF" w:tentative="1">
      <w:start w:val="1"/>
      <w:numFmt w:val="bullet"/>
      <w:lvlText w:val=""/>
      <w:lvlJc w:val="left"/>
      <w:pPr>
        <w:ind w:left="4484" w:hanging="420"/>
      </w:pPr>
      <w:rPr>
        <w:rFonts w:ascii="Wingdings" w:hAnsi="Wingdings" w:hint="default"/>
      </w:rPr>
    </w:lvl>
    <w:lvl w:ilvl="8" w:tplc="FFFFFFFF" w:tentative="1">
      <w:start w:val="1"/>
      <w:numFmt w:val="bullet"/>
      <w:lvlText w:val=""/>
      <w:lvlJc w:val="left"/>
      <w:pPr>
        <w:ind w:left="4904" w:hanging="420"/>
      </w:pPr>
      <w:rPr>
        <w:rFonts w:ascii="Wingdings" w:hAnsi="Wingdings" w:hint="default"/>
      </w:rPr>
    </w:lvl>
  </w:abstractNum>
  <w:abstractNum w:abstractNumId="23" w15:restartNumberingAfterBreak="0">
    <w:nsid w:val="33C7226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D43EB8"/>
    <w:multiLevelType w:val="hybridMultilevel"/>
    <w:tmpl w:val="3A764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9E1323"/>
    <w:multiLevelType w:val="multilevel"/>
    <w:tmpl w:val="9AE01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030441"/>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C3E35F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8B73482"/>
    <w:multiLevelType w:val="hybridMultilevel"/>
    <w:tmpl w:val="AAA4C332"/>
    <w:lvl w:ilvl="0" w:tplc="08090001">
      <w:start w:val="1"/>
      <w:numFmt w:val="bullet"/>
      <w:lvlText w:val=""/>
      <w:lvlJc w:val="left"/>
      <w:pPr>
        <w:ind w:left="936" w:hanging="360"/>
      </w:pPr>
      <w:rPr>
        <w:rFonts w:ascii="Symbol" w:hAnsi="Symbol" w:hint="default"/>
      </w:rPr>
    </w:lvl>
    <w:lvl w:ilvl="1" w:tplc="0ECE596E">
      <w:start w:val="1"/>
      <w:numFmt w:val="bullet"/>
      <w:lvlText w:val="o"/>
      <w:lvlJc w:val="left"/>
      <w:pPr>
        <w:ind w:left="1656" w:hanging="360"/>
      </w:pPr>
      <w:rPr>
        <w:rFonts w:ascii="Courier New" w:hAnsi="Courier New" w:cs="Courier New" w:hint="default"/>
        <w:color w:val="000000" w:themeColor="text1"/>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9E56B32"/>
    <w:multiLevelType w:val="hybridMultilevel"/>
    <w:tmpl w:val="549AF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977DE9"/>
    <w:multiLevelType w:val="hybridMultilevel"/>
    <w:tmpl w:val="14BA94D2"/>
    <w:lvl w:ilvl="0" w:tplc="FDFEB3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CA1B9B"/>
    <w:multiLevelType w:val="hybridMultilevel"/>
    <w:tmpl w:val="31AE35A4"/>
    <w:lvl w:ilvl="0" w:tplc="32D0BBC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A7F21"/>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EBA1F01"/>
    <w:multiLevelType w:val="hybridMultilevel"/>
    <w:tmpl w:val="C6FC561A"/>
    <w:lvl w:ilvl="0" w:tplc="1828FAAE">
      <w:start w:val="1"/>
      <w:numFmt w:val="bullet"/>
      <w:lvlText w:val="-"/>
      <w:lvlJc w:val="left"/>
      <w:pPr>
        <w:ind w:left="1544" w:hanging="420"/>
      </w:pPr>
      <w:rPr>
        <w:rFonts w:ascii="SimSun" w:hAnsi="SimSun"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9" w15:restartNumberingAfterBreak="0">
    <w:nsid w:val="70634C86"/>
    <w:multiLevelType w:val="multilevel"/>
    <w:tmpl w:val="FD28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4810A6"/>
    <w:multiLevelType w:val="multilevel"/>
    <w:tmpl w:val="CE3C6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AC5640"/>
    <w:multiLevelType w:val="multilevel"/>
    <w:tmpl w:val="3B3825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B40754"/>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F4C4F75"/>
    <w:multiLevelType w:val="hybridMultilevel"/>
    <w:tmpl w:val="7F369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259338048">
    <w:abstractNumId w:val="12"/>
  </w:num>
  <w:num w:numId="2" w16cid:durableId="1198423226">
    <w:abstractNumId w:val="32"/>
  </w:num>
  <w:num w:numId="3" w16cid:durableId="1064061569">
    <w:abstractNumId w:val="26"/>
  </w:num>
  <w:num w:numId="4" w16cid:durableId="1117142815">
    <w:abstractNumId w:val="2"/>
  </w:num>
  <w:num w:numId="5" w16cid:durableId="1069688094">
    <w:abstractNumId w:val="33"/>
  </w:num>
  <w:num w:numId="6" w16cid:durableId="2044482076">
    <w:abstractNumId w:val="9"/>
  </w:num>
  <w:num w:numId="7" w16cid:durableId="1734084975">
    <w:abstractNumId w:val="4"/>
  </w:num>
  <w:num w:numId="8" w16cid:durableId="2003655479">
    <w:abstractNumId w:val="30"/>
  </w:num>
  <w:num w:numId="9" w16cid:durableId="597830545">
    <w:abstractNumId w:val="6"/>
  </w:num>
  <w:num w:numId="10" w16cid:durableId="1060789315">
    <w:abstractNumId w:val="20"/>
  </w:num>
  <w:num w:numId="11" w16cid:durableId="380440341">
    <w:abstractNumId w:val="27"/>
  </w:num>
  <w:num w:numId="12" w16cid:durableId="1177960749">
    <w:abstractNumId w:val="34"/>
  </w:num>
  <w:num w:numId="13" w16cid:durableId="1966933427">
    <w:abstractNumId w:val="12"/>
  </w:num>
  <w:num w:numId="14" w16cid:durableId="1266964944">
    <w:abstractNumId w:val="0"/>
  </w:num>
  <w:num w:numId="15" w16cid:durableId="2053651509">
    <w:abstractNumId w:val="39"/>
  </w:num>
  <w:num w:numId="16" w16cid:durableId="882592397">
    <w:abstractNumId w:val="15"/>
  </w:num>
  <w:num w:numId="17" w16cid:durableId="921372896">
    <w:abstractNumId w:val="25"/>
  </w:num>
  <w:num w:numId="18" w16cid:durableId="1776245104">
    <w:abstractNumId w:val="36"/>
  </w:num>
  <w:num w:numId="19" w16cid:durableId="1234974013">
    <w:abstractNumId w:val="5"/>
  </w:num>
  <w:num w:numId="20" w16cid:durableId="844128255">
    <w:abstractNumId w:val="36"/>
    <w:lvlOverride w:ilvl="0">
      <w:startOverride w:val="1"/>
    </w:lvlOverride>
  </w:num>
  <w:num w:numId="21" w16cid:durableId="185991174">
    <w:abstractNumId w:val="7"/>
  </w:num>
  <w:num w:numId="22" w16cid:durableId="664010964">
    <w:abstractNumId w:val="11"/>
  </w:num>
  <w:num w:numId="23" w16cid:durableId="643970069">
    <w:abstractNumId w:val="14"/>
  </w:num>
  <w:num w:numId="24" w16cid:durableId="627511870">
    <w:abstractNumId w:val="7"/>
    <w:lvlOverride w:ilvl="0">
      <w:startOverride w:val="1"/>
    </w:lvlOverride>
  </w:num>
  <w:num w:numId="25" w16cid:durableId="81688091">
    <w:abstractNumId w:val="1"/>
  </w:num>
  <w:num w:numId="26" w16cid:durableId="494150572">
    <w:abstractNumId w:val="38"/>
  </w:num>
  <w:num w:numId="27" w16cid:durableId="1297561994">
    <w:abstractNumId w:val="7"/>
  </w:num>
  <w:num w:numId="28" w16cid:durableId="863980471">
    <w:abstractNumId w:val="19"/>
  </w:num>
  <w:num w:numId="29" w16cid:durableId="1747873810">
    <w:abstractNumId w:val="7"/>
  </w:num>
  <w:num w:numId="30" w16cid:durableId="1181047978">
    <w:abstractNumId w:val="7"/>
  </w:num>
  <w:num w:numId="31" w16cid:durableId="1550605428">
    <w:abstractNumId w:val="7"/>
  </w:num>
  <w:num w:numId="32" w16cid:durableId="1199119739">
    <w:abstractNumId w:val="22"/>
  </w:num>
  <w:num w:numId="33" w16cid:durableId="1331905320">
    <w:abstractNumId w:val="7"/>
  </w:num>
  <w:num w:numId="34" w16cid:durableId="680089932">
    <w:abstractNumId w:val="7"/>
    <w:lvlOverride w:ilvl="0">
      <w:startOverride w:val="1"/>
    </w:lvlOverride>
  </w:num>
  <w:num w:numId="35" w16cid:durableId="1375041166">
    <w:abstractNumId w:val="29"/>
  </w:num>
  <w:num w:numId="36" w16cid:durableId="1428188358">
    <w:abstractNumId w:val="24"/>
  </w:num>
  <w:num w:numId="37" w16cid:durableId="1687751065">
    <w:abstractNumId w:val="10"/>
  </w:num>
  <w:num w:numId="38" w16cid:durableId="1829980255">
    <w:abstractNumId w:val="45"/>
  </w:num>
  <w:num w:numId="39" w16cid:durableId="381100403">
    <w:abstractNumId w:val="18"/>
  </w:num>
  <w:num w:numId="40" w16cid:durableId="1245186844">
    <w:abstractNumId w:val="7"/>
    <w:lvlOverride w:ilvl="0">
      <w:startOverride w:val="1"/>
    </w:lvlOverride>
  </w:num>
  <w:num w:numId="41" w16cid:durableId="596519123">
    <w:abstractNumId w:val="8"/>
  </w:num>
  <w:num w:numId="42" w16cid:durableId="1868788507">
    <w:abstractNumId w:val="31"/>
  </w:num>
  <w:num w:numId="43" w16cid:durableId="1042753888">
    <w:abstractNumId w:val="7"/>
    <w:lvlOverride w:ilvl="0">
      <w:startOverride w:val="1"/>
    </w:lvlOverride>
  </w:num>
  <w:num w:numId="44" w16cid:durableId="267009730">
    <w:abstractNumId w:val="7"/>
  </w:num>
  <w:num w:numId="45" w16cid:durableId="1206261425">
    <w:abstractNumId w:val="7"/>
  </w:num>
  <w:num w:numId="46" w16cid:durableId="2020888779">
    <w:abstractNumId w:val="44"/>
  </w:num>
  <w:num w:numId="47" w16cid:durableId="186601673">
    <w:abstractNumId w:val="7"/>
  </w:num>
  <w:num w:numId="48" w16cid:durableId="1463645919">
    <w:abstractNumId w:val="23"/>
  </w:num>
  <w:num w:numId="49" w16cid:durableId="1266963932">
    <w:abstractNumId w:val="7"/>
    <w:lvlOverride w:ilvl="0">
      <w:startOverride w:val="1"/>
    </w:lvlOverride>
  </w:num>
  <w:num w:numId="50" w16cid:durableId="1219390903">
    <w:abstractNumId w:val="35"/>
  </w:num>
  <w:num w:numId="51" w16cid:durableId="221259199">
    <w:abstractNumId w:val="40"/>
  </w:num>
  <w:num w:numId="52" w16cid:durableId="1871642942">
    <w:abstractNumId w:val="21"/>
  </w:num>
  <w:num w:numId="53" w16cid:durableId="1801457532">
    <w:abstractNumId w:val="16"/>
  </w:num>
  <w:num w:numId="54" w16cid:durableId="50811060">
    <w:abstractNumId w:val="42"/>
  </w:num>
  <w:num w:numId="55" w16cid:durableId="308175406">
    <w:abstractNumId w:val="28"/>
  </w:num>
  <w:num w:numId="56" w16cid:durableId="259073685">
    <w:abstractNumId w:val="21"/>
    <w:lvlOverride w:ilvl="0">
      <w:startOverride w:val="1"/>
    </w:lvlOverride>
  </w:num>
  <w:num w:numId="57" w16cid:durableId="1964382638">
    <w:abstractNumId w:val="37"/>
  </w:num>
  <w:num w:numId="58" w16cid:durableId="1887064030">
    <w:abstractNumId w:val="17"/>
  </w:num>
  <w:num w:numId="59" w16cid:durableId="629746226">
    <w:abstractNumId w:val="21"/>
  </w:num>
  <w:num w:numId="60" w16cid:durableId="976226354">
    <w:abstractNumId w:val="13"/>
  </w:num>
  <w:num w:numId="61" w16cid:durableId="860703128">
    <w:abstractNumId w:val="21"/>
    <w:lvlOverride w:ilvl="0">
      <w:startOverride w:val="1"/>
    </w:lvlOverride>
  </w:num>
  <w:num w:numId="62" w16cid:durableId="664432048">
    <w:abstractNumId w:val="3"/>
  </w:num>
  <w:num w:numId="63" w16cid:durableId="987053779">
    <w:abstractNumId w:val="41"/>
  </w:num>
  <w:num w:numId="64" w16cid:durableId="1379890828">
    <w:abstractNumId w:val="43"/>
  </w:num>
  <w:num w:numId="65" w16cid:durableId="912394983">
    <w:abstractNumId w:val="2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05BA9"/>
    <w:rsid w:val="00024815"/>
    <w:rsid w:val="00027D6B"/>
    <w:rsid w:val="00036351"/>
    <w:rsid w:val="00044DCB"/>
    <w:rsid w:val="00046309"/>
    <w:rsid w:val="00057FAD"/>
    <w:rsid w:val="00070116"/>
    <w:rsid w:val="000863FE"/>
    <w:rsid w:val="00086F19"/>
    <w:rsid w:val="00087578"/>
    <w:rsid w:val="000C4D8C"/>
    <w:rsid w:val="000D2319"/>
    <w:rsid w:val="000D5873"/>
    <w:rsid w:val="000E0A21"/>
    <w:rsid w:val="000F1205"/>
    <w:rsid w:val="00104D5D"/>
    <w:rsid w:val="00120E7C"/>
    <w:rsid w:val="00121828"/>
    <w:rsid w:val="00123540"/>
    <w:rsid w:val="001330D7"/>
    <w:rsid w:val="00136FC8"/>
    <w:rsid w:val="0013718E"/>
    <w:rsid w:val="0014285C"/>
    <w:rsid w:val="001456D0"/>
    <w:rsid w:val="00157508"/>
    <w:rsid w:val="001715D4"/>
    <w:rsid w:val="0017238B"/>
    <w:rsid w:val="00177147"/>
    <w:rsid w:val="001847B4"/>
    <w:rsid w:val="00190238"/>
    <w:rsid w:val="00191698"/>
    <w:rsid w:val="001969FE"/>
    <w:rsid w:val="0019713F"/>
    <w:rsid w:val="00197F09"/>
    <w:rsid w:val="001B5D0A"/>
    <w:rsid w:val="001B7F88"/>
    <w:rsid w:val="001C27A8"/>
    <w:rsid w:val="001C663E"/>
    <w:rsid w:val="001D2CF5"/>
    <w:rsid w:val="001D393E"/>
    <w:rsid w:val="001D4288"/>
    <w:rsid w:val="001D59F7"/>
    <w:rsid w:val="001E5F97"/>
    <w:rsid w:val="00204E79"/>
    <w:rsid w:val="00210E45"/>
    <w:rsid w:val="002165B9"/>
    <w:rsid w:val="002249BA"/>
    <w:rsid w:val="002277A5"/>
    <w:rsid w:val="0023025F"/>
    <w:rsid w:val="00235DFB"/>
    <w:rsid w:val="00236B8B"/>
    <w:rsid w:val="00252BB5"/>
    <w:rsid w:val="00252E92"/>
    <w:rsid w:val="00255CF1"/>
    <w:rsid w:val="00276BD2"/>
    <w:rsid w:val="00276DB4"/>
    <w:rsid w:val="00285D2C"/>
    <w:rsid w:val="002870EA"/>
    <w:rsid w:val="00297FF5"/>
    <w:rsid w:val="002B775C"/>
    <w:rsid w:val="002C4B04"/>
    <w:rsid w:val="002D7073"/>
    <w:rsid w:val="002F3A16"/>
    <w:rsid w:val="002F4FA3"/>
    <w:rsid w:val="00310690"/>
    <w:rsid w:val="00320E79"/>
    <w:rsid w:val="00322A55"/>
    <w:rsid w:val="00335AE6"/>
    <w:rsid w:val="003537DA"/>
    <w:rsid w:val="00367A8B"/>
    <w:rsid w:val="003813B8"/>
    <w:rsid w:val="003A5D88"/>
    <w:rsid w:val="003C56F5"/>
    <w:rsid w:val="003D2414"/>
    <w:rsid w:val="003D4486"/>
    <w:rsid w:val="003E2B93"/>
    <w:rsid w:val="003E4B9C"/>
    <w:rsid w:val="003F224D"/>
    <w:rsid w:val="00416B60"/>
    <w:rsid w:val="004219A4"/>
    <w:rsid w:val="00421C97"/>
    <w:rsid w:val="00422536"/>
    <w:rsid w:val="00432486"/>
    <w:rsid w:val="004401DB"/>
    <w:rsid w:val="00440650"/>
    <w:rsid w:val="00441DA7"/>
    <w:rsid w:val="00447D8B"/>
    <w:rsid w:val="004571DB"/>
    <w:rsid w:val="00474453"/>
    <w:rsid w:val="00477C06"/>
    <w:rsid w:val="0048465F"/>
    <w:rsid w:val="00495DDF"/>
    <w:rsid w:val="004A125A"/>
    <w:rsid w:val="004A62D0"/>
    <w:rsid w:val="004B46B6"/>
    <w:rsid w:val="004B6849"/>
    <w:rsid w:val="004C0E91"/>
    <w:rsid w:val="004D1584"/>
    <w:rsid w:val="004D33BC"/>
    <w:rsid w:val="004D5F5F"/>
    <w:rsid w:val="004E268F"/>
    <w:rsid w:val="004E39C3"/>
    <w:rsid w:val="00512AD8"/>
    <w:rsid w:val="0051665C"/>
    <w:rsid w:val="00526314"/>
    <w:rsid w:val="00531A2A"/>
    <w:rsid w:val="00545C1A"/>
    <w:rsid w:val="0055486A"/>
    <w:rsid w:val="00557FCB"/>
    <w:rsid w:val="005619E3"/>
    <w:rsid w:val="0057184D"/>
    <w:rsid w:val="0058521B"/>
    <w:rsid w:val="00590EAB"/>
    <w:rsid w:val="005A61C6"/>
    <w:rsid w:val="005B410D"/>
    <w:rsid w:val="005C76C9"/>
    <w:rsid w:val="005D1B1F"/>
    <w:rsid w:val="005D2531"/>
    <w:rsid w:val="005D349F"/>
    <w:rsid w:val="005F5A7E"/>
    <w:rsid w:val="0060646E"/>
    <w:rsid w:val="006155E6"/>
    <w:rsid w:val="00622D45"/>
    <w:rsid w:val="00626BDE"/>
    <w:rsid w:val="0062780E"/>
    <w:rsid w:val="00631307"/>
    <w:rsid w:val="00632C5C"/>
    <w:rsid w:val="00650455"/>
    <w:rsid w:val="00666929"/>
    <w:rsid w:val="00676A34"/>
    <w:rsid w:val="0068749C"/>
    <w:rsid w:val="0069369B"/>
    <w:rsid w:val="00697EC7"/>
    <w:rsid w:val="006A6399"/>
    <w:rsid w:val="006B3BD6"/>
    <w:rsid w:val="006B4603"/>
    <w:rsid w:val="006B5019"/>
    <w:rsid w:val="006B53F9"/>
    <w:rsid w:val="006D2AD6"/>
    <w:rsid w:val="006E1F93"/>
    <w:rsid w:val="006E3F17"/>
    <w:rsid w:val="006F6BCA"/>
    <w:rsid w:val="00703B38"/>
    <w:rsid w:val="00705588"/>
    <w:rsid w:val="00705BB7"/>
    <w:rsid w:val="00706910"/>
    <w:rsid w:val="00710187"/>
    <w:rsid w:val="007118B9"/>
    <w:rsid w:val="007121BD"/>
    <w:rsid w:val="00716F72"/>
    <w:rsid w:val="00721F78"/>
    <w:rsid w:val="00725EB0"/>
    <w:rsid w:val="007268C4"/>
    <w:rsid w:val="00733A5E"/>
    <w:rsid w:val="0074586B"/>
    <w:rsid w:val="00746122"/>
    <w:rsid w:val="00751124"/>
    <w:rsid w:val="00753853"/>
    <w:rsid w:val="0075557E"/>
    <w:rsid w:val="00761D75"/>
    <w:rsid w:val="00775238"/>
    <w:rsid w:val="007774E7"/>
    <w:rsid w:val="00785B12"/>
    <w:rsid w:val="007876F1"/>
    <w:rsid w:val="00787DF9"/>
    <w:rsid w:val="0079181F"/>
    <w:rsid w:val="00792D05"/>
    <w:rsid w:val="007A3BE1"/>
    <w:rsid w:val="007C626C"/>
    <w:rsid w:val="007C7D2E"/>
    <w:rsid w:val="007D6072"/>
    <w:rsid w:val="007E3B04"/>
    <w:rsid w:val="007E7952"/>
    <w:rsid w:val="007F29D4"/>
    <w:rsid w:val="008149B0"/>
    <w:rsid w:val="00816D00"/>
    <w:rsid w:val="00816D1B"/>
    <w:rsid w:val="00820896"/>
    <w:rsid w:val="00830460"/>
    <w:rsid w:val="008316D8"/>
    <w:rsid w:val="0083467F"/>
    <w:rsid w:val="00847B96"/>
    <w:rsid w:val="008545FC"/>
    <w:rsid w:val="008618EA"/>
    <w:rsid w:val="00862D30"/>
    <w:rsid w:val="00863802"/>
    <w:rsid w:val="0087325A"/>
    <w:rsid w:val="00885F28"/>
    <w:rsid w:val="00896DEC"/>
    <w:rsid w:val="008A5506"/>
    <w:rsid w:val="008C0883"/>
    <w:rsid w:val="008C091F"/>
    <w:rsid w:val="008C5CE1"/>
    <w:rsid w:val="008D2AE2"/>
    <w:rsid w:val="008F6AD6"/>
    <w:rsid w:val="00912152"/>
    <w:rsid w:val="009152E9"/>
    <w:rsid w:val="00917ED3"/>
    <w:rsid w:val="00920200"/>
    <w:rsid w:val="00921AAD"/>
    <w:rsid w:val="00923319"/>
    <w:rsid w:val="00924CB2"/>
    <w:rsid w:val="00932B84"/>
    <w:rsid w:val="00932C93"/>
    <w:rsid w:val="00936F87"/>
    <w:rsid w:val="00941159"/>
    <w:rsid w:val="00941D39"/>
    <w:rsid w:val="00951300"/>
    <w:rsid w:val="009622C3"/>
    <w:rsid w:val="00964B6F"/>
    <w:rsid w:val="00970536"/>
    <w:rsid w:val="009776DC"/>
    <w:rsid w:val="00990176"/>
    <w:rsid w:val="009B4DF5"/>
    <w:rsid w:val="009C11BC"/>
    <w:rsid w:val="009C1F3F"/>
    <w:rsid w:val="009C29E3"/>
    <w:rsid w:val="009D58EE"/>
    <w:rsid w:val="009D596C"/>
    <w:rsid w:val="009F431C"/>
    <w:rsid w:val="009F52D7"/>
    <w:rsid w:val="00A11A9B"/>
    <w:rsid w:val="00A16603"/>
    <w:rsid w:val="00A17DDA"/>
    <w:rsid w:val="00A211CC"/>
    <w:rsid w:val="00A26294"/>
    <w:rsid w:val="00A51A5E"/>
    <w:rsid w:val="00A65D7C"/>
    <w:rsid w:val="00A705C9"/>
    <w:rsid w:val="00A85F2C"/>
    <w:rsid w:val="00A872C1"/>
    <w:rsid w:val="00A95B02"/>
    <w:rsid w:val="00A96703"/>
    <w:rsid w:val="00AC413B"/>
    <w:rsid w:val="00AD074F"/>
    <w:rsid w:val="00AD261E"/>
    <w:rsid w:val="00AE0255"/>
    <w:rsid w:val="00AE167E"/>
    <w:rsid w:val="00AF698D"/>
    <w:rsid w:val="00B00412"/>
    <w:rsid w:val="00B00E6C"/>
    <w:rsid w:val="00B22ECE"/>
    <w:rsid w:val="00B25A18"/>
    <w:rsid w:val="00B26AE4"/>
    <w:rsid w:val="00B3213A"/>
    <w:rsid w:val="00B361C0"/>
    <w:rsid w:val="00B401F6"/>
    <w:rsid w:val="00B41296"/>
    <w:rsid w:val="00B51C70"/>
    <w:rsid w:val="00B642ED"/>
    <w:rsid w:val="00B82A0F"/>
    <w:rsid w:val="00B83F4E"/>
    <w:rsid w:val="00B8567C"/>
    <w:rsid w:val="00BA2FC0"/>
    <w:rsid w:val="00BB48CB"/>
    <w:rsid w:val="00BC153E"/>
    <w:rsid w:val="00BE0549"/>
    <w:rsid w:val="00BF4543"/>
    <w:rsid w:val="00C025D4"/>
    <w:rsid w:val="00C055B9"/>
    <w:rsid w:val="00C12F43"/>
    <w:rsid w:val="00C30900"/>
    <w:rsid w:val="00C40BCA"/>
    <w:rsid w:val="00C442D6"/>
    <w:rsid w:val="00C55B84"/>
    <w:rsid w:val="00C60180"/>
    <w:rsid w:val="00C657F3"/>
    <w:rsid w:val="00C766C0"/>
    <w:rsid w:val="00C879D7"/>
    <w:rsid w:val="00C94AC7"/>
    <w:rsid w:val="00CA2172"/>
    <w:rsid w:val="00CD0F63"/>
    <w:rsid w:val="00CE17F9"/>
    <w:rsid w:val="00CF4085"/>
    <w:rsid w:val="00CF5CF7"/>
    <w:rsid w:val="00CF6B80"/>
    <w:rsid w:val="00D15D3E"/>
    <w:rsid w:val="00D167C7"/>
    <w:rsid w:val="00D16F3A"/>
    <w:rsid w:val="00D1776B"/>
    <w:rsid w:val="00D20DA9"/>
    <w:rsid w:val="00D2447B"/>
    <w:rsid w:val="00D26677"/>
    <w:rsid w:val="00D274C7"/>
    <w:rsid w:val="00D469B5"/>
    <w:rsid w:val="00D46B48"/>
    <w:rsid w:val="00D50413"/>
    <w:rsid w:val="00D627A8"/>
    <w:rsid w:val="00D63923"/>
    <w:rsid w:val="00D740F2"/>
    <w:rsid w:val="00D94A6F"/>
    <w:rsid w:val="00DA24C0"/>
    <w:rsid w:val="00DA5301"/>
    <w:rsid w:val="00DB6409"/>
    <w:rsid w:val="00DB6943"/>
    <w:rsid w:val="00DC1C51"/>
    <w:rsid w:val="00DC3489"/>
    <w:rsid w:val="00DD35DE"/>
    <w:rsid w:val="00DD504B"/>
    <w:rsid w:val="00DE709A"/>
    <w:rsid w:val="00DF1ED2"/>
    <w:rsid w:val="00DF700E"/>
    <w:rsid w:val="00E009FE"/>
    <w:rsid w:val="00E40FCF"/>
    <w:rsid w:val="00E41D92"/>
    <w:rsid w:val="00E4262E"/>
    <w:rsid w:val="00E53F64"/>
    <w:rsid w:val="00E54349"/>
    <w:rsid w:val="00E55591"/>
    <w:rsid w:val="00E5586A"/>
    <w:rsid w:val="00E57031"/>
    <w:rsid w:val="00E8781E"/>
    <w:rsid w:val="00E87E3F"/>
    <w:rsid w:val="00E9138B"/>
    <w:rsid w:val="00E97D08"/>
    <w:rsid w:val="00EA1D8E"/>
    <w:rsid w:val="00EB132D"/>
    <w:rsid w:val="00EB51E7"/>
    <w:rsid w:val="00EC7BF8"/>
    <w:rsid w:val="00ED404D"/>
    <w:rsid w:val="00ED4333"/>
    <w:rsid w:val="00EF7E34"/>
    <w:rsid w:val="00F01726"/>
    <w:rsid w:val="00F06052"/>
    <w:rsid w:val="00F07399"/>
    <w:rsid w:val="00F07C35"/>
    <w:rsid w:val="00F113E9"/>
    <w:rsid w:val="00F128E5"/>
    <w:rsid w:val="00F309F7"/>
    <w:rsid w:val="00F441E8"/>
    <w:rsid w:val="00F50566"/>
    <w:rsid w:val="00F555F1"/>
    <w:rsid w:val="00F704C4"/>
    <w:rsid w:val="00F727D8"/>
    <w:rsid w:val="00F847BE"/>
    <w:rsid w:val="00F86936"/>
    <w:rsid w:val="00F872B5"/>
    <w:rsid w:val="00FA032E"/>
    <w:rsid w:val="00FC495E"/>
    <w:rsid w:val="00FD28AF"/>
    <w:rsid w:val="00FE0990"/>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7DA"/>
    <w:pPr>
      <w:spacing w:after="24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unhideWhenUsed/>
    <w:qFormat/>
    <w:rsid w:val="000E0A2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2089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99"/>
    <w:qFormat/>
    <w:rsid w:val="00C657F3"/>
    <w:pPr>
      <w:numPr>
        <w:numId w:val="52"/>
      </w:numPr>
      <w:snapToGrid w:val="0"/>
      <w:spacing w:after="120"/>
    </w:pPr>
    <w:rPr>
      <w:rFonts w:eastAsia="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99"/>
    <w:qFormat/>
    <w:rsid w:val="00C657F3"/>
    <w:rPr>
      <w:rFonts w:ascii="Times New Roman" w:eastAsia="SimSun" w:hAnsi="Times New Roman" w:cs="SimSun"/>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537DA"/>
    <w:pPr>
      <w:spacing w:before="100" w:beforeAutospacing="1" w:after="100" w:afterAutospacing="1"/>
    </w:pPr>
  </w:style>
  <w:style w:type="paragraph" w:styleId="Subtitle">
    <w:name w:val="Subtitle"/>
    <w:basedOn w:val="Normal"/>
    <w:next w:val="Normal"/>
    <w:link w:val="SubtitleChar"/>
    <w:uiPriority w:val="11"/>
    <w:qFormat/>
    <w:rsid w:val="003537DA"/>
    <w:rPr>
      <w:rFonts w:eastAsia="SimSun"/>
      <w:b/>
      <w:bCs/>
      <w:sz w:val="22"/>
      <w:szCs w:val="22"/>
      <w:u w:val="single"/>
    </w:rPr>
  </w:style>
  <w:style w:type="character" w:customStyle="1" w:styleId="SubtitleChar">
    <w:name w:val="Subtitle Char"/>
    <w:basedOn w:val="DefaultParagraphFont"/>
    <w:link w:val="Subtitle"/>
    <w:uiPriority w:val="11"/>
    <w:rsid w:val="003537DA"/>
    <w:rPr>
      <w:rFonts w:ascii="Times New Roman" w:eastAsia="SimSun" w:hAnsi="Times New Roman" w:cs="Times New Roman"/>
      <w:b/>
      <w:bCs/>
      <w:sz w:val="22"/>
      <w:szCs w:val="22"/>
      <w:u w:val="single"/>
    </w:rPr>
  </w:style>
  <w:style w:type="character" w:styleId="Hyperlink">
    <w:name w:val="Hyperlink"/>
    <w:basedOn w:val="DefaultParagraphFont"/>
    <w:uiPriority w:val="99"/>
    <w:unhideWhenUsed/>
    <w:rsid w:val="0079181F"/>
    <w:rPr>
      <w:color w:val="0563C1" w:themeColor="hyperlink"/>
      <w:u w:val="single"/>
    </w:rPr>
  </w:style>
  <w:style w:type="character" w:styleId="UnresolvedMention">
    <w:name w:val="Unresolved Mention"/>
    <w:basedOn w:val="DefaultParagraphFont"/>
    <w:uiPriority w:val="99"/>
    <w:semiHidden/>
    <w:unhideWhenUsed/>
    <w:rsid w:val="0079181F"/>
    <w:rPr>
      <w:color w:val="605E5C"/>
      <w:shd w:val="clear" w:color="auto" w:fill="E1DFDD"/>
    </w:rPr>
  </w:style>
  <w:style w:type="paragraph" w:customStyle="1" w:styleId="B1">
    <w:name w:val="B1"/>
    <w:basedOn w:val="List"/>
    <w:link w:val="B1Char"/>
    <w:qFormat/>
    <w:rsid w:val="0079181F"/>
    <w:pPr>
      <w:overflowPunct w:val="0"/>
      <w:autoSpaceDE w:val="0"/>
      <w:autoSpaceDN w:val="0"/>
      <w:adjustRightInd w:val="0"/>
      <w:spacing w:after="180"/>
      <w:ind w:left="568" w:hanging="284"/>
      <w:contextualSpacing w:val="0"/>
      <w:textAlignment w:val="baseline"/>
    </w:pPr>
    <w:rPr>
      <w:lang w:val="en-GB" w:eastAsia="en-GB"/>
    </w:rPr>
  </w:style>
  <w:style w:type="paragraph" w:styleId="List">
    <w:name w:val="List"/>
    <w:basedOn w:val="Normal"/>
    <w:uiPriority w:val="99"/>
    <w:semiHidden/>
    <w:unhideWhenUsed/>
    <w:rsid w:val="0079181F"/>
    <w:pPr>
      <w:ind w:left="360" w:hanging="360"/>
      <w:contextualSpacing/>
    </w:pPr>
  </w:style>
  <w:style w:type="character" w:customStyle="1" w:styleId="B1Char">
    <w:name w:val="B1 Char"/>
    <w:link w:val="B1"/>
    <w:qFormat/>
    <w:rsid w:val="00921AAD"/>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rsid w:val="00820896"/>
    <w:rPr>
      <w:rFonts w:asciiTheme="majorHAnsi" w:eastAsiaTheme="majorEastAsia" w:hAnsiTheme="majorHAnsi" w:cstheme="majorBidi"/>
      <w:i/>
      <w:iCs/>
      <w:color w:val="2F5496" w:themeColor="accent1" w:themeShade="BF"/>
      <w:sz w:val="20"/>
      <w:szCs w:val="20"/>
    </w:rPr>
  </w:style>
  <w:style w:type="character" w:customStyle="1" w:styleId="Heading3Char">
    <w:name w:val="Heading 3 Char"/>
    <w:basedOn w:val="DefaultParagraphFont"/>
    <w:link w:val="Heading3"/>
    <w:uiPriority w:val="9"/>
    <w:rsid w:val="000E0A21"/>
    <w:rPr>
      <w:rFonts w:asciiTheme="majorHAnsi" w:eastAsiaTheme="majorEastAsia" w:hAnsiTheme="majorHAnsi" w:cstheme="majorBidi"/>
      <w:color w:val="1F3763" w:themeColor="accent1" w:themeShade="7F"/>
    </w:rPr>
  </w:style>
  <w:style w:type="character" w:styleId="PlaceholderText">
    <w:name w:val="Placeholder Text"/>
    <w:basedOn w:val="DefaultParagraphFont"/>
    <w:uiPriority w:val="99"/>
    <w:semiHidden/>
    <w:rsid w:val="00B83F4E"/>
    <w:rPr>
      <w:color w:val="666666"/>
    </w:rPr>
  </w:style>
  <w:style w:type="paragraph" w:styleId="Footer">
    <w:name w:val="footer"/>
    <w:basedOn w:val="Normal"/>
    <w:link w:val="FooterChar"/>
    <w:uiPriority w:val="99"/>
    <w:unhideWhenUsed/>
    <w:rsid w:val="00EF7E34"/>
    <w:pPr>
      <w:tabs>
        <w:tab w:val="center" w:pos="4680"/>
        <w:tab w:val="right" w:pos="9360"/>
      </w:tabs>
      <w:spacing w:after="0"/>
    </w:pPr>
  </w:style>
  <w:style w:type="character" w:customStyle="1" w:styleId="FooterChar">
    <w:name w:val="Footer Char"/>
    <w:basedOn w:val="DefaultParagraphFont"/>
    <w:link w:val="Footer"/>
    <w:uiPriority w:val="99"/>
    <w:rsid w:val="00EF7E3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0404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33919850">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539101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19204459">
      <w:bodyDiv w:val="1"/>
      <w:marLeft w:val="0"/>
      <w:marRight w:val="0"/>
      <w:marTop w:val="0"/>
      <w:marBottom w:val="0"/>
      <w:divBdr>
        <w:top w:val="none" w:sz="0" w:space="0" w:color="auto"/>
        <w:left w:val="none" w:sz="0" w:space="0" w:color="auto"/>
        <w:bottom w:val="none" w:sz="0" w:space="0" w:color="auto"/>
        <w:right w:val="none" w:sz="0" w:space="0" w:color="auto"/>
      </w:divBdr>
    </w:div>
    <w:div w:id="576939747">
      <w:bodyDiv w:val="1"/>
      <w:marLeft w:val="0"/>
      <w:marRight w:val="0"/>
      <w:marTop w:val="0"/>
      <w:marBottom w:val="0"/>
      <w:divBdr>
        <w:top w:val="none" w:sz="0" w:space="0" w:color="auto"/>
        <w:left w:val="none" w:sz="0" w:space="0" w:color="auto"/>
        <w:bottom w:val="none" w:sz="0" w:space="0" w:color="auto"/>
        <w:right w:val="none" w:sz="0" w:space="0" w:color="auto"/>
      </w:divBdr>
    </w:div>
    <w:div w:id="646472392">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89054172">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831143619">
      <w:bodyDiv w:val="1"/>
      <w:marLeft w:val="0"/>
      <w:marRight w:val="0"/>
      <w:marTop w:val="0"/>
      <w:marBottom w:val="0"/>
      <w:divBdr>
        <w:top w:val="none" w:sz="0" w:space="0" w:color="auto"/>
        <w:left w:val="none" w:sz="0" w:space="0" w:color="auto"/>
        <w:bottom w:val="none" w:sz="0" w:space="0" w:color="auto"/>
        <w:right w:val="none" w:sz="0" w:space="0" w:color="auto"/>
      </w:divBdr>
    </w:div>
    <w:div w:id="994337115">
      <w:bodyDiv w:val="1"/>
      <w:marLeft w:val="0"/>
      <w:marRight w:val="0"/>
      <w:marTop w:val="0"/>
      <w:marBottom w:val="0"/>
      <w:divBdr>
        <w:top w:val="none" w:sz="0" w:space="0" w:color="auto"/>
        <w:left w:val="none" w:sz="0" w:space="0" w:color="auto"/>
        <w:bottom w:val="none" w:sz="0" w:space="0" w:color="auto"/>
        <w:right w:val="none" w:sz="0" w:space="0" w:color="auto"/>
      </w:divBdr>
    </w:div>
    <w:div w:id="1065420171">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174370389">
      <w:bodyDiv w:val="1"/>
      <w:marLeft w:val="0"/>
      <w:marRight w:val="0"/>
      <w:marTop w:val="0"/>
      <w:marBottom w:val="0"/>
      <w:divBdr>
        <w:top w:val="none" w:sz="0" w:space="0" w:color="auto"/>
        <w:left w:val="none" w:sz="0" w:space="0" w:color="auto"/>
        <w:bottom w:val="none" w:sz="0" w:space="0" w:color="auto"/>
        <w:right w:val="none" w:sz="0" w:space="0" w:color="auto"/>
      </w:divBdr>
    </w:div>
    <w:div w:id="1206675646">
      <w:bodyDiv w:val="1"/>
      <w:marLeft w:val="0"/>
      <w:marRight w:val="0"/>
      <w:marTop w:val="0"/>
      <w:marBottom w:val="0"/>
      <w:divBdr>
        <w:top w:val="none" w:sz="0" w:space="0" w:color="auto"/>
        <w:left w:val="none" w:sz="0" w:space="0" w:color="auto"/>
        <w:bottom w:val="none" w:sz="0" w:space="0" w:color="auto"/>
        <w:right w:val="none" w:sz="0" w:space="0" w:color="auto"/>
      </w:divBdr>
    </w:div>
    <w:div w:id="1218708325">
      <w:bodyDiv w:val="1"/>
      <w:marLeft w:val="0"/>
      <w:marRight w:val="0"/>
      <w:marTop w:val="0"/>
      <w:marBottom w:val="0"/>
      <w:divBdr>
        <w:top w:val="none" w:sz="0" w:space="0" w:color="auto"/>
        <w:left w:val="none" w:sz="0" w:space="0" w:color="auto"/>
        <w:bottom w:val="none" w:sz="0" w:space="0" w:color="auto"/>
        <w:right w:val="none" w:sz="0" w:space="0" w:color="auto"/>
      </w:divBdr>
    </w:div>
    <w:div w:id="1260286778">
      <w:bodyDiv w:val="1"/>
      <w:marLeft w:val="0"/>
      <w:marRight w:val="0"/>
      <w:marTop w:val="0"/>
      <w:marBottom w:val="0"/>
      <w:divBdr>
        <w:top w:val="none" w:sz="0" w:space="0" w:color="auto"/>
        <w:left w:val="none" w:sz="0" w:space="0" w:color="auto"/>
        <w:bottom w:val="none" w:sz="0" w:space="0" w:color="auto"/>
        <w:right w:val="none" w:sz="0" w:space="0" w:color="auto"/>
      </w:divBdr>
    </w:div>
    <w:div w:id="1260484467">
      <w:bodyDiv w:val="1"/>
      <w:marLeft w:val="0"/>
      <w:marRight w:val="0"/>
      <w:marTop w:val="0"/>
      <w:marBottom w:val="0"/>
      <w:divBdr>
        <w:top w:val="none" w:sz="0" w:space="0" w:color="auto"/>
        <w:left w:val="none" w:sz="0" w:space="0" w:color="auto"/>
        <w:bottom w:val="none" w:sz="0" w:space="0" w:color="auto"/>
        <w:right w:val="none" w:sz="0" w:space="0" w:color="auto"/>
      </w:divBdr>
    </w:div>
    <w:div w:id="137684996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62716153">
      <w:bodyDiv w:val="1"/>
      <w:marLeft w:val="0"/>
      <w:marRight w:val="0"/>
      <w:marTop w:val="0"/>
      <w:marBottom w:val="0"/>
      <w:divBdr>
        <w:top w:val="none" w:sz="0" w:space="0" w:color="auto"/>
        <w:left w:val="none" w:sz="0" w:space="0" w:color="auto"/>
        <w:bottom w:val="none" w:sz="0" w:space="0" w:color="auto"/>
        <w:right w:val="none" w:sz="0" w:space="0" w:color="auto"/>
      </w:divBdr>
    </w:div>
    <w:div w:id="1666934640">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09798586">
      <w:bodyDiv w:val="1"/>
      <w:marLeft w:val="0"/>
      <w:marRight w:val="0"/>
      <w:marTop w:val="0"/>
      <w:marBottom w:val="0"/>
      <w:divBdr>
        <w:top w:val="none" w:sz="0" w:space="0" w:color="auto"/>
        <w:left w:val="none" w:sz="0" w:space="0" w:color="auto"/>
        <w:bottom w:val="none" w:sz="0" w:space="0" w:color="auto"/>
        <w:right w:val="none" w:sz="0" w:space="0" w:color="auto"/>
      </w:divBdr>
    </w:div>
    <w:div w:id="1919289335">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5</Pages>
  <Words>1248</Words>
  <Characters>6941</Characters>
  <Application>Microsoft Office Word</Application>
  <DocSecurity>0</DocSecurity>
  <Lines>365</Lines>
  <Paragraphs>186</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Apple_116 (Manasa)</cp:lastModifiedBy>
  <cp:revision>12</cp:revision>
  <dcterms:created xsi:type="dcterms:W3CDTF">2025-08-06T22:51:00Z</dcterms:created>
  <dcterms:modified xsi:type="dcterms:W3CDTF">2025-08-15T02:53:00Z</dcterms:modified>
</cp:coreProperties>
</file>