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바탕" w:hAnsi="Times" w:cs="Times"/>
                <w:szCs w:val="20"/>
                <w:lang w:val="en-GB" w:eastAsia="x-none"/>
              </w:rPr>
            </w:pPr>
            <w:r w:rsidRPr="00187025">
              <w:rPr>
                <w:rFonts w:ascii="Times" w:eastAsia="바탕"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8"/>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a8"/>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8"/>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8"/>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a8"/>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8"/>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a8"/>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8"/>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8"/>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8"/>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맑은 고딕" w:hint="eastAsia"/>
                <w:lang w:eastAsia="ko-KR"/>
              </w:rPr>
            </w:pPr>
            <w:r>
              <w:rPr>
                <w:rFonts w:eastAsia="맑은 고딕" w:hint="eastAsia"/>
                <w:lang w:eastAsia="ko-KR"/>
              </w:rPr>
              <w:lastRenderedPageBreak/>
              <w:t>LGE</w:t>
            </w:r>
          </w:p>
        </w:tc>
        <w:tc>
          <w:tcPr>
            <w:tcW w:w="1800" w:type="dxa"/>
          </w:tcPr>
          <w:p w14:paraId="6078DBF0" w14:textId="300B67E5" w:rsidR="00F471E3" w:rsidRPr="00B55A3F" w:rsidRDefault="00B55A3F" w:rsidP="00780915">
            <w:pPr>
              <w:rPr>
                <w:rFonts w:eastAsia="맑은 고딕" w:hint="eastAsia"/>
                <w:lang w:eastAsia="ko-KR"/>
              </w:rPr>
            </w:pPr>
            <w:r>
              <w:rPr>
                <w:rFonts w:eastAsia="맑은 고딕" w:hint="eastAsia"/>
                <w:lang w:eastAsia="ko-KR"/>
              </w:rPr>
              <w:t>Yes</w:t>
            </w:r>
          </w:p>
        </w:tc>
        <w:tc>
          <w:tcPr>
            <w:tcW w:w="6116" w:type="dxa"/>
          </w:tcPr>
          <w:p w14:paraId="179A7BFA" w14:textId="08C83CB8" w:rsidR="00F471E3" w:rsidRPr="00B55A3F" w:rsidRDefault="00B55A3F" w:rsidP="00780915">
            <w:pPr>
              <w:rPr>
                <w:rFonts w:eastAsia="맑은 고딕" w:hint="eastAsia"/>
                <w:lang w:eastAsia="ko-KR"/>
              </w:rPr>
            </w:pPr>
            <w:r>
              <w:rPr>
                <w:rFonts w:eastAsia="맑은 고딕" w:hint="eastAsia"/>
                <w:lang w:eastAsia="ko-KR"/>
              </w:rPr>
              <w:t>Agree with analysis of Rapporteur</w:t>
            </w:r>
          </w:p>
        </w:tc>
      </w:tr>
      <w:tr w:rsidR="00F471E3" w14:paraId="1E8D7B97" w14:textId="77777777" w:rsidTr="00F471E3">
        <w:tc>
          <w:tcPr>
            <w:tcW w:w="1705" w:type="dxa"/>
          </w:tcPr>
          <w:p w14:paraId="4BC06696" w14:textId="77777777" w:rsidR="00F471E3" w:rsidRDefault="00F471E3" w:rsidP="00780915">
            <w:pPr>
              <w:rPr>
                <w:lang w:eastAsia="sv-SE"/>
              </w:rPr>
            </w:pPr>
          </w:p>
        </w:tc>
        <w:tc>
          <w:tcPr>
            <w:tcW w:w="1800" w:type="dxa"/>
          </w:tcPr>
          <w:p w14:paraId="2F2C6F5F" w14:textId="77777777" w:rsidR="00F471E3" w:rsidRDefault="00F471E3" w:rsidP="00780915">
            <w:pPr>
              <w:rPr>
                <w:lang w:eastAsia="sv-SE"/>
              </w:rPr>
            </w:pPr>
          </w:p>
        </w:tc>
        <w:tc>
          <w:tcPr>
            <w:tcW w:w="6116" w:type="dxa"/>
          </w:tcPr>
          <w:p w14:paraId="56B9520C" w14:textId="77777777" w:rsidR="00F471E3" w:rsidRDefault="00F471E3" w:rsidP="00780915">
            <w:pPr>
              <w:rPr>
                <w:lang w:eastAsia="sv-SE"/>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8"/>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8"/>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8"/>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맑은 고딕" w:hint="eastAsia"/>
                <w:lang w:eastAsia="ko-KR"/>
              </w:rPr>
            </w:pPr>
            <w:r>
              <w:rPr>
                <w:rFonts w:eastAsia="맑은 고딕" w:hint="eastAsia"/>
                <w:lang w:eastAsia="ko-KR"/>
              </w:rPr>
              <w:lastRenderedPageBreak/>
              <w:t>LGE</w:t>
            </w:r>
          </w:p>
        </w:tc>
        <w:tc>
          <w:tcPr>
            <w:tcW w:w="1800" w:type="dxa"/>
          </w:tcPr>
          <w:p w14:paraId="39261196" w14:textId="1017AA17" w:rsidR="00985136" w:rsidRPr="009E02D1" w:rsidRDefault="009E02D1" w:rsidP="00357412">
            <w:pPr>
              <w:rPr>
                <w:rFonts w:eastAsia="맑은 고딕" w:hint="eastAsia"/>
                <w:lang w:eastAsia="ko-KR"/>
              </w:rPr>
            </w:pPr>
            <w:r>
              <w:rPr>
                <w:rFonts w:eastAsia="맑은 고딕" w:hint="eastAsia"/>
                <w:lang w:eastAsia="ko-KR"/>
              </w:rPr>
              <w:t>No strong view</w:t>
            </w:r>
          </w:p>
        </w:tc>
        <w:tc>
          <w:tcPr>
            <w:tcW w:w="6116" w:type="dxa"/>
          </w:tcPr>
          <w:p w14:paraId="047D7340" w14:textId="77777777" w:rsidR="00985136" w:rsidRDefault="00985136" w:rsidP="00357412">
            <w:pPr>
              <w:rPr>
                <w:lang w:eastAsia="sv-SE"/>
              </w:rPr>
            </w:pPr>
          </w:p>
        </w:tc>
      </w:tr>
      <w:tr w:rsidR="00985136" w14:paraId="0233FA4A" w14:textId="77777777" w:rsidTr="00357412">
        <w:tc>
          <w:tcPr>
            <w:tcW w:w="1705" w:type="dxa"/>
          </w:tcPr>
          <w:p w14:paraId="3090162B" w14:textId="77777777" w:rsidR="00985136" w:rsidRDefault="00985136" w:rsidP="00357412">
            <w:pPr>
              <w:rPr>
                <w:lang w:eastAsia="sv-SE"/>
              </w:rPr>
            </w:pPr>
          </w:p>
        </w:tc>
        <w:tc>
          <w:tcPr>
            <w:tcW w:w="1800" w:type="dxa"/>
          </w:tcPr>
          <w:p w14:paraId="22AF4424" w14:textId="77777777" w:rsidR="00985136" w:rsidRDefault="00985136" w:rsidP="00357412">
            <w:pPr>
              <w:rPr>
                <w:lang w:eastAsia="sv-SE"/>
              </w:rPr>
            </w:pPr>
          </w:p>
        </w:tc>
        <w:tc>
          <w:tcPr>
            <w:tcW w:w="6116" w:type="dxa"/>
          </w:tcPr>
          <w:p w14:paraId="38D5EEB9" w14:textId="77777777" w:rsidR="00985136" w:rsidRDefault="00985136" w:rsidP="00357412">
            <w:pPr>
              <w:rPr>
                <w:lang w:eastAsia="sv-SE"/>
              </w:rPr>
            </w:pP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Ofinno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Ofinno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Ofinno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lastRenderedPageBreak/>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8"/>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a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8"/>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8"/>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lastRenderedPageBreak/>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맑은 고딕" w:hint="eastAsia"/>
                <w:lang w:eastAsia="ko-KR"/>
              </w:rPr>
            </w:pPr>
            <w:r>
              <w:rPr>
                <w:rFonts w:eastAsia="맑은 고딕" w:hint="eastAsia"/>
                <w:lang w:eastAsia="ko-KR"/>
              </w:rPr>
              <w:t>LGE</w:t>
            </w:r>
          </w:p>
        </w:tc>
        <w:tc>
          <w:tcPr>
            <w:tcW w:w="1260" w:type="dxa"/>
          </w:tcPr>
          <w:p w14:paraId="070A4573" w14:textId="682B8BB1" w:rsidR="0083707B" w:rsidRPr="007F6F23" w:rsidRDefault="007F6F23" w:rsidP="00357412">
            <w:pPr>
              <w:rPr>
                <w:rFonts w:eastAsia="맑은 고딕" w:hint="eastAsia"/>
                <w:lang w:eastAsia="ko-KR"/>
              </w:rPr>
            </w:pPr>
            <w:r>
              <w:rPr>
                <w:rFonts w:eastAsia="맑은 고딕" w:hint="eastAsia"/>
                <w:lang w:eastAsia="ko-KR"/>
              </w:rPr>
              <w:t>Yes</w:t>
            </w:r>
          </w:p>
        </w:tc>
        <w:tc>
          <w:tcPr>
            <w:tcW w:w="6656" w:type="dxa"/>
          </w:tcPr>
          <w:p w14:paraId="3016FF5B" w14:textId="4BA7D49F" w:rsidR="0083707B" w:rsidRDefault="007F6F23" w:rsidP="00357412">
            <w:pPr>
              <w:rPr>
                <w:lang w:eastAsia="sv-SE"/>
              </w:rPr>
            </w:pPr>
            <w:r>
              <w:rPr>
                <w:rFonts w:eastAsia="맑은 고딕" w:hint="eastAsia"/>
                <w:lang w:eastAsia="ko-KR"/>
              </w:rPr>
              <w:t>Agree with Rapporteur</w:t>
            </w:r>
            <w:r>
              <w:rPr>
                <w:rFonts w:eastAsia="맑은 고딕"/>
                <w:lang w:eastAsia="ko-KR"/>
              </w:rPr>
              <w:t>’</w:t>
            </w:r>
            <w:r>
              <w:rPr>
                <w:rFonts w:eastAsia="맑은 고딕" w:hint="eastAsia"/>
                <w:lang w:eastAsia="ko-KR"/>
              </w:rPr>
              <w:t xml:space="preserve">s </w:t>
            </w:r>
            <w:r>
              <w:rPr>
                <w:rFonts w:eastAsia="맑은 고딕" w:hint="eastAsia"/>
                <w:lang w:eastAsia="ko-KR"/>
              </w:rPr>
              <w:t xml:space="preserve">analysis </w:t>
            </w:r>
          </w:p>
        </w:tc>
      </w:tr>
      <w:tr w:rsidR="0083707B" w14:paraId="7D803431" w14:textId="77777777" w:rsidTr="00DB3A45">
        <w:tc>
          <w:tcPr>
            <w:tcW w:w="1705" w:type="dxa"/>
          </w:tcPr>
          <w:p w14:paraId="5D45C638" w14:textId="77777777" w:rsidR="0083707B" w:rsidRDefault="0083707B" w:rsidP="00357412">
            <w:pPr>
              <w:rPr>
                <w:lang w:eastAsia="sv-SE"/>
              </w:rPr>
            </w:pPr>
          </w:p>
        </w:tc>
        <w:tc>
          <w:tcPr>
            <w:tcW w:w="1260" w:type="dxa"/>
          </w:tcPr>
          <w:p w14:paraId="58D24283" w14:textId="77777777" w:rsidR="0083707B" w:rsidRDefault="0083707B" w:rsidP="00357412">
            <w:pPr>
              <w:rPr>
                <w:lang w:eastAsia="sv-SE"/>
              </w:rPr>
            </w:pPr>
          </w:p>
        </w:tc>
        <w:tc>
          <w:tcPr>
            <w:tcW w:w="6656" w:type="dxa"/>
          </w:tcPr>
          <w:p w14:paraId="154E7236" w14:textId="77777777" w:rsidR="0083707B" w:rsidRDefault="0083707B" w:rsidP="00357412">
            <w:pPr>
              <w:rPr>
                <w:lang w:eastAsia="sv-SE"/>
              </w:rPr>
            </w:pP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ressource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lastRenderedPageBreak/>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r>
        <w:rPr>
          <w:rFonts w:eastAsia="SimSun"/>
          <w:lang w:eastAsia="zh-CN"/>
        </w:rPr>
        <w:t>behaviour</w:t>
      </w:r>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he following is take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lastRenderedPageBreak/>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d"/>
        <w:tblW w:w="0" w:type="auto"/>
        <w:tblLook w:val="04A0" w:firstRow="1" w:lastRow="0" w:firstColumn="1" w:lastColumn="0" w:noHBand="0" w:noVBand="1"/>
      </w:tblPr>
      <w:tblGrid>
        <w:gridCol w:w="1705"/>
        <w:gridCol w:w="1260"/>
        <w:gridCol w:w="6656"/>
      </w:tblGrid>
      <w:tr w:rsidR="003F3E97" w14:paraId="48A08E5C" w14:textId="77777777" w:rsidTr="00357412">
        <w:tc>
          <w:tcPr>
            <w:tcW w:w="1705" w:type="dxa"/>
          </w:tcPr>
          <w:p w14:paraId="2DB987CB" w14:textId="77777777" w:rsidR="003F3E97" w:rsidRDefault="003F3E97" w:rsidP="00357412">
            <w:pPr>
              <w:rPr>
                <w:lang w:eastAsia="sv-SE"/>
              </w:rPr>
            </w:pPr>
            <w:r>
              <w:rPr>
                <w:lang w:eastAsia="sv-SE"/>
              </w:rPr>
              <w:t>Company</w:t>
            </w:r>
          </w:p>
        </w:tc>
        <w:tc>
          <w:tcPr>
            <w:tcW w:w="1260" w:type="dxa"/>
          </w:tcPr>
          <w:p w14:paraId="419B4472" w14:textId="3EBF0914" w:rsidR="003F3E97" w:rsidRDefault="003F3E97" w:rsidP="00357412">
            <w:pPr>
              <w:rPr>
                <w:lang w:eastAsia="sv-SE"/>
              </w:rPr>
            </w:pPr>
            <w:r>
              <w:rPr>
                <w:lang w:eastAsia="sv-SE"/>
              </w:rPr>
              <w:t>Option 1/2</w:t>
            </w:r>
          </w:p>
        </w:tc>
        <w:tc>
          <w:tcPr>
            <w:tcW w:w="6656" w:type="dxa"/>
          </w:tcPr>
          <w:p w14:paraId="7C9DB11D" w14:textId="77777777" w:rsidR="003F3E97" w:rsidRDefault="003F3E97" w:rsidP="00357412">
            <w:pPr>
              <w:rPr>
                <w:lang w:eastAsia="sv-SE"/>
              </w:rPr>
            </w:pPr>
            <w:r>
              <w:rPr>
                <w:lang w:eastAsia="sv-SE"/>
              </w:rPr>
              <w:t>Comments</w:t>
            </w:r>
          </w:p>
        </w:tc>
      </w:tr>
      <w:tr w:rsidR="003F3E97" w14:paraId="4B907E13" w14:textId="77777777" w:rsidTr="00357412">
        <w:tc>
          <w:tcPr>
            <w:tcW w:w="1705" w:type="dxa"/>
          </w:tcPr>
          <w:p w14:paraId="52823DC1" w14:textId="4F3BE0B6" w:rsidR="003F3E97" w:rsidRDefault="00D77275" w:rsidP="00357412">
            <w:pPr>
              <w:rPr>
                <w:lang w:eastAsia="sv-SE"/>
              </w:rPr>
            </w:pPr>
            <w:r>
              <w:rPr>
                <w:lang w:eastAsia="sv-SE"/>
              </w:rPr>
              <w:t>Samsung</w:t>
            </w:r>
          </w:p>
        </w:tc>
        <w:tc>
          <w:tcPr>
            <w:tcW w:w="1260" w:type="dxa"/>
          </w:tcPr>
          <w:p w14:paraId="69880940" w14:textId="1150F6A2" w:rsidR="003F3E97" w:rsidRDefault="00D77275" w:rsidP="00357412">
            <w:pPr>
              <w:rPr>
                <w:lang w:eastAsia="sv-SE"/>
              </w:rPr>
            </w:pPr>
            <w:r>
              <w:rPr>
                <w:lang w:eastAsia="sv-SE"/>
              </w:rPr>
              <w:t>Option 1</w:t>
            </w:r>
          </w:p>
        </w:tc>
        <w:tc>
          <w:tcPr>
            <w:tcW w:w="66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357412">
        <w:tc>
          <w:tcPr>
            <w:tcW w:w="1705" w:type="dxa"/>
          </w:tcPr>
          <w:p w14:paraId="01417D8A" w14:textId="54297DC7" w:rsidR="003F3E97" w:rsidRPr="006D67C4" w:rsidRDefault="006D67C4" w:rsidP="00357412">
            <w:pPr>
              <w:rPr>
                <w:rFonts w:eastAsia="맑은 고딕" w:hint="eastAsia"/>
                <w:lang w:eastAsia="ko-KR"/>
              </w:rPr>
            </w:pPr>
            <w:r>
              <w:rPr>
                <w:rFonts w:eastAsia="맑은 고딕" w:hint="eastAsia"/>
                <w:lang w:eastAsia="ko-KR"/>
              </w:rPr>
              <w:t>LGE</w:t>
            </w:r>
          </w:p>
        </w:tc>
        <w:tc>
          <w:tcPr>
            <w:tcW w:w="1260" w:type="dxa"/>
          </w:tcPr>
          <w:p w14:paraId="4879DA6B" w14:textId="7AB68E96" w:rsidR="003F3E97" w:rsidRPr="006D67C4" w:rsidRDefault="006D67C4" w:rsidP="00357412">
            <w:pPr>
              <w:rPr>
                <w:rFonts w:eastAsia="맑은 고딕" w:hint="eastAsia"/>
                <w:lang w:eastAsia="ko-KR"/>
              </w:rPr>
            </w:pPr>
            <w:r>
              <w:rPr>
                <w:rFonts w:eastAsia="맑은 고딕" w:hint="eastAsia"/>
                <w:lang w:eastAsia="ko-KR"/>
              </w:rPr>
              <w:t>Option 2</w:t>
            </w:r>
          </w:p>
        </w:tc>
        <w:tc>
          <w:tcPr>
            <w:tcW w:w="6656" w:type="dxa"/>
          </w:tcPr>
          <w:p w14:paraId="6012A20E" w14:textId="2D51ACA9" w:rsidR="00CB16C9" w:rsidRDefault="00CB16C9" w:rsidP="00D41738">
            <w:pPr>
              <w:rPr>
                <w:rFonts w:eastAsia="맑은 고딕"/>
                <w:lang w:eastAsia="ko-KR"/>
              </w:rPr>
            </w:pPr>
            <w:r>
              <w:rPr>
                <w:rFonts w:eastAsia="맑은 고딕" w:hint="eastAsia"/>
                <w:lang w:eastAsia="ko-KR"/>
              </w:rPr>
              <w:t>There may be a case which should be considered.</w:t>
            </w:r>
          </w:p>
          <w:p w14:paraId="53126A44" w14:textId="79B2F48E" w:rsidR="00CB16C9" w:rsidRPr="00CB16C9" w:rsidRDefault="00CB16C9" w:rsidP="00CB16C9">
            <w:pPr>
              <w:pStyle w:val="a8"/>
              <w:numPr>
                <w:ilvl w:val="0"/>
                <w:numId w:val="20"/>
              </w:numPr>
              <w:rPr>
                <w:rFonts w:eastAsia="맑은 고딕" w:hint="eastAsia"/>
                <w:lang w:eastAsia="ko-KR"/>
              </w:rPr>
            </w:pPr>
            <w:r>
              <w:rPr>
                <w:rFonts w:eastAsia="맑은 고딕" w:hint="eastAsia"/>
                <w:lang w:eastAsia="ko-KR"/>
              </w:rPr>
              <w:t>PUCCH is transmitted</w:t>
            </w:r>
            <w:r>
              <w:rPr>
                <w:rFonts w:eastAsia="맑은 고딕" w:hint="eastAsia"/>
                <w:lang w:eastAsia="ko-KR"/>
              </w:rPr>
              <w:t xml:space="preserve"> by </w:t>
            </w:r>
            <w:r>
              <w:rPr>
                <w:rFonts w:eastAsia="맑은 고딕" w:hint="eastAsia"/>
                <w:lang w:eastAsia="ko-KR"/>
              </w:rPr>
              <w:t xml:space="preserve">UEI event </w:t>
            </w:r>
            <w:r>
              <w:rPr>
                <w:rFonts w:eastAsia="맑은 고딕" w:hint="eastAsia"/>
                <w:lang w:eastAsia="ko-KR"/>
              </w:rPr>
              <w:t>triggering</w:t>
            </w:r>
            <w:r>
              <w:rPr>
                <w:rFonts w:eastAsia="맑은 고딕" w:hint="eastAsia"/>
                <w:lang w:eastAsia="ko-KR"/>
              </w:rPr>
              <w:t xml:space="preserve"> </w:t>
            </w:r>
            <w:r>
              <w:rPr>
                <w:rFonts w:eastAsia="맑은 고딕" w:hint="eastAsia"/>
                <w:lang w:eastAsia="ko-KR"/>
              </w:rPr>
              <w:t>and the UE starts Active time, but the</w:t>
            </w:r>
            <w:r w:rsidRPr="00D41738">
              <w:rPr>
                <w:rFonts w:eastAsia="맑은 고딕"/>
                <w:lang w:eastAsia="ko-KR"/>
              </w:rPr>
              <w:t xml:space="preserve"> beam </w:t>
            </w:r>
            <w:r>
              <w:rPr>
                <w:rFonts w:eastAsia="맑은 고딕" w:hint="eastAsia"/>
                <w:lang w:eastAsia="ko-KR"/>
              </w:rPr>
              <w:t>is recovered.</w:t>
            </w:r>
          </w:p>
          <w:p w14:paraId="75F536B6" w14:textId="77777777" w:rsidR="00CB16C9" w:rsidRDefault="00CB16C9" w:rsidP="00D41738">
            <w:pPr>
              <w:rPr>
                <w:rFonts w:eastAsia="맑은 고딕"/>
                <w:lang w:eastAsia="ko-KR"/>
              </w:rPr>
            </w:pPr>
          </w:p>
          <w:p w14:paraId="05BD1910" w14:textId="6CAFC2AA" w:rsidR="003F3E97" w:rsidRPr="00CB16C9" w:rsidRDefault="00CB16C9" w:rsidP="00CB16C9">
            <w:pPr>
              <w:rPr>
                <w:rFonts w:eastAsia="맑은 고딕" w:hint="eastAsia"/>
                <w:lang w:eastAsia="ko-KR"/>
              </w:rPr>
            </w:pPr>
            <w:r>
              <w:rPr>
                <w:rFonts w:eastAsia="맑은 고딕" w:hint="eastAsia"/>
                <w:lang w:eastAsia="ko-KR"/>
              </w:rPr>
              <w:t>In this case, the UE may not cancel Active time according to the current specification. Thus, a new method is needed to handle the triggered Active time.</w:t>
            </w:r>
          </w:p>
        </w:tc>
      </w:tr>
      <w:tr w:rsidR="003F3E97" w14:paraId="2FA08979" w14:textId="77777777" w:rsidTr="00357412">
        <w:tc>
          <w:tcPr>
            <w:tcW w:w="1705" w:type="dxa"/>
          </w:tcPr>
          <w:p w14:paraId="6F09F7A4" w14:textId="77777777" w:rsidR="003F3E97" w:rsidRPr="00CB16C9" w:rsidRDefault="003F3E97" w:rsidP="00357412">
            <w:pPr>
              <w:rPr>
                <w:rFonts w:eastAsia="맑은 고딕" w:hint="eastAsia"/>
                <w:lang w:eastAsia="ko-KR"/>
              </w:rPr>
            </w:pPr>
          </w:p>
        </w:tc>
        <w:tc>
          <w:tcPr>
            <w:tcW w:w="1260" w:type="dxa"/>
          </w:tcPr>
          <w:p w14:paraId="6C6E482F" w14:textId="77777777" w:rsidR="003F3E97" w:rsidRDefault="003F3E97" w:rsidP="00357412">
            <w:pPr>
              <w:rPr>
                <w:lang w:eastAsia="sv-SE"/>
              </w:rPr>
            </w:pPr>
          </w:p>
        </w:tc>
        <w:tc>
          <w:tcPr>
            <w:tcW w:w="6656" w:type="dxa"/>
          </w:tcPr>
          <w:p w14:paraId="5DD42BC8" w14:textId="77777777" w:rsidR="003F3E97" w:rsidRDefault="003F3E97" w:rsidP="00357412">
            <w:pPr>
              <w:rPr>
                <w:lang w:eastAsia="sv-SE"/>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7F7B" w14:textId="77777777" w:rsidR="00834A40" w:rsidRDefault="00834A40" w:rsidP="00051DF8">
      <w:r>
        <w:separator/>
      </w:r>
    </w:p>
  </w:endnote>
  <w:endnote w:type="continuationSeparator" w:id="0">
    <w:p w14:paraId="33CEE473" w14:textId="77777777" w:rsidR="00834A40" w:rsidRDefault="00834A40" w:rsidP="00051DF8">
      <w:r>
        <w:continuationSeparator/>
      </w:r>
    </w:p>
  </w:endnote>
  <w:endnote w:type="continuationNotice" w:id="1">
    <w:p w14:paraId="6F9136A2" w14:textId="77777777" w:rsidR="00834A40" w:rsidRDefault="00834A4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E4F5" w14:textId="77777777" w:rsidR="00834A40" w:rsidRDefault="00834A40" w:rsidP="00051DF8">
      <w:r>
        <w:separator/>
      </w:r>
    </w:p>
  </w:footnote>
  <w:footnote w:type="continuationSeparator" w:id="0">
    <w:p w14:paraId="6C979AF5" w14:textId="77777777" w:rsidR="00834A40" w:rsidRDefault="00834A40" w:rsidP="00051DF8">
      <w:r>
        <w:continuationSeparator/>
      </w:r>
    </w:p>
  </w:footnote>
  <w:footnote w:type="continuationNotice" w:id="1">
    <w:p w14:paraId="6F5C3236" w14:textId="77777777" w:rsidR="00834A40" w:rsidRDefault="00834A4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957434">
    <w:abstractNumId w:val="16"/>
  </w:num>
  <w:num w:numId="2" w16cid:durableId="1075476503">
    <w:abstractNumId w:val="1"/>
  </w:num>
  <w:num w:numId="3" w16cid:durableId="1192647798">
    <w:abstractNumId w:val="8"/>
  </w:num>
  <w:num w:numId="4" w16cid:durableId="942612225">
    <w:abstractNumId w:val="14"/>
  </w:num>
  <w:num w:numId="5" w16cid:durableId="1131098291">
    <w:abstractNumId w:val="0"/>
  </w:num>
  <w:num w:numId="6" w16cid:durableId="2051417910">
    <w:abstractNumId w:val="4"/>
  </w:num>
  <w:num w:numId="7" w16cid:durableId="1814326558">
    <w:abstractNumId w:val="10"/>
  </w:num>
  <w:num w:numId="8" w16cid:durableId="1694189996">
    <w:abstractNumId w:val="18"/>
  </w:num>
  <w:num w:numId="9" w16cid:durableId="148982945">
    <w:abstractNumId w:val="7"/>
  </w:num>
  <w:num w:numId="10" w16cid:durableId="1165979384">
    <w:abstractNumId w:val="6"/>
  </w:num>
  <w:num w:numId="11" w16cid:durableId="2136219811">
    <w:abstractNumId w:val="2"/>
  </w:num>
  <w:num w:numId="12" w16cid:durableId="286132391">
    <w:abstractNumId w:val="3"/>
  </w:num>
  <w:num w:numId="13" w16cid:durableId="728966143">
    <w:abstractNumId w:val="15"/>
  </w:num>
  <w:num w:numId="14" w16cid:durableId="1865554340">
    <w:abstractNumId w:val="11"/>
  </w:num>
  <w:num w:numId="15" w16cid:durableId="1400639894">
    <w:abstractNumId w:val="5"/>
  </w:num>
  <w:num w:numId="16" w16cid:durableId="1945267079">
    <w:abstractNumId w:val="0"/>
  </w:num>
  <w:num w:numId="17" w16cid:durableId="193662639">
    <w:abstractNumId w:val="10"/>
  </w:num>
  <w:num w:numId="18" w16cid:durableId="1128085571">
    <w:abstractNumId w:val="16"/>
  </w:num>
  <w:num w:numId="19" w16cid:durableId="1006597451">
    <w:abstractNumId w:val="13"/>
  </w:num>
  <w:num w:numId="20" w16cid:durableId="229968965">
    <w:abstractNumId w:val="9"/>
  </w:num>
  <w:num w:numId="21" w16cid:durableId="262416046">
    <w:abstractNumId w:val="12"/>
  </w:num>
  <w:num w:numId="22" w16cid:durableId="211308855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4E2"/>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992"/>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메모 텍스트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C186-CC1E-426F-B328-E1E1C32C42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18051</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2025-10-15T08:04:00Z</dcterms:created>
  <dcterms:modified xsi:type="dcterms:W3CDTF">2025-10-15T09:02:00Z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