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Header"/>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Heading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TableGrid"/>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Heading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r w:rsidRPr="009B66AB">
              <w:rPr>
                <w:lang w:val="en-US"/>
              </w:rPr>
              <w:t>Tdoc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C57AEF" w:rsidP="00867244">
            <w:pPr>
              <w:rPr>
                <w:lang w:val="en-US"/>
              </w:rPr>
            </w:pPr>
            <w:hyperlink r:id="rId11" w:tgtFrame="_blank" w:tooltip="View original 3GPP document" w:history="1">
              <w:r w:rsidRPr="009B66AB">
                <w:rPr>
                  <w:rStyle w:val="Hyperlink"/>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vivo, Spreadtrum</w:t>
            </w:r>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C57AEF" w:rsidP="00867244">
            <w:pPr>
              <w:rPr>
                <w:lang w:val="en-US"/>
              </w:rPr>
            </w:pPr>
            <w:hyperlink r:id="rId12" w:tgtFrame="_blank" w:tooltip="View original 3GPP document" w:history="1">
              <w:r w:rsidRPr="009B66AB">
                <w:rPr>
                  <w:rStyle w:val="Hyperlink"/>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C57AEF" w:rsidP="00867244">
            <w:pPr>
              <w:rPr>
                <w:lang w:val="en-US"/>
              </w:rPr>
            </w:pPr>
            <w:hyperlink r:id="rId13" w:tgtFrame="_blank" w:tooltip="View original 3GPP document" w:history="1">
              <w:r w:rsidRPr="009B66AB">
                <w:rPr>
                  <w:rStyle w:val="Hyperlink"/>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C57AEF" w:rsidP="00867244">
            <w:pPr>
              <w:rPr>
                <w:lang w:val="en-US"/>
              </w:rPr>
            </w:pPr>
            <w:hyperlink r:id="rId14" w:tgtFrame="_blank" w:tooltip="View original 3GPP document" w:history="1">
              <w:r w:rsidRPr="009B66AB">
                <w:rPr>
                  <w:rStyle w:val="Hyperlink"/>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C57AEF" w:rsidP="00867244">
            <w:pPr>
              <w:rPr>
                <w:lang w:val="en-US"/>
              </w:rPr>
            </w:pPr>
            <w:hyperlink r:id="rId15" w:tgtFrame="_blank" w:tooltip="View original 3GPP document" w:history="1">
              <w:r w:rsidRPr="009B66AB">
                <w:rPr>
                  <w:rStyle w:val="Hyperlink"/>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C57AEF" w:rsidP="00C57AEF">
                  <w:pPr>
                    <w:spacing w:after="0"/>
                    <w:rPr>
                      <w:lang w:val="en-US"/>
                    </w:rPr>
                  </w:pPr>
                  <w:hyperlink r:id="rId16" w:tgtFrame="_blank" w:tooltip="View original 3GPP document" w:history="1">
                    <w:r w:rsidRPr="009B66AB">
                      <w:rPr>
                        <w:rStyle w:val="Hyperlink"/>
                        <w:rFonts w:eastAsia="宋体"/>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C57AEF" w:rsidP="00867244">
            <w:pPr>
              <w:rPr>
                <w:lang w:val="en-US"/>
              </w:rPr>
            </w:pPr>
            <w:hyperlink r:id="rId17" w:tgtFrame="_blank" w:tooltip="View original 3GPP document" w:history="1">
              <w:r w:rsidRPr="009B66AB">
                <w:rPr>
                  <w:rStyle w:val="Hyperlink"/>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C57AEF" w:rsidP="00867244">
            <w:pPr>
              <w:rPr>
                <w:lang w:val="en-US"/>
              </w:rPr>
            </w:pPr>
            <w:hyperlink r:id="rId18" w:tgtFrame="_blank" w:tooltip="View original 3GPP document" w:history="1">
              <w:r w:rsidRPr="009B66AB">
                <w:rPr>
                  <w:rStyle w:val="Hyperlink"/>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C57AEF" w:rsidP="00867244">
            <w:pPr>
              <w:rPr>
                <w:lang w:val="en-US"/>
              </w:rPr>
            </w:pPr>
            <w:hyperlink r:id="rId19" w:tgtFrame="_blank" w:tooltip="View original 3GPP document" w:history="1">
              <w:r w:rsidRPr="009B66AB">
                <w:rPr>
                  <w:rStyle w:val="Hyperlink"/>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C57AEF" w:rsidP="00867244">
            <w:pPr>
              <w:rPr>
                <w:lang w:val="en-US"/>
              </w:rPr>
            </w:pPr>
            <w:hyperlink r:id="rId20" w:tgtFrame="_blank" w:tooltip="View original 3GPP document" w:history="1">
              <w:r w:rsidRPr="009B66AB">
                <w:rPr>
                  <w:rStyle w:val="Hyperlink"/>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C57AEF" w:rsidP="00867244">
            <w:pPr>
              <w:rPr>
                <w:lang w:val="en-US"/>
              </w:rPr>
            </w:pPr>
            <w:hyperlink r:id="rId21" w:tgtFrame="_blank" w:tooltip="View original 3GPP document" w:history="1">
              <w:r w:rsidRPr="009B66AB">
                <w:rPr>
                  <w:rStyle w:val="Hyperlink"/>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ListParagraph"/>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ListParagraph"/>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ListParagraph"/>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ListParagraph"/>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ListParagraph"/>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ListParagraph"/>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ListParagraph"/>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ListParagraph"/>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ListParagraph"/>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ListParagraph"/>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RoHC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ListParagraph"/>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Heading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GridTable5Dark-Accent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Heading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ListParagraph"/>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ListParagraph"/>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ListParagraph"/>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Heading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GridTable5Dark-Accent1"/>
        <w:tblW w:w="0" w:type="auto"/>
        <w:tblLook w:val="04A0" w:firstRow="1" w:lastRow="0" w:firstColumn="1" w:lastColumn="0" w:noHBand="0" w:noVBand="1"/>
      </w:tblPr>
      <w:tblGrid>
        <w:gridCol w:w="2605"/>
        <w:gridCol w:w="7024"/>
      </w:tblGrid>
      <w:tr w:rsidR="00EF422E" w:rsidRPr="009B66AB" w14:paraId="3D48D4B3" w14:textId="77777777" w:rsidTr="00176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66FC0A8" w14:textId="77777777" w:rsidR="00EF422E" w:rsidRPr="009B66AB" w:rsidRDefault="00EF422E" w:rsidP="00176369">
            <w:pPr>
              <w:rPr>
                <w:lang w:val="en-US"/>
              </w:rPr>
            </w:pPr>
            <w:r w:rsidRPr="009B66AB">
              <w:rPr>
                <w:lang w:val="en-US"/>
              </w:rPr>
              <w:t>Company</w:t>
            </w:r>
          </w:p>
        </w:tc>
        <w:tc>
          <w:tcPr>
            <w:tcW w:w="7024"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17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024"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 xml:space="preserve">Assuming line-of-sight condition for the duration of the call, and no change in large scale parameters (e.g.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vice-versa)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024"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(e.g. 2% BLER) and Line of Sight, 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don’t think we need to say anything about other operating assumptions that has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r w:rsidR="005C2EC7" w:rsidRPr="002E27BA" w14:paraId="4DB71EEB"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EE47188" w14:textId="03B05A58" w:rsidR="005C2EC7" w:rsidRDefault="005C2EC7" w:rsidP="00A67D1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024" w:type="dxa"/>
          </w:tcPr>
          <w:p w14:paraId="0FD9F506" w14:textId="57737742" w:rsidR="005C2EC7" w:rsidRDefault="00FE40F0" w:rsidP="00983883">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Regarding first bullet, i</w:t>
            </w:r>
            <w:r w:rsidR="005C2EC7">
              <w:rPr>
                <w:rFonts w:eastAsiaTheme="minorEastAsia"/>
                <w:lang w:val="en-US" w:eastAsia="zh-CN"/>
              </w:rPr>
              <w:t xml:space="preserve">n previous RAN1 study, the change of </w:t>
            </w:r>
            <w:r w:rsidR="005C2EC7" w:rsidRPr="001568E1">
              <w:rPr>
                <w:lang w:val="en-US"/>
              </w:rPr>
              <w:t>large scale parameters</w:t>
            </w:r>
            <w:r w:rsidR="005C2EC7">
              <w:rPr>
                <w:lang w:val="en-US"/>
              </w:rPr>
              <w:t xml:space="preserve"> is not considered. Hence, we think</w:t>
            </w:r>
            <w:r>
              <w:rPr>
                <w:lang w:val="en-US"/>
              </w:rPr>
              <w:t xml:space="preserve"> wording proposed by Huawei is enough.</w:t>
            </w:r>
          </w:p>
          <w:p w14:paraId="2CE44EFE" w14:textId="5B1A2305" w:rsidR="00FE40F0" w:rsidRPr="005C2EC7" w:rsidRDefault="00FE40F0" w:rsidP="009838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second bullet, the details are not needed. RAN1 has not considered NLOS from Rel-17 and it is not suitable to provide information that RAN1 </w:t>
            </w:r>
            <w:r w:rsidR="00FD52C3">
              <w:rPr>
                <w:rFonts w:eastAsiaTheme="minorEastAsia"/>
                <w:lang w:val="en-US" w:eastAsia="zh-CN"/>
              </w:rPr>
              <w:t>has</w:t>
            </w:r>
            <w:r>
              <w:rPr>
                <w:rFonts w:eastAsiaTheme="minorEastAsia"/>
                <w:lang w:val="en-US" w:eastAsia="zh-CN"/>
              </w:rPr>
              <w:t xml:space="preserve"> not </w:t>
            </w:r>
            <w:r w:rsidR="00FD52C3">
              <w:rPr>
                <w:rFonts w:eastAsiaTheme="minorEastAsia"/>
                <w:lang w:val="en-US" w:eastAsia="zh-CN"/>
              </w:rPr>
              <w:t>studied</w:t>
            </w:r>
            <w:r>
              <w:rPr>
                <w:rFonts w:eastAsiaTheme="minorEastAsia"/>
                <w:lang w:val="en-US" w:eastAsia="zh-CN"/>
              </w:rPr>
              <w:t xml:space="preserve">. Moreover, </w:t>
            </w:r>
            <w:r w:rsidR="00F14B6D">
              <w:rPr>
                <w:rFonts w:eastAsiaTheme="minorEastAsia"/>
                <w:lang w:val="en-US" w:eastAsia="zh-CN"/>
              </w:rPr>
              <w:t xml:space="preserve">according to SA4 LS, the focused scenario is LOS considering </w:t>
            </w:r>
            <w:r w:rsidR="00F14B6D">
              <w:rPr>
                <w:rFonts w:eastAsiaTheme="minorEastAsia"/>
                <w:lang w:val="en-US" w:eastAsia="zh-CN"/>
              </w:rPr>
              <w:lastRenderedPageBreak/>
              <w:t xml:space="preserve">the assumed channel is NTN-TDL-C. </w:t>
            </w:r>
            <w:r w:rsidR="00FA031B">
              <w:rPr>
                <w:rFonts w:eastAsiaTheme="minorEastAsia"/>
                <w:lang w:val="en-US" w:eastAsia="zh-CN"/>
              </w:rPr>
              <w:t>Reply</w:t>
            </w:r>
            <w:r w:rsidR="00F14B6D">
              <w:rPr>
                <w:rFonts w:eastAsiaTheme="minorEastAsia"/>
                <w:lang w:val="en-US" w:eastAsia="zh-CN"/>
              </w:rPr>
              <w:t xml:space="preserve"> for the unfocused case is not needed. Hence, it </w:t>
            </w:r>
            <w:r w:rsidR="00FD52C3">
              <w:rPr>
                <w:rFonts w:eastAsiaTheme="minorEastAsia"/>
                <w:lang w:val="en-US" w:eastAsia="zh-CN"/>
              </w:rPr>
              <w:t>seems enough</w:t>
            </w:r>
            <w:r w:rsidR="00F14B6D">
              <w:rPr>
                <w:rFonts w:eastAsiaTheme="minorEastAsia"/>
                <w:lang w:val="en-US" w:eastAsia="zh-CN"/>
              </w:rPr>
              <w:t xml:space="preserve"> to just reply the first bullet which RAN1 can confirm.</w:t>
            </w:r>
          </w:p>
        </w:tc>
      </w:tr>
      <w:tr w:rsidR="00B707F6" w:rsidRPr="002E27BA" w14:paraId="2BF16BBA"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58646C8F" w14:textId="1D1E95CD" w:rsidR="00B707F6" w:rsidRDefault="00B707F6" w:rsidP="00A67D14">
            <w:pPr>
              <w:rPr>
                <w:rFonts w:eastAsiaTheme="minorEastAsia"/>
                <w:lang w:val="en-US" w:eastAsia="zh-CN"/>
              </w:rPr>
            </w:pPr>
            <w:r>
              <w:rPr>
                <w:rFonts w:eastAsiaTheme="minorEastAsia"/>
                <w:lang w:val="en-US" w:eastAsia="zh-CN"/>
              </w:rPr>
              <w:lastRenderedPageBreak/>
              <w:t>Aalyria</w:t>
            </w:r>
          </w:p>
        </w:tc>
        <w:tc>
          <w:tcPr>
            <w:tcW w:w="7024" w:type="dxa"/>
          </w:tcPr>
          <w:p w14:paraId="5AF4976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Unfortunately we were not able to participate to the initial online discussion, but we think there is a fundamental misunderstanding in what LoS means in practice.  </w:t>
            </w:r>
          </w:p>
          <w:p w14:paraId="74623BA9"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assumption of a LoS scenario for the UE towards the satellite does not remove the existence of fading, including potentially deep fades, or intermittent shadowing or blockages.  </w:t>
            </w:r>
          </w:p>
          <w:p w14:paraId="7797C76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Deep intermittent fades, shadowing or blockage events is very common, not only in the automotive/vehicular case (which includes both automotive UE, but also handheld UE inside a vehicle), but also in handheld scenarios with assumed LoS to the GEO satellite, simply due to normal usage behavior.</w:t>
            </w:r>
          </w:p>
          <w:p w14:paraId="14C9310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This has nothing to do with UE being in non-line-of-sight conditions for a persistent amount of time.</w:t>
            </w:r>
          </w:p>
          <w:p w14:paraId="056BA4F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We also report that intermittent shadowing/blockage/fading events of 1-2 seconds are very common the GEO land mobile satellite scenario and channel model, which is one of the channel models studied by 3GPP in TR 38.811, the Land Mobile Satellite (LMS) channel model, which also explicitly includes shadowing (see figure below from TR 38.811), and which is particularly applicable for flat fading scenarios, such as GEO NB-IoT.</w:t>
            </w:r>
            <w:r>
              <w:rPr>
                <w:lang w:val="en-US"/>
              </w:rPr>
              <w:br/>
              <w:t>So in this respect we also disagree with the statement that 3GPP RAN1 has not considered this intermittent shadowing scenario.</w:t>
            </w:r>
          </w:p>
          <w:p w14:paraId="0DA3E755"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sidRPr="0098264E">
              <w:rPr>
                <w:noProof/>
                <w:lang w:val="en-US"/>
              </w:rPr>
              <w:drawing>
                <wp:inline distT="0" distB="0" distL="0" distR="0" wp14:anchorId="483F5A3C" wp14:editId="41757D59">
                  <wp:extent cx="3401788" cy="2363147"/>
                  <wp:effectExtent l="0" t="0" r="1905" b="0"/>
                  <wp:docPr id="13954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23723" name=""/>
                          <pic:cNvPicPr/>
                        </pic:nvPicPr>
                        <pic:blipFill>
                          <a:blip r:embed="rId22"/>
                          <a:stretch>
                            <a:fillRect/>
                          </a:stretch>
                        </pic:blipFill>
                        <pic:spPr>
                          <a:xfrm>
                            <a:off x="0" y="0"/>
                            <a:ext cx="3425761" cy="2379800"/>
                          </a:xfrm>
                          <a:prstGeom prst="rect">
                            <a:avLst/>
                          </a:prstGeom>
                        </pic:spPr>
                      </pic:pic>
                    </a:graphicData>
                  </a:graphic>
                </wp:inline>
              </w:drawing>
            </w:r>
          </w:p>
          <w:p w14:paraId="1FA58524" w14:textId="6ACEBC04" w:rsidR="00B707F6" w:rsidRP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If companies are not familiar with this scenario, then we encourage them to study how land mobile satellite systems actually work, and the group will need further time to consider it, but we cannot agree with removing the intermittent shadowing, because it is a very high probability.</w:t>
            </w:r>
          </w:p>
        </w:tc>
      </w:tr>
      <w:tr w:rsidR="00CF646B" w:rsidRPr="002E27BA" w14:paraId="1397E067"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0DE6F7B" w14:textId="0459B6F2" w:rsidR="00CF646B" w:rsidRDefault="00CF646B" w:rsidP="00A67D14">
            <w:pPr>
              <w:rPr>
                <w:rFonts w:eastAsiaTheme="minorEastAsia"/>
                <w:lang w:val="en-US" w:eastAsia="zh-CN"/>
              </w:rPr>
            </w:pPr>
            <w:r>
              <w:rPr>
                <w:rFonts w:eastAsiaTheme="minorEastAsia"/>
                <w:lang w:val="en-US" w:eastAsia="zh-CN"/>
              </w:rPr>
              <w:t>Viasat</w:t>
            </w:r>
          </w:p>
        </w:tc>
        <w:tc>
          <w:tcPr>
            <w:tcW w:w="7024" w:type="dxa"/>
          </w:tcPr>
          <w:p w14:paraId="7A312F5B"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Our strong preference is to give SA2 a full and clear answer to their question.  </w:t>
            </w:r>
          </w:p>
          <w:p w14:paraId="4BF2ADDE" w14:textId="681B3FF6"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While there is no consensus on the exact probability of transient outage due to blockage, experimental results clearly show that these are not rare in the GSO case where the view to the satellite may be blocked by buildings, trees, other larger vehicles passing on the south etc.  </w:t>
            </w:r>
          </w:p>
          <w:p w14:paraId="38050892"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include a graph of our test data from an ACTUAL driving test in suburban San Diego, CA</w:t>
            </w:r>
          </w:p>
          <w:p w14:paraId="3426AA99"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noProof/>
                <w:lang w:val="en-US" w:eastAsia="zh-CN"/>
              </w:rPr>
              <w:lastRenderedPageBreak/>
              <w:drawing>
                <wp:inline distT="0" distB="0" distL="0" distR="0" wp14:anchorId="179E2746" wp14:editId="295576E2">
                  <wp:extent cx="3537797" cy="2197100"/>
                  <wp:effectExtent l="0" t="0" r="5715" b="0"/>
                  <wp:docPr id="184232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71466" cy="2218010"/>
                          </a:xfrm>
                          <a:prstGeom prst="rect">
                            <a:avLst/>
                          </a:prstGeom>
                          <a:noFill/>
                        </pic:spPr>
                      </pic:pic>
                    </a:graphicData>
                  </a:graphic>
                </wp:inline>
              </w:drawing>
            </w:r>
          </w:p>
          <w:p w14:paraId="3067A7AA" w14:textId="4A6B7617" w:rsidR="00CF646B" w:rsidRDefault="009617CB" w:rsidP="009617CB">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For the 2</w:t>
            </w:r>
            <w:r w:rsidRPr="0052187C">
              <w:rPr>
                <w:rFonts w:eastAsiaTheme="minorEastAsia"/>
                <w:vertAlign w:val="superscript"/>
                <w:lang w:val="en-US" w:eastAsia="zh-CN"/>
              </w:rPr>
              <w:t>nd</w:t>
            </w:r>
            <w:r>
              <w:rPr>
                <w:rFonts w:eastAsiaTheme="minorEastAsia"/>
                <w:lang w:val="en-US" w:eastAsia="zh-CN"/>
              </w:rPr>
              <w:t xml:space="preserve"> paragraph instead of the version proposed by the feature lead we would propose the following:</w:t>
            </w:r>
            <w:r>
              <w:rPr>
                <w:rFonts w:eastAsiaTheme="minorEastAsia"/>
                <w:lang w:val="en-US" w:eastAsia="zh-CN"/>
              </w:rPr>
              <w:br/>
            </w:r>
            <w:r>
              <w:rPr>
                <w:rFonts w:eastAsiaTheme="minorEastAsia"/>
                <w:lang w:val="en-US" w:eastAsia="zh-CN"/>
              </w:rPr>
              <w:br/>
            </w:r>
            <w:r w:rsidRPr="00975645">
              <w:rPr>
                <w:i/>
                <w:iCs/>
                <w:lang w:val="en-US"/>
              </w:rPr>
              <w:t>RAN1 has not reached consensus on the probability of having 16/64 packets consecutively lost under the case that a mobile UE transitions between line-of-sight and non-line-of sight conditions (and vice-versa) during a call, since RAN1 has not previously evaluated this scenario, however, this scenario is recognized to be relatively common in the suburban automotive use cases.</w:t>
            </w:r>
          </w:p>
        </w:tc>
      </w:tr>
      <w:tr w:rsidR="008B598E" w:rsidRPr="002E27BA" w14:paraId="110BCC1B"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1AD77E88" w14:textId="732EDE52" w:rsidR="008B598E" w:rsidRDefault="008B598E" w:rsidP="00A67D14">
            <w:pPr>
              <w:rPr>
                <w:rFonts w:eastAsiaTheme="minorEastAsia"/>
                <w:lang w:val="en-US" w:eastAsia="zh-CN"/>
              </w:rPr>
            </w:pPr>
            <w:r>
              <w:rPr>
                <w:rFonts w:eastAsiaTheme="minorEastAsia"/>
                <w:lang w:val="en-US" w:eastAsia="zh-CN"/>
              </w:rPr>
              <w:lastRenderedPageBreak/>
              <w:t>ESA</w:t>
            </w:r>
          </w:p>
        </w:tc>
        <w:tc>
          <w:tcPr>
            <w:tcW w:w="7024" w:type="dxa"/>
          </w:tcPr>
          <w:p w14:paraId="581DF9FA" w14:textId="5CEBD5D6" w:rsidR="008B598E" w:rsidRDefault="008B598E" w:rsidP="009617C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the proposed </w:t>
            </w:r>
            <w:r w:rsidR="008D780C">
              <w:rPr>
                <w:rFonts w:eastAsiaTheme="minorEastAsia"/>
                <w:lang w:val="en-US" w:eastAsia="zh-CN"/>
              </w:rPr>
              <w:t xml:space="preserve">moderator </w:t>
            </w:r>
            <w:r>
              <w:rPr>
                <w:rFonts w:eastAsiaTheme="minorEastAsia"/>
                <w:lang w:val="en-US" w:eastAsia="zh-CN"/>
              </w:rPr>
              <w:t>way forward. I understand that we cannot provide an agreeable probability of outage/blockage duration, however we are very concerned that there is clear direction to stick the head in the sand when ignoring these</w:t>
            </w:r>
            <w:r w:rsidR="008D780C">
              <w:rPr>
                <w:rFonts w:eastAsiaTheme="minorEastAsia"/>
                <w:lang w:val="en-US" w:eastAsia="zh-CN"/>
              </w:rPr>
              <w:t xml:space="preserve"> outage events in mobile channel conditions. </w:t>
            </w:r>
          </w:p>
        </w:tc>
      </w:tr>
      <w:tr w:rsidR="008B598E" w:rsidRPr="002E27BA" w14:paraId="5EA2886A"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FC21157" w14:textId="0C69FA33" w:rsidR="008B598E" w:rsidRDefault="005F4603" w:rsidP="00A67D14">
            <w:pPr>
              <w:rPr>
                <w:rFonts w:eastAsiaTheme="minorEastAsia"/>
                <w:lang w:val="en-US" w:eastAsia="zh-CN"/>
              </w:rPr>
            </w:pPr>
            <w:r>
              <w:rPr>
                <w:rFonts w:eastAsiaTheme="minorEastAsia"/>
                <w:lang w:val="en-US" w:eastAsia="zh-CN"/>
              </w:rPr>
              <w:t>Nokia, NSB</w:t>
            </w:r>
          </w:p>
        </w:tc>
        <w:tc>
          <w:tcPr>
            <w:tcW w:w="7024" w:type="dxa"/>
          </w:tcPr>
          <w:p w14:paraId="63200667" w14:textId="147474E6" w:rsidR="008B598E" w:rsidRDefault="005F4603"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for the first bullet. While for the second bullet, </w:t>
            </w:r>
            <w:r w:rsidR="00634B32">
              <w:rPr>
                <w:rFonts w:eastAsiaTheme="minorEastAsia"/>
                <w:lang w:val="en-US" w:eastAsia="zh-CN"/>
              </w:rPr>
              <w:t>either</w:t>
            </w:r>
            <w:r>
              <w:rPr>
                <w:rFonts w:eastAsiaTheme="minorEastAsia"/>
                <w:lang w:val="en-US" w:eastAsia="zh-CN"/>
              </w:rPr>
              <w:t xml:space="preserve"> Huawei</w:t>
            </w:r>
            <w:r w:rsidR="00634B32">
              <w:rPr>
                <w:rFonts w:eastAsiaTheme="minorEastAsia"/>
                <w:lang w:val="en-US" w:eastAsia="zh-CN"/>
              </w:rPr>
              <w:t>’s version or</w:t>
            </w:r>
            <w:r>
              <w:rPr>
                <w:rFonts w:eastAsiaTheme="minorEastAsia"/>
                <w:lang w:val="en-US" w:eastAsia="zh-CN"/>
              </w:rPr>
              <w:t xml:space="preserve"> Vivo’s version is fine to us.</w:t>
            </w: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Heading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Heading1"/>
        <w:jc w:val="both"/>
        <w:rPr>
          <w:lang w:val="en-US"/>
        </w:rPr>
      </w:pPr>
      <w:r w:rsidRPr="009B66AB">
        <w:rPr>
          <w:lang w:val="en-US"/>
        </w:rPr>
        <w:t xml:space="preserve">Appendix: </w:t>
      </w:r>
      <w:r w:rsidR="00ED376B" w:rsidRPr="009B66AB">
        <w:rPr>
          <w:lang w:val="en-US"/>
        </w:rPr>
        <w:t>Summary of proposals</w:t>
      </w:r>
    </w:p>
    <w:tbl>
      <w:tblPr>
        <w:tblStyle w:val="TableGrid"/>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EC154A" w:rsidP="00867244">
            <w:pPr>
              <w:rPr>
                <w:lang w:val="en-US"/>
              </w:rPr>
            </w:pPr>
            <w:hyperlink r:id="rId24" w:tgtFrame="_blank" w:tooltip="View original 3GPP document" w:history="1">
              <w:r w:rsidRPr="009B66AB">
                <w:rPr>
                  <w:rStyle w:val="Hyperlink"/>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vivo, Spreadtrum</w:t>
            </w:r>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EC154A" w:rsidP="00867244">
            <w:pPr>
              <w:rPr>
                <w:lang w:val="en-US"/>
              </w:rPr>
            </w:pPr>
            <w:hyperlink r:id="rId25" w:tgtFrame="_blank" w:tooltip="View original 3GPP document" w:history="1">
              <w:r w:rsidRPr="009B66AB">
                <w:rPr>
                  <w:rStyle w:val="Hyperlink"/>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EC154A" w:rsidP="00867244">
            <w:pPr>
              <w:rPr>
                <w:lang w:val="en-US"/>
              </w:rPr>
            </w:pPr>
            <w:hyperlink r:id="rId26" w:tgtFrame="_blank" w:tooltip="View original 3GPP document" w:history="1">
              <w:r w:rsidRPr="009B66AB">
                <w:rPr>
                  <w:rStyle w:val="Hyperlink"/>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EC154A" w:rsidP="00867244">
            <w:pPr>
              <w:rPr>
                <w:lang w:val="en-US"/>
              </w:rPr>
            </w:pPr>
            <w:hyperlink r:id="rId27" w:tgtFrame="_blank" w:tooltip="View original 3GPP document" w:history="1">
              <w:r w:rsidRPr="009B66AB">
                <w:rPr>
                  <w:rStyle w:val="Hyperlink"/>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EC154A" w:rsidP="00867244">
            <w:pPr>
              <w:rPr>
                <w:lang w:val="en-US"/>
              </w:rPr>
            </w:pPr>
            <w:hyperlink r:id="rId28" w:tgtFrame="_blank" w:tooltip="View original 3GPP document" w:history="1">
              <w:r w:rsidRPr="009B66AB">
                <w:rPr>
                  <w:rStyle w:val="Hyperlink"/>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Proposal 2: The probability that 16 and 64 consecutive packets are lost is very low, and the impact of consecutively lost packets on using RoHC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EC154A" w:rsidP="00867244">
                  <w:pPr>
                    <w:spacing w:after="0"/>
                    <w:rPr>
                      <w:lang w:val="en-US"/>
                    </w:rPr>
                  </w:pPr>
                  <w:hyperlink r:id="rId29" w:tgtFrame="_blank" w:tooltip="View original 3GPP document" w:history="1">
                    <w:r w:rsidRPr="009B66AB">
                      <w:rPr>
                        <w:rStyle w:val="Hyperlink"/>
                        <w:rFonts w:eastAsia="宋体"/>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EC154A" w:rsidP="00867244">
            <w:pPr>
              <w:rPr>
                <w:lang w:val="en-US"/>
              </w:rPr>
            </w:pPr>
            <w:hyperlink r:id="rId30" w:tgtFrame="_blank" w:tooltip="View original 3GPP document" w:history="1">
              <w:r w:rsidRPr="009B66AB">
                <w:rPr>
                  <w:rStyle w:val="Hyperlink"/>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EC154A" w:rsidP="00867244">
            <w:pPr>
              <w:rPr>
                <w:lang w:val="en-US"/>
              </w:rPr>
            </w:pPr>
            <w:hyperlink r:id="rId31" w:tgtFrame="_blank" w:tooltip="View original 3GPP document" w:history="1">
              <w:r w:rsidRPr="009B66AB">
                <w:rPr>
                  <w:rStyle w:val="Hyperlink"/>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EC154A" w:rsidP="00867244">
            <w:pPr>
              <w:rPr>
                <w:lang w:val="en-US"/>
              </w:rPr>
            </w:pPr>
            <w:hyperlink r:id="rId32" w:tgtFrame="_blank" w:tooltip="View original 3GPP document" w:history="1">
              <w:r w:rsidRPr="009B66AB">
                <w:rPr>
                  <w:rStyle w:val="Hyperlink"/>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P_N=(P_bler)^N,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EC154A" w:rsidP="00867244">
            <w:pPr>
              <w:rPr>
                <w:lang w:val="en-US"/>
              </w:rPr>
            </w:pPr>
            <w:hyperlink r:id="rId33" w:tgtFrame="_blank" w:tooltip="View original 3GPP document" w:history="1">
              <w:r w:rsidRPr="009B66AB">
                <w:rPr>
                  <w:rStyle w:val="Hyperlink"/>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TableofFigures"/>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lastRenderedPageBreak/>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EC154A" w:rsidP="00867244">
            <w:pPr>
              <w:rPr>
                <w:lang w:val="en-US"/>
              </w:rPr>
            </w:pPr>
            <w:hyperlink r:id="rId34" w:tgtFrame="_blank" w:tooltip="View original 3GPP document" w:history="1">
              <w:r w:rsidRPr="009B66AB">
                <w:rPr>
                  <w:rStyle w:val="Hyperlink"/>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Assuming a mobile user for which the line of sight condition changes during the call (from line-of-sight LOS to non-line-of-sight NLOS and vice-versa), there is a non-negligible probability of a large number of packets being consecutively lost. Assuming a rural scenario with 50 degree elevation angle:</w:t>
            </w:r>
          </w:p>
          <w:p w14:paraId="7529E779" w14:textId="77777777" w:rsidR="00EC154A" w:rsidRPr="009B66AB" w:rsidRDefault="00EC154A" w:rsidP="00EC154A">
            <w:pPr>
              <w:pStyle w:val="ListParagraph"/>
              <w:numPr>
                <w:ilvl w:val="0"/>
                <w:numId w:val="12"/>
              </w:numPr>
              <w:rPr>
                <w:lang w:val="en-US"/>
              </w:rPr>
            </w:pPr>
            <w:r w:rsidRPr="009B66AB">
              <w:rPr>
                <w:lang w:val="en-US"/>
              </w:rPr>
              <w:t>For a slow moving receiver (1m/s):</w:t>
            </w:r>
          </w:p>
          <w:p w14:paraId="63A202E4" w14:textId="77777777" w:rsidR="00EC154A" w:rsidRPr="009B66AB" w:rsidRDefault="00EC154A" w:rsidP="00EC154A">
            <w:pPr>
              <w:pStyle w:val="ListParagraph"/>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ListParagraph"/>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ListParagraph"/>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ListParagraph"/>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ListParagraph"/>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ListParagraph"/>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ListParagraph"/>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ListParagraph"/>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ListParagraph"/>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ListParagraph"/>
              <w:numPr>
                <w:ilvl w:val="0"/>
                <w:numId w:val="12"/>
              </w:numPr>
              <w:rPr>
                <w:lang w:val="en-US"/>
              </w:rPr>
            </w:pPr>
            <w:r w:rsidRPr="009B66AB">
              <w:rPr>
                <w:lang w:val="en-US"/>
              </w:rPr>
              <w:t>For a high speed receiver (30m/s):</w:t>
            </w:r>
          </w:p>
          <w:p w14:paraId="792D92C2" w14:textId="77777777" w:rsidR="00EC154A" w:rsidRPr="009B66AB" w:rsidRDefault="00EC154A" w:rsidP="00EC154A">
            <w:pPr>
              <w:pStyle w:val="ListParagraph"/>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ListParagraph"/>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ListParagraph"/>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ListParagraph"/>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ListParagraph"/>
              <w:numPr>
                <w:ilvl w:val="0"/>
                <w:numId w:val="14"/>
              </w:numPr>
              <w:rPr>
                <w:lang w:val="en-US"/>
              </w:rPr>
            </w:pPr>
            <w:r w:rsidRPr="009B66AB">
              <w:rPr>
                <w:lang w:val="en-US"/>
              </w:rPr>
              <w:t xml:space="preserve">For GNSS reacquisition, the UE will drop all packets every </w:t>
            </w:r>
            <w:r w:rsidRPr="009B66AB">
              <w:rPr>
                <w:i/>
                <w:iCs/>
                <w:lang w:val="en-US"/>
              </w:rPr>
              <w:t>GNSS-ValidityDuration</w:t>
            </w:r>
            <w:r w:rsidRPr="009B66AB">
              <w:rPr>
                <w:lang w:val="en-US"/>
              </w:rPr>
              <w:t xml:space="preserve"> for a duration of </w:t>
            </w:r>
            <w:r w:rsidRPr="009B66AB">
              <w:rPr>
                <w:i/>
                <w:iCs/>
                <w:lang w:val="en-US"/>
              </w:rPr>
              <w:t>GNSS-PositionFixDuration</w:t>
            </w:r>
          </w:p>
          <w:p w14:paraId="145904D0" w14:textId="77777777" w:rsidR="00EC154A" w:rsidRPr="009B66AB" w:rsidRDefault="00EC154A" w:rsidP="00EC154A">
            <w:pPr>
              <w:pStyle w:val="ListParagraph"/>
              <w:numPr>
                <w:ilvl w:val="1"/>
                <w:numId w:val="14"/>
              </w:numPr>
              <w:rPr>
                <w:lang w:val="en-US"/>
              </w:rPr>
            </w:pPr>
            <w:r w:rsidRPr="009B66AB">
              <w:rPr>
                <w:i/>
                <w:iCs/>
                <w:lang w:val="en-US"/>
              </w:rPr>
              <w:t>GNSS-ValidityDuration</w:t>
            </w:r>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ListParagraph"/>
              <w:numPr>
                <w:ilvl w:val="0"/>
                <w:numId w:val="14"/>
              </w:numPr>
              <w:rPr>
                <w:lang w:val="en-US"/>
              </w:rPr>
            </w:pPr>
            <w:r w:rsidRPr="009B66AB">
              <w:rPr>
                <w:lang w:val="en-US"/>
              </w:rPr>
              <w:t xml:space="preserve">For SIB31 reading, the UE will drop all packets every </w:t>
            </w:r>
            <w:r w:rsidRPr="009B66AB">
              <w:rPr>
                <w:i/>
                <w:iCs/>
                <w:lang w:val="en-US"/>
              </w:rPr>
              <w:t xml:space="preserve">ul-SyncValidityDuration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ListParagraph"/>
              <w:numPr>
                <w:ilvl w:val="1"/>
                <w:numId w:val="14"/>
              </w:numPr>
              <w:rPr>
                <w:lang w:val="en-US"/>
              </w:rPr>
            </w:pPr>
            <w:r w:rsidRPr="009B66AB">
              <w:rPr>
                <w:i/>
                <w:iCs/>
                <w:lang w:val="en-US"/>
              </w:rPr>
              <w:t>ul-SyncValidityDuration</w:t>
            </w:r>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7D3" w14:textId="77777777" w:rsidR="006334AA" w:rsidRDefault="006334AA">
      <w:pPr>
        <w:spacing w:after="0"/>
      </w:pPr>
      <w:r>
        <w:separator/>
      </w:r>
    </w:p>
  </w:endnote>
  <w:endnote w:type="continuationSeparator" w:id="0">
    <w:p w14:paraId="4E5FCFB6" w14:textId="77777777" w:rsidR="006334AA" w:rsidRDefault="006334AA">
      <w:pPr>
        <w:spacing w:after="0"/>
      </w:pPr>
      <w:r>
        <w:continuationSeparator/>
      </w:r>
    </w:p>
  </w:endnote>
  <w:endnote w:type="continuationNotice" w:id="1">
    <w:p w14:paraId="23D5ADE5" w14:textId="77777777" w:rsidR="006334AA" w:rsidRDefault="006334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625C" w14:textId="77777777" w:rsidR="006334AA" w:rsidRDefault="006334AA">
      <w:pPr>
        <w:spacing w:after="0"/>
      </w:pPr>
      <w:r>
        <w:separator/>
      </w:r>
    </w:p>
  </w:footnote>
  <w:footnote w:type="continuationSeparator" w:id="0">
    <w:p w14:paraId="2C4E1ABD" w14:textId="77777777" w:rsidR="006334AA" w:rsidRDefault="006334AA">
      <w:pPr>
        <w:spacing w:after="0"/>
      </w:pPr>
      <w:r>
        <w:continuationSeparator/>
      </w:r>
    </w:p>
  </w:footnote>
  <w:footnote w:type="continuationNotice" w:id="1">
    <w:p w14:paraId="6E5523D7" w14:textId="77777777" w:rsidR="006334AA" w:rsidRDefault="006334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1215120691">
    <w:abstractNumId w:val="0"/>
  </w:num>
  <w:num w:numId="2" w16cid:durableId="1525751948">
    <w:abstractNumId w:val="20"/>
  </w:num>
  <w:num w:numId="3" w16cid:durableId="819075163">
    <w:abstractNumId w:val="19"/>
  </w:num>
  <w:num w:numId="4" w16cid:durableId="1686787752">
    <w:abstractNumId w:val="18"/>
  </w:num>
  <w:num w:numId="5" w16cid:durableId="496960288">
    <w:abstractNumId w:val="4"/>
  </w:num>
  <w:num w:numId="6" w16cid:durableId="1715696971">
    <w:abstractNumId w:val="2"/>
  </w:num>
  <w:num w:numId="7" w16cid:durableId="1965426239">
    <w:abstractNumId w:val="12"/>
  </w:num>
  <w:num w:numId="8" w16cid:durableId="68306252">
    <w:abstractNumId w:val="11"/>
  </w:num>
  <w:num w:numId="9" w16cid:durableId="895316226">
    <w:abstractNumId w:val="9"/>
  </w:num>
  <w:num w:numId="10" w16cid:durableId="965044256">
    <w:abstractNumId w:val="1"/>
  </w:num>
  <w:num w:numId="11" w16cid:durableId="1724596303">
    <w:abstractNumId w:val="3"/>
  </w:num>
  <w:num w:numId="12" w16cid:durableId="243338330">
    <w:abstractNumId w:val="16"/>
  </w:num>
  <w:num w:numId="13" w16cid:durableId="890069174">
    <w:abstractNumId w:val="7"/>
  </w:num>
  <w:num w:numId="14" w16cid:durableId="836262864">
    <w:abstractNumId w:val="17"/>
  </w:num>
  <w:num w:numId="15" w16cid:durableId="1666785648">
    <w:abstractNumId w:val="10"/>
  </w:num>
  <w:num w:numId="16" w16cid:durableId="1203132447">
    <w:abstractNumId w:val="6"/>
  </w:num>
  <w:num w:numId="17" w16cid:durableId="1313556296">
    <w:abstractNumId w:val="14"/>
  </w:num>
  <w:num w:numId="18" w16cid:durableId="353649555">
    <w:abstractNumId w:val="5"/>
  </w:num>
  <w:num w:numId="19" w16cid:durableId="412974371">
    <w:abstractNumId w:val="13"/>
  </w:num>
  <w:num w:numId="20" w16cid:durableId="1259363970">
    <w:abstractNumId w:val="8"/>
  </w:num>
  <w:num w:numId="21" w16cid:durableId="163740471">
    <w:abstractNumId w:val="15"/>
  </w:num>
  <w:num w:numId="22" w16cid:durableId="199455490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C45"/>
    <w:rsid w:val="00325FD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9DC"/>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5DE"/>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EC7"/>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4091"/>
    <w:rsid w:val="005F4603"/>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4AA"/>
    <w:rsid w:val="00633512"/>
    <w:rsid w:val="00633779"/>
    <w:rsid w:val="0063378B"/>
    <w:rsid w:val="00633EE1"/>
    <w:rsid w:val="00634768"/>
    <w:rsid w:val="00634945"/>
    <w:rsid w:val="00634A07"/>
    <w:rsid w:val="00634B32"/>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695"/>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6AB"/>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5CC4"/>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98E"/>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D780C"/>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47DCD"/>
    <w:rsid w:val="00950820"/>
    <w:rsid w:val="00951EDB"/>
    <w:rsid w:val="0095204A"/>
    <w:rsid w:val="0095275D"/>
    <w:rsid w:val="00952795"/>
    <w:rsid w:val="00952B40"/>
    <w:rsid w:val="00953207"/>
    <w:rsid w:val="00954207"/>
    <w:rsid w:val="00954D06"/>
    <w:rsid w:val="009550F7"/>
    <w:rsid w:val="00955695"/>
    <w:rsid w:val="00955A71"/>
    <w:rsid w:val="00956244"/>
    <w:rsid w:val="00956678"/>
    <w:rsid w:val="00956C23"/>
    <w:rsid w:val="00957BB8"/>
    <w:rsid w:val="0096007B"/>
    <w:rsid w:val="00960B94"/>
    <w:rsid w:val="00961151"/>
    <w:rsid w:val="009617CB"/>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1587"/>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A83"/>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7F6"/>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959"/>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46B"/>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3D1C"/>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4B6D"/>
    <w:rsid w:val="00F154C0"/>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1B"/>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EDD"/>
    <w:rsid w:val="00FD31E1"/>
    <w:rsid w:val="00FD3952"/>
    <w:rsid w:val="00FD3F1B"/>
    <w:rsid w:val="00FD4843"/>
    <w:rsid w:val="00FD4A86"/>
    <w:rsid w:val="00FD4A90"/>
    <w:rsid w:val="00FD4AD2"/>
    <w:rsid w:val="00FD52C3"/>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0F0"/>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4A"/>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20296"/>
    <w:rPr>
      <w:rFonts w:ascii="Arial" w:eastAsia="宋体"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宋体"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宋体"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宋体"/>
    </w:rPr>
  </w:style>
  <w:style w:type="table" w:styleId="TableGrid">
    <w:name w:val="Table 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宋体"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宋体"/>
    </w:rPr>
  </w:style>
  <w:style w:type="character" w:customStyle="1" w:styleId="CommentTextChar">
    <w:name w:val="Comment Text Char"/>
    <w:basedOn w:val="DefaultParagraphFont"/>
    <w:link w:val="CommentText"/>
    <w:uiPriority w:val="99"/>
    <w:rsid w:val="00835C35"/>
    <w:rPr>
      <w:rFonts w:ascii="Times New Roman" w:eastAsia="宋体"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宋体"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宋体"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styleId="PlainTable1">
    <w:name w:val="Plain Table 1"/>
    <w:basedOn w:val="TableNormal"/>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Strong">
    <w:name w:val="Strong"/>
    <w:basedOn w:val="DefaultParagraphFont"/>
    <w:uiPriority w:val="22"/>
    <w:qFormat/>
    <w:rsid w:val="00C57AEF"/>
    <w:rPr>
      <w:b/>
      <w:bCs/>
    </w:rPr>
  </w:style>
  <w:style w:type="paragraph" w:styleId="TableofFigures">
    <w:name w:val="table of figures"/>
    <w:basedOn w:val="BodyText"/>
    <w:next w:val="Normal"/>
    <w:uiPriority w:val="99"/>
    <w:rsid w:val="00EC154A"/>
    <w:pPr>
      <w:overflowPunct w:val="0"/>
      <w:autoSpaceDE w:val="0"/>
      <w:autoSpaceDN w:val="0"/>
      <w:adjustRightInd w:val="0"/>
      <w:ind w:left="1701" w:hanging="1701"/>
      <w:jc w:val="left"/>
      <w:textAlignment w:val="baseline"/>
    </w:pPr>
    <w:rPr>
      <w:rFonts w:ascii="Arial" w:eastAsia="宋体"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6957.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687.zip" TargetMode="External"/><Relationship Id="rId34" Type="http://schemas.openxmlformats.org/officeDocument/2006/relationships/hyperlink" Target="https://www.3gpp.org/ftp/tsg_ran/WG1_RL1/TSGR1_122b/Docs/R1-2507687.zip" TargetMode="Externa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6906.zip" TargetMode="External"/><Relationship Id="rId33" Type="http://schemas.openxmlformats.org/officeDocument/2006/relationships/hyperlink" Target="https://www.3gpp.org/ftp/tsg_ran/WG1_RL1/TSGR1_122b/Docs/R1-2507263.zip" TargetMode="Externa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2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hyperlink" Target="https://www.3gpp.org/ftp/tsg_ran/WG1_RL1/TSGR1_122b/Docs/R1-2506863.zip" TargetMode="External"/><Relationship Id="rId32" Type="http://schemas.openxmlformats.org/officeDocument/2006/relationships/hyperlink" Target="https://www.3gpp.org/ftp/tsg_ran/WG1_RL1/TSGR1_122b/Docs/R1-2507919.zip" TargetMode="Externa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image" Target="media/image2.png"/><Relationship Id="rId28" Type="http://schemas.openxmlformats.org/officeDocument/2006/relationships/hyperlink" Target="https://www.3gpp.org/ftp/tsg_ran/WG1_RL1/TSGR1_122b/Docs/R1-2507141.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3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image" Target="media/image1.png"/><Relationship Id="rId27" Type="http://schemas.openxmlformats.org/officeDocument/2006/relationships/hyperlink" Target="https://www.3gpp.org/ftp/tsg_ran/WG1_RL1/TSGR1_122b/Docs/R1-2507085.zip" TargetMode="External"/><Relationship Id="rId30" Type="http://schemas.openxmlformats.org/officeDocument/2006/relationships/hyperlink" Target="https://www.3gpp.org/ftp/tsg_ran/WG1_RL1/TSGR1_122b/Docs/R1-2507297.zip"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C5A5A-14B9-4D35-98BD-1D2479E91716}">
  <ds:schemaRefs>
    <ds:schemaRef ds:uri="http://schemas.openxmlformats.org/officeDocument/2006/bibliography"/>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3504</Words>
  <Characters>19975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23433</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Jingyuan Sun (NSB)</cp:lastModifiedBy>
  <cp:revision>3</cp:revision>
  <cp:lastPrinted>2020-02-10T15:14:00Z</cp:lastPrinted>
  <dcterms:created xsi:type="dcterms:W3CDTF">2025-10-13T15:18:00Z</dcterms:created>
  <dcterms:modified xsi:type="dcterms:W3CDTF">2025-10-13T15:19:00Z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