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00AF" w14:textId="2F367989"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2507992</w:t>
      </w:r>
    </w:p>
    <w:p w14:paraId="78F412A9" w14:textId="77777777"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a4"/>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ab"/>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7248C" w:rsidP="00867244">
            <w:pPr>
              <w:rPr>
                <w:lang w:val="en-US"/>
              </w:rPr>
            </w:pPr>
            <w:hyperlink r:id="rId11" w:tgtFrame="_blank" w:tooltip="View original 3GPP document" w:history="1">
              <w:r w:rsidR="00C57AEF" w:rsidRPr="009B66AB">
                <w:rPr>
                  <w:rStyle w:val="af7"/>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7248C" w:rsidP="00867244">
            <w:pPr>
              <w:rPr>
                <w:lang w:val="en-US"/>
              </w:rPr>
            </w:pPr>
            <w:hyperlink r:id="rId12" w:tgtFrame="_blank" w:tooltip="View original 3GPP document" w:history="1">
              <w:r w:rsidR="00C57AEF" w:rsidRPr="009B66AB">
                <w:rPr>
                  <w:rStyle w:val="af7"/>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7248C" w:rsidP="00867244">
            <w:pPr>
              <w:rPr>
                <w:lang w:val="en-US"/>
              </w:rPr>
            </w:pPr>
            <w:hyperlink r:id="rId13" w:tgtFrame="_blank" w:tooltip="View original 3GPP document" w:history="1">
              <w:r w:rsidR="00C57AEF" w:rsidRPr="009B66AB">
                <w:rPr>
                  <w:rStyle w:val="af7"/>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7248C" w:rsidP="00867244">
            <w:pPr>
              <w:rPr>
                <w:lang w:val="en-US"/>
              </w:rPr>
            </w:pPr>
            <w:hyperlink r:id="rId14" w:tgtFrame="_blank" w:tooltip="View original 3GPP document" w:history="1">
              <w:r w:rsidR="00C57AEF" w:rsidRPr="009B66AB">
                <w:rPr>
                  <w:rStyle w:val="af7"/>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7248C" w:rsidP="00867244">
            <w:pPr>
              <w:rPr>
                <w:lang w:val="en-US"/>
              </w:rPr>
            </w:pPr>
            <w:hyperlink r:id="rId15" w:tgtFrame="_blank" w:tooltip="View original 3GPP document" w:history="1">
              <w:r w:rsidR="00C57AEF" w:rsidRPr="009B66AB">
                <w:rPr>
                  <w:rStyle w:val="af7"/>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7248C" w:rsidP="00C57AEF">
                  <w:pPr>
                    <w:spacing w:after="0"/>
                    <w:rPr>
                      <w:lang w:val="en-US"/>
                    </w:rPr>
                  </w:pPr>
                  <w:hyperlink r:id="rId16" w:tgtFrame="_blank" w:tooltip="View original 3GPP document" w:history="1">
                    <w:r w:rsidR="00C57AEF" w:rsidRPr="009B66AB">
                      <w:rPr>
                        <w:rStyle w:val="af7"/>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7248C" w:rsidP="00867244">
            <w:pPr>
              <w:rPr>
                <w:lang w:val="en-US"/>
              </w:rPr>
            </w:pPr>
            <w:hyperlink r:id="rId17" w:tgtFrame="_blank" w:tooltip="View original 3GPP document" w:history="1">
              <w:r w:rsidR="00C57AEF" w:rsidRPr="009B66AB">
                <w:rPr>
                  <w:rStyle w:val="af7"/>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7248C" w:rsidP="00867244">
            <w:pPr>
              <w:rPr>
                <w:lang w:val="en-US"/>
              </w:rPr>
            </w:pPr>
            <w:hyperlink r:id="rId18" w:tgtFrame="_blank" w:tooltip="View original 3GPP document" w:history="1">
              <w:r w:rsidR="00C57AEF" w:rsidRPr="009B66AB">
                <w:rPr>
                  <w:rStyle w:val="af7"/>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7248C" w:rsidP="00867244">
            <w:pPr>
              <w:rPr>
                <w:lang w:val="en-US"/>
              </w:rPr>
            </w:pPr>
            <w:hyperlink r:id="rId19" w:tgtFrame="_blank" w:tooltip="View original 3GPP document" w:history="1">
              <w:r w:rsidR="00C57AEF" w:rsidRPr="009B66AB">
                <w:rPr>
                  <w:rStyle w:val="af7"/>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7248C" w:rsidP="00867244">
            <w:pPr>
              <w:rPr>
                <w:lang w:val="en-US"/>
              </w:rPr>
            </w:pPr>
            <w:hyperlink r:id="rId20" w:tgtFrame="_blank" w:tooltip="View original 3GPP document" w:history="1">
              <w:r w:rsidR="00C57AEF" w:rsidRPr="009B66AB">
                <w:rPr>
                  <w:rStyle w:val="af7"/>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7248C" w:rsidP="00867244">
            <w:pPr>
              <w:rPr>
                <w:lang w:val="en-US"/>
              </w:rPr>
            </w:pPr>
            <w:hyperlink r:id="rId21" w:tgtFrame="_blank" w:tooltip="View original 3GPP document" w:history="1">
              <w:r w:rsidR="00C57AEF" w:rsidRPr="009B66AB">
                <w:rPr>
                  <w:rStyle w:val="af7"/>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a9"/>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a9"/>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a9"/>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a9"/>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a9"/>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a9"/>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a9"/>
        <w:numPr>
          <w:ilvl w:val="0"/>
          <w:numId w:val="20"/>
        </w:numPr>
        <w:rPr>
          <w:lang w:val="en-US"/>
        </w:rPr>
      </w:pPr>
      <w:r w:rsidRPr="009B66AB">
        <w:rPr>
          <w:lang w:val="en-US"/>
        </w:rPr>
        <w:t>Assuming line-of-sight condition for the duration of the call, and no change in large scale parameters (</w:t>
      </w:r>
      <w:proofErr w:type="gramStart"/>
      <w:r w:rsidRPr="009B66AB">
        <w:rPr>
          <w:lang w:val="en-US"/>
        </w:rPr>
        <w:t>e.g.</w:t>
      </w:r>
      <w:proofErr w:type="gramEnd"/>
      <w:r w:rsidRPr="009B66AB">
        <w:rPr>
          <w:lang w:val="en-US"/>
        </w:rPr>
        <w:t xml:space="preserve">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a9"/>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a9"/>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a9"/>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w:t>
      </w:r>
      <w:proofErr w:type="gramStart"/>
      <w:r w:rsidRPr="009B66AB">
        <w:rPr>
          <w:lang w:val="en-US"/>
        </w:rPr>
        <w:t>e.g.</w:t>
      </w:r>
      <w:proofErr w:type="gramEnd"/>
      <w:r w:rsidRPr="009B66AB">
        <w:rPr>
          <w:lang w:val="en-US"/>
        </w:rPr>
        <w:t xml:space="preserve">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a9"/>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a9"/>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bookmarkStart w:id="2" w:name="OLE_LINK1"/>
            <w:r w:rsidR="00A11822">
              <w:rPr>
                <w:lang w:val="en-US"/>
              </w:rPr>
              <w:t xml:space="preserve"> the response to SA2 can </w:t>
            </w:r>
            <w:r w:rsidR="00FF1B03">
              <w:rPr>
                <w:lang w:val="en-US"/>
              </w:rPr>
              <w:t>focus on the first and second bullets</w:t>
            </w:r>
            <w:bookmarkEnd w:id="2"/>
            <w:r w:rsidR="00FF1B03">
              <w:rPr>
                <w:lang w:val="en-US"/>
              </w:rPr>
              <w:t xml:space="preserve">,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3CEE0FAC" w:rsidR="001A6DDF" w:rsidRPr="00F5361D" w:rsidRDefault="00F5361D" w:rsidP="00867244">
            <w:pPr>
              <w:rPr>
                <w:rFonts w:eastAsiaTheme="minorEastAsia"/>
                <w:lang w:val="en-US" w:eastAsia="zh-CN"/>
              </w:rPr>
            </w:pPr>
            <w:r>
              <w:rPr>
                <w:rFonts w:eastAsiaTheme="minorEastAsia" w:hint="eastAsia"/>
                <w:lang w:val="en-US" w:eastAsia="zh-CN"/>
              </w:rPr>
              <w:t>CATT</w:t>
            </w:r>
          </w:p>
        </w:tc>
        <w:tc>
          <w:tcPr>
            <w:tcW w:w="7024" w:type="dxa"/>
          </w:tcPr>
          <w:p w14:paraId="79773973" w14:textId="14688258" w:rsidR="001A6DDF" w:rsidRDefault="00F5361D" w:rsidP="0086724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First, we share same view with Ericsson. </w:t>
            </w:r>
            <w:r>
              <w:rPr>
                <w:rFonts w:eastAsiaTheme="minorEastAsia"/>
                <w:lang w:val="en-US" w:eastAsia="zh-CN"/>
              </w:rPr>
              <w:t>T</w:t>
            </w:r>
            <w:r>
              <w:rPr>
                <w:rFonts w:eastAsiaTheme="minorEastAsia" w:hint="eastAsia"/>
                <w:lang w:val="en-US" w:eastAsia="zh-CN"/>
              </w:rPr>
              <w:t xml:space="preserve">he </w:t>
            </w:r>
            <w:r>
              <w:rPr>
                <w:lang w:val="en-US"/>
              </w:rPr>
              <w:t>response to SA2 can focus on the first and second bullets</w:t>
            </w:r>
            <w:r>
              <w:rPr>
                <w:rFonts w:eastAsiaTheme="minorEastAsia" w:hint="eastAsia"/>
                <w:lang w:val="en-US" w:eastAsia="zh-CN"/>
              </w:rPr>
              <w:t>, which are relevant to SA2 questions.</w:t>
            </w:r>
          </w:p>
          <w:p w14:paraId="52CF0899" w14:textId="17772188" w:rsidR="00F5361D" w:rsidRDefault="00F5361D" w:rsidP="0086724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for GEO case, in general the SINR range is a bit low, so the working scenario of GEO should focus on the LOS condition. </w:t>
            </w:r>
            <w:r>
              <w:rPr>
                <w:rFonts w:eastAsiaTheme="minorEastAsia"/>
                <w:lang w:val="en-US" w:eastAsia="zh-CN"/>
              </w:rPr>
              <w:t>F</w:t>
            </w:r>
            <w:r>
              <w:rPr>
                <w:rFonts w:eastAsiaTheme="minorEastAsia" w:hint="eastAsia"/>
                <w:lang w:val="en-US" w:eastAsia="zh-CN"/>
              </w:rPr>
              <w:t xml:space="preserve">or NLOS condition, the </w:t>
            </w:r>
            <w:r>
              <w:rPr>
                <w:rFonts w:eastAsiaTheme="minorEastAsia"/>
                <w:lang w:val="en-US" w:eastAsia="zh-CN"/>
              </w:rPr>
              <w:t>additional</w:t>
            </w:r>
            <w:r>
              <w:rPr>
                <w:rFonts w:eastAsiaTheme="minorEastAsia" w:hint="eastAsia"/>
                <w:lang w:val="en-US" w:eastAsia="zh-CN"/>
              </w:rPr>
              <w:t xml:space="preserve"> pathloss will be increased with more than 10dB. </w:t>
            </w:r>
            <w:r>
              <w:rPr>
                <w:rFonts w:eastAsiaTheme="minorEastAsia"/>
                <w:lang w:val="en-US" w:eastAsia="zh-CN"/>
              </w:rPr>
              <w:t>Therefore</w:t>
            </w:r>
            <w:r>
              <w:rPr>
                <w:rFonts w:eastAsiaTheme="minorEastAsia" w:hint="eastAsia"/>
                <w:lang w:val="en-US" w:eastAsia="zh-CN"/>
              </w:rPr>
              <w:t xml:space="preserve">, for NLOS condition, the </w:t>
            </w:r>
            <w:r>
              <w:rPr>
                <w:rFonts w:eastAsiaTheme="minorEastAsia"/>
                <w:lang w:val="en-US" w:eastAsia="zh-CN"/>
              </w:rPr>
              <w:t>performance</w:t>
            </w:r>
            <w:r>
              <w:rPr>
                <w:rFonts w:eastAsiaTheme="minorEastAsia" w:hint="eastAsia"/>
                <w:lang w:val="en-US" w:eastAsia="zh-CN"/>
              </w:rPr>
              <w:t xml:space="preserve"> of BLER is not </w:t>
            </w:r>
            <w:r>
              <w:rPr>
                <w:rFonts w:eastAsiaTheme="minorEastAsia"/>
                <w:lang w:val="en-US" w:eastAsia="zh-CN"/>
              </w:rPr>
              <w:t>mandatory</w:t>
            </w:r>
            <w:r>
              <w:rPr>
                <w:rFonts w:eastAsiaTheme="minorEastAsia" w:hint="eastAsia"/>
                <w:lang w:val="en-US" w:eastAsia="zh-CN"/>
              </w:rPr>
              <w:t xml:space="preserve"> target, just </w:t>
            </w:r>
            <w:r w:rsidR="00E74D59">
              <w:rPr>
                <w:rFonts w:eastAsiaTheme="minorEastAsia" w:hint="eastAsia"/>
                <w:lang w:val="en-US" w:eastAsia="zh-CN"/>
              </w:rPr>
              <w:t xml:space="preserve">with </w:t>
            </w:r>
            <w:r>
              <w:rPr>
                <w:rFonts w:eastAsiaTheme="minorEastAsia" w:hint="eastAsia"/>
                <w:lang w:val="en-US" w:eastAsia="zh-CN"/>
              </w:rPr>
              <w:t>the best effort.</w:t>
            </w:r>
          </w:p>
          <w:p w14:paraId="685605A3" w14:textId="660CD053" w:rsidR="00F5361D" w:rsidRPr="00F5361D" w:rsidRDefault="00F5361D" w:rsidP="00190B3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w:t>
            </w:r>
            <w:r>
              <w:rPr>
                <w:rFonts w:eastAsiaTheme="minorEastAsia"/>
                <w:lang w:val="en-US" w:eastAsia="zh-CN"/>
              </w:rPr>
              <w:t>the</w:t>
            </w:r>
            <w:r>
              <w:rPr>
                <w:rFonts w:eastAsiaTheme="minorEastAsia" w:hint="eastAsia"/>
                <w:lang w:val="en-US" w:eastAsia="zh-CN"/>
              </w:rPr>
              <w:t xml:space="preserve"> pr</w:t>
            </w:r>
            <w:r w:rsidR="00190B3A">
              <w:rPr>
                <w:rFonts w:eastAsiaTheme="minorEastAsia" w:hint="eastAsia"/>
                <w:lang w:val="en-US" w:eastAsia="zh-CN"/>
              </w:rPr>
              <w:t xml:space="preserve">erequisite </w:t>
            </w:r>
            <w:r w:rsidR="002E31DA">
              <w:rPr>
                <w:rFonts w:eastAsiaTheme="minorEastAsia" w:hint="eastAsia"/>
                <w:lang w:val="en-US" w:eastAsia="zh-CN"/>
              </w:rPr>
              <w:t xml:space="preserve">channel </w:t>
            </w:r>
            <w:r>
              <w:rPr>
                <w:rFonts w:eastAsiaTheme="minorEastAsia" w:hint="eastAsia"/>
                <w:lang w:val="en-US" w:eastAsia="zh-CN"/>
              </w:rPr>
              <w:t xml:space="preserve">condition for GEO should be discussed firstly. </w:t>
            </w:r>
            <w:r>
              <w:rPr>
                <w:rFonts w:eastAsiaTheme="minorEastAsia"/>
                <w:lang w:val="en-US" w:eastAsia="zh-CN"/>
              </w:rPr>
              <w:t>B</w:t>
            </w:r>
            <w:r>
              <w:rPr>
                <w:rFonts w:eastAsiaTheme="minorEastAsia" w:hint="eastAsia"/>
                <w:lang w:val="en-US" w:eastAsia="zh-CN"/>
              </w:rPr>
              <w:t xml:space="preserve">ased on R17 evaluation, the NLOS </w:t>
            </w:r>
            <w:r>
              <w:rPr>
                <w:rFonts w:eastAsiaTheme="minorEastAsia"/>
                <w:lang w:val="en-US" w:eastAsia="zh-CN"/>
              </w:rPr>
              <w:t>channel</w:t>
            </w:r>
            <w:r>
              <w:rPr>
                <w:rFonts w:eastAsiaTheme="minorEastAsia" w:hint="eastAsia"/>
                <w:lang w:val="en-US" w:eastAsia="zh-CN"/>
              </w:rPr>
              <w:t xml:space="preserve"> is not the targeted channel. </w:t>
            </w:r>
            <w:r w:rsidR="005D1A6B">
              <w:rPr>
                <w:rFonts w:eastAsiaTheme="minorEastAsia"/>
                <w:lang w:val="en-US" w:eastAsia="zh-CN"/>
              </w:rPr>
              <w:t>H</w:t>
            </w:r>
            <w:r w:rsidR="005D1A6B">
              <w:rPr>
                <w:rFonts w:eastAsiaTheme="minorEastAsia" w:hint="eastAsia"/>
                <w:lang w:val="en-US" w:eastAsia="zh-CN"/>
              </w:rPr>
              <w:t>ence, for RAN1</w:t>
            </w:r>
            <w:r w:rsidR="0023773F">
              <w:rPr>
                <w:rFonts w:eastAsiaTheme="minorEastAsia" w:hint="eastAsia"/>
                <w:lang w:val="en-US" w:eastAsia="zh-CN"/>
              </w:rPr>
              <w:t xml:space="preserve"> evaluation</w:t>
            </w:r>
            <w:r w:rsidR="005D1A6B">
              <w:rPr>
                <w:rFonts w:eastAsiaTheme="minorEastAsia" w:hint="eastAsia"/>
                <w:lang w:val="en-US" w:eastAsia="zh-CN"/>
              </w:rPr>
              <w:t xml:space="preserve">, it </w:t>
            </w:r>
            <w:r w:rsidR="005D1A6B">
              <w:rPr>
                <w:rFonts w:eastAsiaTheme="minorEastAsia"/>
                <w:lang w:val="en-US" w:eastAsia="zh-CN"/>
              </w:rPr>
              <w:t>should</w:t>
            </w:r>
            <w:r w:rsidR="005D1A6B">
              <w:rPr>
                <w:rFonts w:eastAsiaTheme="minorEastAsia" w:hint="eastAsia"/>
                <w:lang w:val="en-US" w:eastAsia="zh-CN"/>
              </w:rPr>
              <w:t xml:space="preserve"> focus on the LOS channel.</w:t>
            </w:r>
          </w:p>
        </w:tc>
      </w:tr>
      <w:tr w:rsidR="008838B9" w:rsidRPr="009B66AB" w14:paraId="3E0046D1"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68EAF1B" w14:textId="046CB65B" w:rsidR="008838B9" w:rsidRPr="008838B9" w:rsidRDefault="008838B9" w:rsidP="008838B9">
            <w:pPr>
              <w:rPr>
                <w:rFonts w:eastAsiaTheme="minorEastAsia"/>
                <w:lang w:eastAsia="zh-CN"/>
              </w:rPr>
            </w:pPr>
            <w:r>
              <w:rPr>
                <w:lang w:val="en-US"/>
              </w:rPr>
              <w:t>Nokia, NSB</w:t>
            </w:r>
          </w:p>
        </w:tc>
        <w:tc>
          <w:tcPr>
            <w:tcW w:w="7024" w:type="dxa"/>
          </w:tcPr>
          <w:p w14:paraId="599C6C11" w14:textId="317235F7" w:rsidR="008838B9" w:rsidRDefault="008838B9" w:rsidP="008838B9">
            <w:pPr>
              <w:cnfStyle w:val="000000100000" w:firstRow="0" w:lastRow="0" w:firstColumn="0" w:lastColumn="0" w:oddVBand="0" w:evenVBand="0" w:oddHBand="1" w:evenHBand="0" w:firstRowFirstColumn="0" w:firstRowLastColumn="0" w:lastRowFirstColumn="0" w:lastRowLastColumn="0"/>
              <w:rPr>
                <w:lang w:val="en-US"/>
              </w:rPr>
            </w:pPr>
            <w:r>
              <w:rPr>
                <w:lang w:val="en-US"/>
              </w:rPr>
              <w:t>We think the first two bullets can be discussed in RAN1 and RAN1 need to reply SA2 on these two bullets. For the fourth bullet, maybe there will be impact but need discussion in RAN1.</w:t>
            </w:r>
          </w:p>
          <w:p w14:paraId="60EAAC0E" w14:textId="77777777" w:rsidR="008838B9" w:rsidRDefault="008838B9" w:rsidP="008838B9">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First of all, we think the first bullet is the most important case to be discussed.</w:t>
            </w:r>
          </w:p>
          <w:p w14:paraId="0E1A83E9" w14:textId="77777777" w:rsidR="008838B9" w:rsidRDefault="008838B9" w:rsidP="008838B9">
            <w:pPr>
              <w:cnfStyle w:val="000000100000" w:firstRow="0" w:lastRow="0" w:firstColumn="0" w:lastColumn="0" w:oddVBand="0" w:evenVBand="0" w:oddHBand="1" w:evenHBand="0" w:firstRowFirstColumn="0" w:firstRowLastColumn="0" w:lastRowFirstColumn="0" w:lastRowLastColumn="0"/>
              <w:rPr>
                <w:lang w:val="en-US"/>
              </w:rPr>
            </w:pPr>
            <w:r>
              <w:rPr>
                <w:lang w:val="en-US"/>
              </w:rPr>
              <w:t>While for the second bullet, we think the probability of changing from LOS to NLOS is very small and even not considered in the previous evaluations in RAN1. Additionally, when changing from LOS to NLOS, the impact may be not only packet error but there may be lost of the connection, thus only discuss the packet error rate is not the motivation.</w:t>
            </w:r>
          </w:p>
          <w:p w14:paraId="6AE067F0" w14:textId="05E9258E" w:rsidR="009B0CFB" w:rsidRDefault="009B0CFB" w:rsidP="008838B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eastAsia="zh-CN"/>
              </w:rPr>
              <w:t>For the fourth bullet, we think it will be good to discuss and make it clear on the impact of the interruption on the packet error rate/performance.</w:t>
            </w:r>
          </w:p>
        </w:tc>
      </w:tr>
      <w:tr w:rsidR="00DF0489" w:rsidRPr="009B66AB" w14:paraId="6EB164BF"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0116E2BD" w14:textId="63D32676" w:rsidR="00DF0489" w:rsidRDefault="00DF0489" w:rsidP="00DF0489">
            <w:pPr>
              <w:rPr>
                <w:lang w:val="en-US"/>
              </w:rPr>
            </w:pPr>
            <w:r>
              <w:rPr>
                <w:rFonts w:eastAsiaTheme="minorEastAsia" w:hint="eastAsia"/>
                <w:lang w:val="en-US" w:eastAsia="zh-CN"/>
              </w:rPr>
              <w:lastRenderedPageBreak/>
              <w:t>O</w:t>
            </w:r>
            <w:r>
              <w:rPr>
                <w:rFonts w:eastAsiaTheme="minorEastAsia"/>
                <w:lang w:val="en-US" w:eastAsia="zh-CN"/>
              </w:rPr>
              <w:t>PPO</w:t>
            </w:r>
          </w:p>
        </w:tc>
        <w:tc>
          <w:tcPr>
            <w:tcW w:w="7024" w:type="dxa"/>
          </w:tcPr>
          <w:p w14:paraId="660526E1" w14:textId="36776C83" w:rsidR="00DF0489" w:rsidRDefault="00DF0489" w:rsidP="00DF0489">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to only focus on the LOS scenario in R20 IMS voice over NB-IoT NTN, and NLOS is not our preferable scenario throughout the NTN study, i.e., from R17 NTN to R19 NTN. We note that, during the SI of R17 IoT NTN, the shadow fading and clutter loss in NLOS condition is not considered in the link budget calculation. Therefore, the 2</w:t>
            </w:r>
            <w:r w:rsidRPr="0008123E">
              <w:rPr>
                <w:vertAlign w:val="superscript"/>
                <w:lang w:val="en-US"/>
              </w:rPr>
              <w:t>nd</w:t>
            </w:r>
            <w:r>
              <w:rPr>
                <w:lang w:val="en-US"/>
              </w:rPr>
              <w:t xml:space="preserve"> bullet should be removed.</w:t>
            </w:r>
          </w:p>
        </w:tc>
      </w:tr>
    </w:tbl>
    <w:p w14:paraId="239B74A5" w14:textId="77777777" w:rsidR="00507379" w:rsidRDefault="00507379" w:rsidP="00507379">
      <w:pPr>
        <w:rPr>
          <w:lang w:val="en-US"/>
        </w:rPr>
      </w:pPr>
    </w:p>
    <w:p w14:paraId="2A4DBF5F" w14:textId="3F5EBC48" w:rsidR="009B66AB" w:rsidRPr="009B66AB" w:rsidRDefault="009B66AB" w:rsidP="009B66AB">
      <w:pPr>
        <w:pStyle w:val="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1"/>
        <w:jc w:val="both"/>
        <w:rPr>
          <w:lang w:val="en-US"/>
        </w:rPr>
      </w:pPr>
      <w:r w:rsidRPr="009B66AB">
        <w:rPr>
          <w:lang w:val="en-US"/>
        </w:rPr>
        <w:t xml:space="preserve">Appendix: </w:t>
      </w:r>
      <w:r w:rsidR="00ED376B" w:rsidRPr="009B66AB">
        <w:rPr>
          <w:lang w:val="en-US"/>
        </w:rPr>
        <w:t>Summary of proposals</w:t>
      </w:r>
    </w:p>
    <w:tbl>
      <w:tblPr>
        <w:tblStyle w:val="ab"/>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C7248C" w:rsidP="00867244">
            <w:pPr>
              <w:rPr>
                <w:lang w:val="en-US"/>
              </w:rPr>
            </w:pPr>
            <w:hyperlink r:id="rId22" w:tgtFrame="_blank" w:tooltip="View original 3GPP document" w:history="1">
              <w:r w:rsidR="00EC154A" w:rsidRPr="009B66AB">
                <w:rPr>
                  <w:rStyle w:val="af7"/>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C7248C" w:rsidP="00867244">
            <w:pPr>
              <w:rPr>
                <w:lang w:val="en-US"/>
              </w:rPr>
            </w:pPr>
            <w:hyperlink r:id="rId23" w:tgtFrame="_blank" w:tooltip="View original 3GPP document" w:history="1">
              <w:r w:rsidR="00EC154A" w:rsidRPr="009B66AB">
                <w:rPr>
                  <w:rStyle w:val="af7"/>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C7248C" w:rsidP="00867244">
            <w:pPr>
              <w:rPr>
                <w:lang w:val="en-US"/>
              </w:rPr>
            </w:pPr>
            <w:hyperlink r:id="rId24" w:tgtFrame="_blank" w:tooltip="View original 3GPP document" w:history="1">
              <w:r w:rsidR="00EC154A" w:rsidRPr="009B66AB">
                <w:rPr>
                  <w:rStyle w:val="af7"/>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C7248C" w:rsidP="00867244">
            <w:pPr>
              <w:rPr>
                <w:lang w:val="en-US"/>
              </w:rPr>
            </w:pPr>
            <w:hyperlink r:id="rId25" w:tgtFrame="_blank" w:tooltip="View original 3GPP document" w:history="1">
              <w:r w:rsidR="00EC154A" w:rsidRPr="009B66AB">
                <w:rPr>
                  <w:rStyle w:val="af7"/>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C7248C" w:rsidP="00867244">
            <w:pPr>
              <w:rPr>
                <w:lang w:val="en-US"/>
              </w:rPr>
            </w:pPr>
            <w:hyperlink r:id="rId26" w:tgtFrame="_blank" w:tooltip="View original 3GPP document" w:history="1">
              <w:r w:rsidR="00EC154A" w:rsidRPr="009B66AB">
                <w:rPr>
                  <w:rStyle w:val="af7"/>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C7248C" w:rsidP="00867244">
                  <w:pPr>
                    <w:spacing w:after="0"/>
                    <w:rPr>
                      <w:lang w:val="en-US"/>
                    </w:rPr>
                  </w:pPr>
                  <w:hyperlink r:id="rId27" w:tgtFrame="_blank" w:tooltip="View original 3GPP document" w:history="1">
                    <w:r w:rsidR="00EC154A" w:rsidRPr="009B66AB">
                      <w:rPr>
                        <w:rStyle w:val="af7"/>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C7248C" w:rsidP="00867244">
            <w:pPr>
              <w:rPr>
                <w:lang w:val="en-US"/>
              </w:rPr>
            </w:pPr>
            <w:hyperlink r:id="rId28" w:tgtFrame="_blank" w:tooltip="View original 3GPP document" w:history="1">
              <w:r w:rsidR="00EC154A" w:rsidRPr="009B66AB">
                <w:rPr>
                  <w:rStyle w:val="af7"/>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C7248C" w:rsidP="00867244">
            <w:pPr>
              <w:rPr>
                <w:lang w:val="en-US"/>
              </w:rPr>
            </w:pPr>
            <w:hyperlink r:id="rId29" w:tgtFrame="_blank" w:tooltip="View original 3GPP document" w:history="1">
              <w:r w:rsidR="00EC154A" w:rsidRPr="009B66AB">
                <w:rPr>
                  <w:rStyle w:val="af7"/>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C7248C" w:rsidP="00867244">
            <w:pPr>
              <w:rPr>
                <w:lang w:val="en-US"/>
              </w:rPr>
            </w:pPr>
            <w:hyperlink r:id="rId30" w:tgtFrame="_blank" w:tooltip="View original 3GPP document" w:history="1">
              <w:r w:rsidR="00EC154A" w:rsidRPr="009B66AB">
                <w:rPr>
                  <w:rStyle w:val="af7"/>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C7248C" w:rsidP="00867244">
            <w:pPr>
              <w:rPr>
                <w:lang w:val="en-US"/>
              </w:rPr>
            </w:pPr>
            <w:hyperlink r:id="rId31" w:tgtFrame="_blank" w:tooltip="View original 3GPP document" w:history="1">
              <w:r w:rsidR="00EC154A" w:rsidRPr="009B66AB">
                <w:rPr>
                  <w:rStyle w:val="af7"/>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aff1"/>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C7248C" w:rsidP="00867244">
            <w:pPr>
              <w:rPr>
                <w:lang w:val="en-US"/>
              </w:rPr>
            </w:pPr>
            <w:hyperlink r:id="rId32" w:tgtFrame="_blank" w:tooltip="View original 3GPP document" w:history="1">
              <w:r w:rsidR="00EC154A" w:rsidRPr="009B66AB">
                <w:rPr>
                  <w:rStyle w:val="af7"/>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lastRenderedPageBreak/>
              <w:t xml:space="preserve">Proposal 2: </w:t>
            </w:r>
            <w:r w:rsidRPr="009B66AB">
              <w:rPr>
                <w:lang w:val="en-US"/>
              </w:rPr>
              <w:t xml:space="preserve">Assuming a mobile user for which the </w:t>
            </w:r>
            <w:proofErr w:type="gramStart"/>
            <w:r w:rsidRPr="009B66AB">
              <w:rPr>
                <w:lang w:val="en-US"/>
              </w:rPr>
              <w:t>line of sight</w:t>
            </w:r>
            <w:proofErr w:type="gramEnd"/>
            <w:r w:rsidRPr="009B66AB">
              <w:rPr>
                <w:lang w:val="en-US"/>
              </w:rPr>
              <w:t xml:space="preserve"> condition changes during the call (from line-of-sight LOS to non-line-of-sight NLOS and vice-versa), there is a non-negligible probability of a large number of 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a9"/>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a9"/>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a9"/>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a9"/>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a9"/>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a9"/>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a9"/>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a9"/>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a9"/>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a9"/>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a9"/>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a9"/>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a9"/>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a9"/>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a9"/>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a9"/>
              <w:numPr>
                <w:ilvl w:val="0"/>
                <w:numId w:val="14"/>
              </w:numPr>
              <w:rPr>
                <w:lang w:val="en-US"/>
              </w:rPr>
            </w:pPr>
            <w:r w:rsidRPr="009B66AB">
              <w:rPr>
                <w:lang w:val="en-US"/>
              </w:rPr>
              <w:t xml:space="preserve">For GNSS reacquisition, the UE will drop all packets every </w:t>
            </w:r>
            <w:r w:rsidRPr="009B66AB">
              <w:rPr>
                <w:i/>
                <w:iCs/>
                <w:lang w:val="en-US"/>
              </w:rPr>
              <w:t>GNSS-</w:t>
            </w:r>
            <w:proofErr w:type="spellStart"/>
            <w:r w:rsidRPr="009B66AB">
              <w:rPr>
                <w:i/>
                <w:iCs/>
                <w:lang w:val="en-US"/>
              </w:rPr>
              <w:t>ValidityDuration</w:t>
            </w:r>
            <w:proofErr w:type="spellEnd"/>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a9"/>
              <w:numPr>
                <w:ilvl w:val="1"/>
                <w:numId w:val="14"/>
              </w:numPr>
              <w:rPr>
                <w:lang w:val="en-US"/>
              </w:rPr>
            </w:pPr>
            <w:r w:rsidRPr="009B66AB">
              <w:rPr>
                <w:i/>
                <w:iCs/>
                <w:lang w:val="en-US"/>
              </w:rPr>
              <w:t>GNSS-</w:t>
            </w:r>
            <w:proofErr w:type="spellStart"/>
            <w:r w:rsidRPr="009B66AB">
              <w:rPr>
                <w:i/>
                <w:iCs/>
                <w:lang w:val="en-US"/>
              </w:rPr>
              <w:t>ValidityDuration</w:t>
            </w:r>
            <w:proofErr w:type="spellEnd"/>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a9"/>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a9"/>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55EE" w14:textId="77777777" w:rsidR="00C7248C" w:rsidRDefault="00C7248C">
      <w:pPr>
        <w:spacing w:after="0"/>
      </w:pPr>
      <w:r>
        <w:separator/>
      </w:r>
    </w:p>
  </w:endnote>
  <w:endnote w:type="continuationSeparator" w:id="0">
    <w:p w14:paraId="05D9E650" w14:textId="77777777" w:rsidR="00C7248C" w:rsidRDefault="00C7248C">
      <w:pPr>
        <w:spacing w:after="0"/>
      </w:pPr>
      <w:r>
        <w:continuationSeparator/>
      </w:r>
    </w:p>
  </w:endnote>
  <w:endnote w:type="continuationNotice" w:id="1">
    <w:p w14:paraId="2C87B80B" w14:textId="77777777" w:rsidR="00C7248C" w:rsidRDefault="00C724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B5E0" w14:textId="77777777" w:rsidR="00C7248C" w:rsidRDefault="00C7248C">
      <w:pPr>
        <w:spacing w:after="0"/>
      </w:pPr>
      <w:r>
        <w:separator/>
      </w:r>
    </w:p>
  </w:footnote>
  <w:footnote w:type="continuationSeparator" w:id="0">
    <w:p w14:paraId="733F9165" w14:textId="77777777" w:rsidR="00C7248C" w:rsidRDefault="00C7248C">
      <w:pPr>
        <w:spacing w:after="0"/>
      </w:pPr>
      <w:r>
        <w:continuationSeparator/>
      </w:r>
    </w:p>
  </w:footnote>
  <w:footnote w:type="continuationNotice" w:id="1">
    <w:p w14:paraId="3C74A9D6" w14:textId="77777777" w:rsidR="00C7248C" w:rsidRDefault="00C724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19"/>
  </w:num>
  <w:num w:numId="3">
    <w:abstractNumId w:val="18"/>
  </w:num>
  <w:num w:numId="4">
    <w:abstractNumId w:val="17"/>
  </w:num>
  <w:num w:numId="5">
    <w:abstractNumId w:val="4"/>
  </w:num>
  <w:num w:numId="6">
    <w:abstractNumId w:val="2"/>
  </w:num>
  <w:num w:numId="7">
    <w:abstractNumId w:val="12"/>
  </w:num>
  <w:num w:numId="8">
    <w:abstractNumId w:val="11"/>
  </w:num>
  <w:num w:numId="9">
    <w:abstractNumId w:val="9"/>
  </w:num>
  <w:num w:numId="10">
    <w:abstractNumId w:val="1"/>
  </w:num>
  <w:num w:numId="11">
    <w:abstractNumId w:val="3"/>
  </w:num>
  <w:num w:numId="12">
    <w:abstractNumId w:val="15"/>
  </w:num>
  <w:num w:numId="13">
    <w:abstractNumId w:val="7"/>
  </w:num>
  <w:num w:numId="14">
    <w:abstractNumId w:val="16"/>
  </w:num>
  <w:num w:numId="15">
    <w:abstractNumId w:val="10"/>
  </w:num>
  <w:num w:numId="16">
    <w:abstractNumId w:val="6"/>
  </w:num>
  <w:num w:numId="17">
    <w:abstractNumId w:val="14"/>
  </w:num>
  <w:num w:numId="18">
    <w:abstractNumId w:val="5"/>
  </w:num>
  <w:num w:numId="19">
    <w:abstractNumId w:val="13"/>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B3A"/>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73F"/>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5B"/>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14"/>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C8"/>
    <w:rsid w:val="002E28F7"/>
    <w:rsid w:val="002E2C16"/>
    <w:rsid w:val="002E316A"/>
    <w:rsid w:val="002E31D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05A"/>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0C"/>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75D"/>
    <w:rsid w:val="00462BE6"/>
    <w:rsid w:val="00463697"/>
    <w:rsid w:val="00463A9A"/>
    <w:rsid w:val="00463AAA"/>
    <w:rsid w:val="00463D8F"/>
    <w:rsid w:val="00463F33"/>
    <w:rsid w:val="00463F85"/>
    <w:rsid w:val="00464CA3"/>
    <w:rsid w:val="00465380"/>
    <w:rsid w:val="0046551E"/>
    <w:rsid w:val="00465AAC"/>
    <w:rsid w:val="00465E7B"/>
    <w:rsid w:val="00466332"/>
    <w:rsid w:val="0046659A"/>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1A6B"/>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664"/>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0E6"/>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0B7"/>
    <w:rsid w:val="007C5A81"/>
    <w:rsid w:val="007C5A8C"/>
    <w:rsid w:val="007C5EC4"/>
    <w:rsid w:val="007C5F6F"/>
    <w:rsid w:val="007C6ABB"/>
    <w:rsid w:val="007C6C95"/>
    <w:rsid w:val="007D0028"/>
    <w:rsid w:val="007D0AD4"/>
    <w:rsid w:val="007D1678"/>
    <w:rsid w:val="007D19C4"/>
    <w:rsid w:val="007D1B9E"/>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38B9"/>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00"/>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63A0"/>
    <w:rsid w:val="009A6A26"/>
    <w:rsid w:val="009A6C54"/>
    <w:rsid w:val="009A6EF5"/>
    <w:rsid w:val="009A76C9"/>
    <w:rsid w:val="009B03EB"/>
    <w:rsid w:val="009B0CFB"/>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7B1"/>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48C"/>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489"/>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A79"/>
    <w:rsid w:val="00E72B55"/>
    <w:rsid w:val="00E73345"/>
    <w:rsid w:val="00E73A55"/>
    <w:rsid w:val="00E73B2A"/>
    <w:rsid w:val="00E73DAB"/>
    <w:rsid w:val="00E743F0"/>
    <w:rsid w:val="00E74677"/>
    <w:rsid w:val="00E746B1"/>
    <w:rsid w:val="00E7473D"/>
    <w:rsid w:val="00E74900"/>
    <w:rsid w:val="00E74A18"/>
    <w:rsid w:val="00E74BCC"/>
    <w:rsid w:val="00E74C4E"/>
    <w:rsid w:val="00E74D59"/>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61D"/>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A5"/>
    <w:rsid w:val="00FA1401"/>
    <w:rsid w:val="00FA1EE5"/>
    <w:rsid w:val="00FA23CA"/>
    <w:rsid w:val="00FA2448"/>
    <w:rsid w:val="00FA2804"/>
    <w:rsid w:val="00FA29B3"/>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149"/>
    <w:rsid w:val="00FD247D"/>
    <w:rsid w:val="00FD2EDD"/>
    <w:rsid w:val="00FD31E1"/>
    <w:rsid w:val="00FD3952"/>
    <w:rsid w:val="00FD3F1B"/>
    <w:rsid w:val="00FD4843"/>
    <w:rsid w:val="00FD4A86"/>
    <w:rsid w:val="00FD4A90"/>
    <w:rsid w:val="00FD4AD2"/>
    <w:rsid w:val="00FD5A23"/>
    <w:rsid w:val="00FD5C0A"/>
    <w:rsid w:val="00FD6928"/>
    <w:rsid w:val="00FD6C1E"/>
    <w:rsid w:val="00FD6C73"/>
    <w:rsid w:val="00FD71B6"/>
    <w:rsid w:val="00FD7389"/>
    <w:rsid w:val="00FD73B6"/>
    <w:rsid w:val="00FD73CB"/>
    <w:rsid w:val="00FD74D9"/>
    <w:rsid w:val="00FD7B85"/>
    <w:rsid w:val="00FD7BB6"/>
    <w:rsid w:val="00FE02C4"/>
    <w:rsid w:val="00FE063D"/>
    <w:rsid w:val="00FE1083"/>
    <w:rsid w:val="00FE12BB"/>
    <w:rsid w:val="00FE1B2D"/>
    <w:rsid w:val="00FE1DBE"/>
    <w:rsid w:val="00FE241A"/>
    <w:rsid w:val="00FE2B7D"/>
    <w:rsid w:val="00FE3218"/>
    <w:rsid w:val="00FE38D1"/>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6FC2BD3F-7CC9-4C37-9AEF-D438393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1">
    <w:name w:val="Grid Table 6 Colorful - Accent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customStyle="1" w:styleId="GridTable6Colorful-Accent11">
    <w:name w:val="Grid Table 6 Colorful - Accent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1">
    <w:name w:val="Mention1"/>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customStyle="1" w:styleId="GridTable5Dark-Accent11">
    <w:name w:val="Grid Table 5 Dark - Accent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1">
    <w:name w:val="Unresolved Mention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PlainTable11">
    <w:name w:val="Plain Table 11"/>
    <w:basedOn w:val="a2"/>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31">
    <w:name w:val="Grid Table 3 - Accent 31"/>
    <w:basedOn w:val="a2"/>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f0">
    <w:name w:val="Strong"/>
    <w:basedOn w:val="a1"/>
    <w:uiPriority w:val="22"/>
    <w:qFormat/>
    <w:rsid w:val="00C57AEF"/>
    <w:rPr>
      <w:b/>
      <w:bCs/>
    </w:rPr>
  </w:style>
  <w:style w:type="paragraph" w:styleId="aff1">
    <w:name w:val="table of figures"/>
    <w:basedOn w:val="afb"/>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9712041">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7141.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708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3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957.zip" TargetMode="External"/><Relationship Id="rId32" Type="http://schemas.openxmlformats.org/officeDocument/2006/relationships/hyperlink" Target="https://www.3gpp.org/ftp/tsg_ran/WG1_RL1/TSGR1_122b/Docs/R1-2507687.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hyperlink" Target="https://www.3gpp.org/ftp/tsg_ran/WG1_RL1/TSGR1_122b/Docs/R1-2506906.zip" TargetMode="External"/><Relationship Id="rId28" Type="http://schemas.openxmlformats.org/officeDocument/2006/relationships/hyperlink" Target="https://www.3gpp.org/ftp/tsg_ran/WG1_RL1/TSGR1_122b/Docs/R1-2507297.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6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hyperlink" Target="https://www.3gpp.org/ftp/tsg_ran/WG1_RL1/TSGR1_122b/Docs/R1-2506863.zip" TargetMode="External"/><Relationship Id="rId27" Type="http://schemas.openxmlformats.org/officeDocument/2006/relationships/hyperlink" Target="https://www.3gpp.org/ftp/tsg_ran/WG1_RL1/TSGR1_122b/Docs/R1-2507218.zip" TargetMode="External"/><Relationship Id="rId30" Type="http://schemas.openxmlformats.org/officeDocument/2006/relationships/hyperlink" Target="https://www.3gpp.org/ftp/tsg_ran/WG1_RL1/TSGR1_122b/Docs/R1-2507919.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ACACE196-FF2F-4A7A-A9B6-899AD2044C5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赵楠德(Nande Zhao)</cp:lastModifiedBy>
  <cp:revision>2</cp:revision>
  <cp:lastPrinted>2020-02-10T15:14:00Z</cp:lastPrinted>
  <dcterms:created xsi:type="dcterms:W3CDTF">2025-10-13T07:12:00Z</dcterms:created>
  <dcterms:modified xsi:type="dcterms:W3CDTF">2025-10-13T07:12:00Z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