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ageBreakBefore w:val="0"/>
        <w:widowControl/>
        <w:tabs>
          <w:tab w:val="left" w:pos="1980"/>
        </w:tabs>
        <w:kinsoku/>
        <w:wordWrap/>
        <w:topLinePunct w:val="0"/>
        <w:bidi w:val="0"/>
        <w:spacing w:after="0" w:line="240" w:lineRule="auto"/>
        <w:jc w:val="both"/>
        <w:rPr>
          <w:rFonts w:hint="default"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22bis</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250</w:t>
      </w:r>
      <w:r>
        <w:rPr>
          <w:rFonts w:hint="eastAsia" w:ascii="Times New Roman" w:hAnsi="Times New Roman" w:eastAsia="宋体" w:cs="宋体"/>
          <w:b/>
          <w:bCs/>
          <w:sz w:val="24"/>
          <w:szCs w:val="28"/>
          <w:lang w:val="en-US" w:eastAsia="zh-CN"/>
        </w:rPr>
        <w:t>7629</w:t>
      </w:r>
    </w:p>
    <w:p>
      <w:pPr>
        <w:pStyle w:val="14"/>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Prague, Czech, Oct 13th – 17th, 2025</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11.1</w:t>
      </w:r>
    </w:p>
    <w:p>
      <w:pPr>
        <w:pStyle w:val="13"/>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13"/>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Overview of 6GR Air Interface</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rFonts w:hint="eastAsia"/>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The study on 6G Radio (6GR) with specific objectives was approved at RAN Plenary #108</w:t>
      </w:r>
      <w:r>
        <w:rPr>
          <w:rFonts w:hint="eastAsia"/>
          <w:lang w:val="en-US" w:eastAsia="zh-CN"/>
        </w:rPr>
        <w:t xml:space="preserve"> [1]</w:t>
      </w:r>
      <w:r>
        <w:rPr>
          <w:rFonts w:hint="default"/>
          <w:lang w:val="en-US" w:eastAsia="zh-CN"/>
        </w:rPr>
        <w:t xml:space="preserve">. Building on the discussions from RAN1#122 </w:t>
      </w:r>
      <w:r>
        <w:rPr>
          <w:rFonts w:hint="eastAsia"/>
          <w:lang w:val="en-US" w:eastAsia="zh-CN"/>
        </w:rPr>
        <w:t>[2]</w:t>
      </w:r>
      <w:r>
        <w:rPr>
          <w:rFonts w:hint="default"/>
          <w:lang w:val="en-US" w:eastAsia="zh-CN"/>
        </w:rPr>
        <w:t>, 6GR air interface design must further consolidate core goals while addressing practical deployment needs.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 xml:space="preserve">Against the backdrop of 4G/5G’s complex deployment and high costs, 6GR’s core objectives remain unchanged: operational simplicity, cost efficiency, and smooth evolution. Additionally, aligned with industry consensus, 6GR </w:t>
      </w:r>
      <w:r>
        <w:rPr>
          <w:rFonts w:hint="eastAsia"/>
          <w:lang w:val="en-US" w:eastAsia="zh-CN"/>
        </w:rPr>
        <w:t>should</w:t>
      </w:r>
      <w:r>
        <w:rPr>
          <w:rFonts w:hint="default"/>
          <w:lang w:val="en-US" w:eastAsia="zh-CN"/>
        </w:rPr>
        <w:t xml:space="preserve"> prioritize </w:t>
      </w:r>
      <w:r>
        <w:rPr>
          <w:rFonts w:hint="eastAsia"/>
          <w:lang w:val="en-US" w:eastAsia="zh-CN"/>
        </w:rPr>
        <w:t>the</w:t>
      </w:r>
      <w:r>
        <w:rPr>
          <w:rFonts w:hint="default"/>
          <w:lang w:val="en-US" w:eastAsia="zh-CN"/>
        </w:rPr>
        <w:t xml:space="preserve"> critical extensions: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Support for diverse service scenarios (e.g., immersive eMBB, massive IoT, integrated sensing) via a unified RAT;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This contribution focuses on 6G basic requirements (core design principles and technical foundations) and Integrated Sensing and Communication (ISAC).</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eastAsia="en-US"/>
        </w:rPr>
      </w:pPr>
      <w:r>
        <w:rPr>
          <w:rFonts w:hint="eastAsia" w:eastAsia="PMingLiU"/>
          <w:color w:val="000000"/>
          <w:sz w:val="22"/>
          <w:szCs w:val="22"/>
          <w:highlight w:val="none"/>
          <w:lang w:eastAsia="en-US"/>
        </w:rPr>
        <w:t>The evolution from 4G to 5G introduced significant flexibility at the cost of substantial complexity, evidenced by numerous optional features and fragmented UE capabilities. For 6GR, it is crucial to learn from this lesson. The goal should be a "lean" design that avoids over-engineering while remaining scalable to support diverse device types—from high-end eMBB/XR devices to low-tier IoT sensors—under a single Radio Access Technology (RAT). A unified framework for initial access, common channels, and basic procedures is essential to minimize market fragmentation and implementation overhead.</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Core Design Principles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4"/>
          <w:szCs w:val="24"/>
          <w:lang w:val="en-GB" w:eastAsia="zh-TW"/>
        </w:rPr>
      </w:pPr>
      <w:r>
        <w:rPr>
          <w:rFonts w:hint="eastAsia" w:eastAsia="PMingLiU"/>
          <w:color w:val="000000"/>
          <w:sz w:val="24"/>
          <w:szCs w:val="24"/>
          <w:lang w:val="en-GB" w:eastAsia="zh-TW"/>
        </w:rPr>
        <w:t>2.1.1 Simplify System Design, Avoid Over-Engineering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6GR must avoid the "feature creep" complexity of 5G NR. It should leverage proven 5G NR foundations (e.g., bandwidth frameworks, SCS, LDPC/Polar coding, MIMO) to minimize R&amp;D, device, and deployment costs. Enhancements should only target high-value areas: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Operational benefits: Coverage extension, network/UE energy saving, spectral efficiency improvement;</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New revenue services: ISAC, AI-driven optimization, low-latency industrial applications.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4"/>
          <w:szCs w:val="24"/>
          <w:lang w:val="en-GB" w:eastAsia="zh-TW"/>
        </w:rPr>
      </w:pPr>
      <w:r>
        <w:rPr>
          <w:rFonts w:hint="eastAsia" w:eastAsia="PMingLiU"/>
          <w:color w:val="000000"/>
          <w:sz w:val="24"/>
          <w:szCs w:val="24"/>
          <w:lang w:val="en-GB" w:eastAsia="zh-TW"/>
        </w:rPr>
        <w:t>2.</w:t>
      </w:r>
      <w:r>
        <w:rPr>
          <w:rFonts w:hint="eastAsia" w:eastAsia="宋体"/>
          <w:color w:val="000000"/>
          <w:sz w:val="24"/>
          <w:szCs w:val="24"/>
          <w:lang w:val="en-US" w:eastAsia="zh-CN"/>
        </w:rPr>
        <w:t>1</w:t>
      </w:r>
      <w:r>
        <w:rPr>
          <w:rFonts w:hint="eastAsia" w:eastAsia="PMingLiU"/>
          <w:color w:val="000000"/>
          <w:sz w:val="24"/>
          <w:szCs w:val="24"/>
          <w:lang w:val="en-GB" w:eastAsia="zh-TW"/>
        </w:rPr>
        <w:t>.</w:t>
      </w:r>
      <w:r>
        <w:rPr>
          <w:rFonts w:hint="eastAsia" w:eastAsia="宋体"/>
          <w:color w:val="000000"/>
          <w:sz w:val="24"/>
          <w:szCs w:val="24"/>
          <w:lang w:val="en-US" w:eastAsia="zh-CN"/>
        </w:rPr>
        <w:t xml:space="preserve">2 </w:t>
      </w:r>
      <w:r>
        <w:rPr>
          <w:rFonts w:hint="eastAsia" w:eastAsia="PMingLiU"/>
          <w:color w:val="000000"/>
          <w:sz w:val="24"/>
          <w:szCs w:val="24"/>
          <w:lang w:val="en-GB" w:eastAsia="zh-TW"/>
        </w:rPr>
        <w:t>Spectrum Utilization: Efficiency and Compatibility</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Spectrum is operators</w:t>
      </w:r>
      <w:r>
        <w:rPr>
          <w:rFonts w:hint="default" w:eastAsia="宋体"/>
          <w:color w:val="000000"/>
          <w:sz w:val="22"/>
          <w:szCs w:val="22"/>
          <w:lang w:val="en-US" w:eastAsia="zh-CN"/>
        </w:rPr>
        <w:t>’</w:t>
      </w:r>
      <w:r>
        <w:rPr>
          <w:rFonts w:hint="eastAsia" w:eastAsia="宋体"/>
          <w:color w:val="000000"/>
          <w:sz w:val="22"/>
          <w:szCs w:val="22"/>
          <w:lang w:val="en-US" w:eastAsia="zh-CN"/>
        </w:rPr>
        <w:t xml:space="preserve"> </w:t>
      </w:r>
      <w:r>
        <w:rPr>
          <w:rFonts w:hint="eastAsia" w:eastAsia="PMingLiU"/>
          <w:color w:val="000000"/>
          <w:sz w:val="22"/>
          <w:szCs w:val="22"/>
          <w:lang w:val="en-GB" w:eastAsia="zh-TW"/>
        </w:rPr>
        <w:t>core resource; 6GR must maximize spectrum value via multi-band synergy and smooth coexistence with 5G:</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Multi-band support: Natively support new mid-band (U6G), refarmed legacy bands (n1/1800MHz, n3/2100MHz, n8/900MHz), and mmWave (for vertical use cases) from Day 1;</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5G-6G coexistence: Support dynamic MRSS with 5G, ensuring aligned numerology SCS and TDD grid to minimize interference;</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Spectrum sharing: Enable operator network sharing natively, avoiding additional hardware costs.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Proposal 1: 6GR shall adopt simplification and scalability as core design principles</w:t>
      </w:r>
      <w:r>
        <w:rPr>
          <w:rFonts w:hint="eastAsia" w:eastAsia="宋体" w:cs="Times New Roman"/>
          <w:b/>
          <w:bCs/>
          <w:i/>
          <w:iCs/>
          <w:sz w:val="22"/>
          <w:szCs w:val="22"/>
          <w:lang w:val="en-US" w:eastAsia="zh-CN"/>
        </w:rPr>
        <w:t xml:space="preserve">, </w:t>
      </w:r>
      <w:r>
        <w:rPr>
          <w:rFonts w:hint="eastAsia" w:eastAsia="Batang" w:cs="Times New Roman"/>
          <w:b/>
          <w:bCs/>
          <w:i/>
          <w:iCs/>
          <w:sz w:val="22"/>
          <w:szCs w:val="22"/>
          <w:lang w:eastAsia="zh-CN"/>
        </w:rPr>
        <w:t>pursuing</w:t>
      </w:r>
      <w:r>
        <w:rPr>
          <w:rFonts w:hint="eastAsia" w:ascii="Times New Roman" w:hAnsi="Times New Roman" w:eastAsia="Batang" w:cs="Times New Roman"/>
          <w:b/>
          <w:bCs/>
          <w:i/>
          <w:iCs/>
          <w:sz w:val="22"/>
          <w:szCs w:val="22"/>
          <w:lang w:eastAsia="zh-CN"/>
        </w:rPr>
        <w:t xml:space="preserve"> a streamlined and efficient spectrum utilization framework</w:t>
      </w:r>
      <w:r>
        <w:rPr>
          <w:rFonts w:hint="default" w:ascii="Times New Roman" w:hAnsi="Times New Roman" w:eastAsia="Batang" w:cs="Times New Roman"/>
          <w:b/>
          <w:bCs/>
          <w:i/>
          <w:iCs/>
          <w:sz w:val="22"/>
          <w:szCs w:val="22"/>
          <w:lang w:eastAsia="zh-CN"/>
        </w:rPr>
        <w: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Key Technical Enhancements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4"/>
          <w:szCs w:val="24"/>
          <w:lang w:val="en-GB" w:eastAsia="zh-CN"/>
        </w:rPr>
      </w:pPr>
      <w:r>
        <w:rPr>
          <w:rFonts w:hint="eastAsia" w:eastAsia="PMingLiU"/>
          <w:color w:val="000000"/>
          <w:sz w:val="24"/>
          <w:szCs w:val="24"/>
          <w:lang w:val="en-US" w:eastAsia="zh-CN"/>
        </w:rPr>
        <w:t>2.2.1</w:t>
      </w:r>
      <w:r>
        <w:rPr>
          <w:rFonts w:hint="eastAsia" w:eastAsia="PMingLiU"/>
          <w:color w:val="000000"/>
          <w:sz w:val="24"/>
          <w:szCs w:val="24"/>
          <w:lang w:val="en-GB" w:eastAsia="zh-CN"/>
        </w:rPr>
        <w:t xml:space="preserve"> MIMO: Extreme Large-Scale Array (ELAA)</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Large-scale MIMO (mMIMO) is critical for 6G capacity/coverage. 6GR must scale antenna arrays to 1024–2048 antenna elements (ELAA) to unlock new capabilities (e.g., near-field beamforming, interference suppression)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ascii="Times New Roman" w:hAnsi="Times New Roman"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Support extreme large-scale antenna arrays (ELAA) for massive MIMO, scaling up to 1024 and 2048 antenna elements in 6GR.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4"/>
          <w:szCs w:val="24"/>
          <w:lang w:val="en-GB" w:eastAsia="zh-CN"/>
        </w:rPr>
      </w:pPr>
      <w:r>
        <w:rPr>
          <w:rFonts w:hint="eastAsia" w:eastAsia="PMingLiU"/>
          <w:color w:val="000000"/>
          <w:sz w:val="24"/>
          <w:szCs w:val="24"/>
          <w:lang w:val="en-US" w:eastAsia="zh-CN"/>
        </w:rPr>
        <w:t>2.2.2</w:t>
      </w:r>
      <w:r>
        <w:rPr>
          <w:rFonts w:hint="eastAsia" w:eastAsia="PMingLiU"/>
          <w:color w:val="000000"/>
          <w:sz w:val="24"/>
          <w:szCs w:val="24"/>
          <w:lang w:val="en-GB" w:eastAsia="zh-CN"/>
        </w:rPr>
        <w:t xml:space="preserve"> Bandwidth: Scalable and Practical</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Operators face challenges in acquiring large continuous spectrum blocks; 6GR must define scalable bandwidths per band to match deployment needs:</w:t>
      </w:r>
    </w:p>
    <w:tbl>
      <w:tblPr>
        <w:tblStyle w:val="8"/>
        <w:tblW w:w="0" w:type="auto"/>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9FAFB"/>
        <w:tblLayout w:type="autofit"/>
        <w:tblCellMar>
          <w:top w:w="0" w:type="dxa"/>
          <w:left w:w="0" w:type="dxa"/>
          <w:bottom w:w="0" w:type="dxa"/>
          <w:right w:w="0" w:type="dxa"/>
        </w:tblCellMar>
      </w:tblPr>
      <w:tblGrid>
        <w:gridCol w:w="1534"/>
        <w:gridCol w:w="3624"/>
      </w:tblGrid>
      <w:tr>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tblHeader/>
          <w:jc w:val="center"/>
        </w:trPr>
        <w:tc>
          <w:tcPr>
            <w:tcW w:w="0" w:type="auto"/>
            <w:tcBorders>
              <w:top w:val="nil"/>
              <w:left w:val="nil"/>
              <w:bottom w:val="nil"/>
              <w:right w:val="single" w:color="auto" w:sz="2" w:space="0"/>
            </w:tcBorders>
            <w:shd w:val="clear" w:color="auto" w:fill="F2F2F2"/>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eastAsia" w:eastAsia="PMingLiU"/>
                <w:b/>
                <w:bCs/>
                <w:color w:val="000000"/>
                <w:sz w:val="22"/>
                <w:szCs w:val="22"/>
                <w:lang w:val="en-GB" w:eastAsia="zh-CN"/>
              </w:rPr>
            </w:pPr>
            <w:r>
              <w:rPr>
                <w:rFonts w:hint="default" w:eastAsia="PMingLiU"/>
                <w:b/>
                <w:bCs/>
                <w:color w:val="000000"/>
                <w:sz w:val="22"/>
                <w:szCs w:val="22"/>
                <w:lang w:val="en-US" w:eastAsia="zh-CN"/>
              </w:rPr>
              <w:t>Band Type</w:t>
            </w:r>
          </w:p>
        </w:tc>
        <w:tc>
          <w:tcPr>
            <w:tcW w:w="0" w:type="auto"/>
            <w:tcBorders>
              <w:top w:val="nil"/>
              <w:left w:val="nil"/>
              <w:bottom w:val="nil"/>
              <w:right w:val="nil"/>
            </w:tcBorders>
            <w:shd w:val="clear" w:color="auto" w:fill="F2F2F2"/>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b/>
                <w:bCs/>
                <w:color w:val="000000"/>
                <w:sz w:val="22"/>
                <w:szCs w:val="22"/>
                <w:lang w:val="en-GB" w:eastAsia="zh-CN"/>
              </w:rPr>
            </w:pPr>
            <w:r>
              <w:rPr>
                <w:rFonts w:hint="default" w:eastAsia="PMingLiU"/>
                <w:b/>
                <w:bCs/>
                <w:color w:val="000000"/>
                <w:sz w:val="22"/>
                <w:szCs w:val="22"/>
                <w:lang w:val="en-US" w:eastAsia="zh-CN"/>
              </w:rPr>
              <w:t>Single-Carrier Bandwidth Options</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jc w:val="center"/>
        </w:trPr>
        <w:tc>
          <w:tcPr>
            <w:tcW w:w="0" w:type="auto"/>
            <w:tcBorders>
              <w:top w:val="nil"/>
              <w:left w:val="nil"/>
              <w:bottom w:val="nil"/>
              <w:right w:val="single" w:color="auto" w:sz="2" w:space="0"/>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800/900MHz</w:t>
            </w:r>
          </w:p>
        </w:tc>
        <w:tc>
          <w:tcPr>
            <w:tcW w:w="0" w:type="auto"/>
            <w:tcBorders>
              <w:top w:val="nil"/>
              <w:left w:val="nil"/>
              <w:bottom w:val="nil"/>
              <w:right w:val="nil"/>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15MHz, 20MHz</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jc w:val="center"/>
        </w:trPr>
        <w:tc>
          <w:tcPr>
            <w:tcW w:w="0" w:type="auto"/>
            <w:tcBorders>
              <w:top w:val="nil"/>
              <w:left w:val="nil"/>
              <w:bottom w:val="nil"/>
              <w:right w:val="single" w:color="auto" w:sz="2" w:space="0"/>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1.8GHz</w:t>
            </w:r>
          </w:p>
        </w:tc>
        <w:tc>
          <w:tcPr>
            <w:tcW w:w="0" w:type="auto"/>
            <w:tcBorders>
              <w:top w:val="nil"/>
              <w:left w:val="nil"/>
              <w:bottom w:val="nil"/>
              <w:right w:val="nil"/>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50MHz</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jc w:val="center"/>
        </w:trPr>
        <w:tc>
          <w:tcPr>
            <w:tcW w:w="0" w:type="auto"/>
            <w:tcBorders>
              <w:top w:val="nil"/>
              <w:left w:val="nil"/>
              <w:bottom w:val="nil"/>
              <w:right w:val="single" w:color="auto" w:sz="2" w:space="0"/>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3.5GHz</w:t>
            </w:r>
          </w:p>
        </w:tc>
        <w:tc>
          <w:tcPr>
            <w:tcW w:w="0" w:type="auto"/>
            <w:tcBorders>
              <w:top w:val="nil"/>
              <w:left w:val="nil"/>
              <w:bottom w:val="nil"/>
              <w:right w:val="nil"/>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300MHz</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jc w:val="center"/>
        </w:trPr>
        <w:tc>
          <w:tcPr>
            <w:tcW w:w="0" w:type="auto"/>
            <w:tcBorders>
              <w:top w:val="nil"/>
              <w:left w:val="nil"/>
              <w:bottom w:val="nil"/>
              <w:right w:val="single" w:color="auto" w:sz="2" w:space="0"/>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U6G</w:t>
            </w:r>
          </w:p>
        </w:tc>
        <w:tc>
          <w:tcPr>
            <w:tcW w:w="0" w:type="auto"/>
            <w:tcBorders>
              <w:top w:val="nil"/>
              <w:left w:val="nil"/>
              <w:bottom w:val="nil"/>
              <w:right w:val="nil"/>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400MHz</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9FAFB"/>
          <w:tblCellMar>
            <w:top w:w="0" w:type="dxa"/>
            <w:left w:w="0" w:type="dxa"/>
            <w:bottom w:w="0" w:type="dxa"/>
            <w:right w:w="0" w:type="dxa"/>
          </w:tblCellMar>
        </w:tblPrEx>
        <w:trPr>
          <w:jc w:val="center"/>
        </w:trPr>
        <w:tc>
          <w:tcPr>
            <w:tcW w:w="0" w:type="auto"/>
            <w:tcBorders>
              <w:top w:val="nil"/>
              <w:left w:val="nil"/>
              <w:bottom w:val="nil"/>
              <w:right w:val="single" w:color="auto" w:sz="2" w:space="0"/>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mmWave</w:t>
            </w:r>
          </w:p>
        </w:tc>
        <w:tc>
          <w:tcPr>
            <w:tcW w:w="0" w:type="auto"/>
            <w:tcBorders>
              <w:top w:val="nil"/>
              <w:left w:val="nil"/>
              <w:bottom w:val="nil"/>
              <w:right w:val="nil"/>
            </w:tcBorders>
            <w:shd w:val="clear" w:color="auto" w:fill="F9FAFB"/>
            <w:tcMar>
              <w:top w:w="120" w:type="dxa"/>
              <w:left w:w="180" w:type="dxa"/>
              <w:bottom w:w="120" w:type="dxa"/>
              <w:right w:w="180" w:type="dxa"/>
            </w:tcMar>
            <w:vAlign w:val="center"/>
          </w:tcPr>
          <w:p>
            <w:pPr>
              <w:pageBreakBefore w:val="0"/>
              <w:widowControl/>
              <w:kinsoku/>
              <w:wordWrap/>
              <w:overflowPunct w:val="0"/>
              <w:topLinePunct w:val="0"/>
              <w:autoSpaceDE w:val="0"/>
              <w:autoSpaceDN w:val="0"/>
              <w:bidi w:val="0"/>
              <w:adjustRightInd w:val="0"/>
              <w:snapToGrid w:val="0"/>
              <w:spacing w:line="240" w:lineRule="auto"/>
              <w:jc w:val="center"/>
              <w:textAlignment w:val="baseline"/>
              <w:rPr>
                <w:rFonts w:hint="default" w:eastAsia="PMingLiU"/>
                <w:color w:val="000000"/>
                <w:sz w:val="22"/>
                <w:szCs w:val="22"/>
                <w:lang w:val="en-GB" w:eastAsia="zh-CN"/>
              </w:rPr>
            </w:pPr>
            <w:r>
              <w:rPr>
                <w:rFonts w:hint="default" w:eastAsia="PMingLiU"/>
                <w:color w:val="000000"/>
                <w:sz w:val="22"/>
                <w:szCs w:val="22"/>
                <w:lang w:val="en-US" w:eastAsia="zh-CN"/>
              </w:rPr>
              <w:t>800MHz</w:t>
            </w:r>
          </w:p>
        </w:tc>
      </w:tr>
    </w:tbl>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hint="eastAsia" w:ascii="Times New Roman" w:hAnsi="Times New Roman" w:eastAsia="Batang" w:cs="Times New Roman"/>
          <w:b/>
          <w:bCs/>
          <w:i/>
          <w:iCs/>
          <w:sz w:val="22"/>
          <w:szCs w:val="22"/>
          <w:lang w:eastAsia="zh-CN"/>
        </w:rPr>
        <w:t xml:space="preserve">: Define scalable bandwidths per band as above, ensuring compatibility with fragmented spectrum and cost-effective radio design.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ISAC as a Native Capability</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ISAC is identified as a key usage scenario in the IMT-2030 framework. It enables the network to perceive the physical environment, creating new service opportunities and enhancing communication performance. To avoid the "bolted-on" complexity witnessed with some 5G features, ISAC must be a native component of the 6GR air interface from the beginning. This requires a unified design for sensing and communication signals, waveforms, and resource allocation.</w:t>
      </w:r>
      <w:r>
        <w:rPr>
          <w:rFonts w:hint="eastAsia" w:eastAsia="PMingLiU"/>
          <w:color w:val="000000"/>
          <w:sz w:val="22"/>
          <w:szCs w:val="22"/>
          <w:lang w:val="en-US" w:eastAsia="zh-CN"/>
        </w:rPr>
        <w:t xml:space="preserve"> </w:t>
      </w:r>
      <w:r>
        <w:rPr>
          <w:rFonts w:hint="default" w:eastAsia="PMingLiU"/>
          <w:color w:val="000000"/>
          <w:sz w:val="22"/>
          <w:szCs w:val="22"/>
          <w:lang w:val="en-US" w:eastAsia="zh-CN"/>
        </w:rPr>
        <w:t>6GR must design ISAC as a native feature, not an afterthought</w:t>
      </w:r>
      <w:r>
        <w:rPr>
          <w:rFonts w:hint="eastAsia" w:eastAsia="PMingLiU"/>
          <w:color w:val="000000"/>
          <w:sz w:val="22"/>
          <w:szCs w:val="22"/>
          <w:lang w:val="en-US" w:eastAsia="zh-CN"/>
        </w:rPr>
        <w:t>:</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No Compromise on Communication: Sensing must not degrade communication performance (e.g., spectral efficiency, latency);</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Unified Framework: Reuse communication signals/resources (e.g., CSI-RS, SRS) for sensing where possible, or define dedicated low-overhead sensing signals;</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Controllable and Scalable: Sensing capabilities (resolution, accuracy) should be network-controllable to match service needs.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Design native ISAC support for 6GR, including: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hint="eastAsia" w:eastAsia="Batang" w:cs="Times New Roman"/>
          <w:b/>
          <w:bCs/>
          <w:i/>
          <w:iCs/>
          <w:sz w:val="22"/>
          <w:szCs w:val="22"/>
          <w:lang w:val="en-US" w:eastAsia="zh-CN"/>
        </w:rPr>
        <w:t xml:space="preserve">OFDM as the baseline waveform, with half-duplex/full-duplex sensing modes;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hint="eastAsia" w:eastAsia="Batang" w:cs="Times New Roman"/>
          <w:b/>
          <w:bCs/>
          <w:i/>
          <w:iCs/>
          <w:sz w:val="22"/>
          <w:szCs w:val="22"/>
          <w:lang w:val="en-US" w:eastAsia="zh-CN"/>
        </w:rPr>
        <w:t xml:space="preserve">Explore advanced waveform designs (e.g., LFM) to enhance sensing capabilities while maintaining communication performance;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Batang" w:cs="Times New Roman"/>
          <w:b/>
          <w:bCs/>
          <w:i/>
          <w:iCs/>
          <w:sz w:val="22"/>
          <w:szCs w:val="22"/>
          <w:lang w:val="en-US" w:eastAsia="zh-CN"/>
        </w:rPr>
      </w:pPr>
      <w:r>
        <w:rPr>
          <w:rFonts w:hint="eastAsia" w:eastAsia="Batang" w:cs="Times New Roman"/>
          <w:b/>
          <w:bCs/>
          <w:i/>
          <w:iCs/>
          <w:sz w:val="22"/>
          <w:szCs w:val="22"/>
          <w:lang w:val="en-US" w:eastAsia="zh-CN"/>
        </w:rPr>
        <w:t>Reuse communication RS for basic sensing and dedicated low-overhead sensing RS for high-resolution sensing.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default" w:ascii="Times New Roman" w:hAnsi="Times New Roman" w:eastAsia="Batang" w:cs="Times New Roman"/>
          <w:b/>
          <w:bCs/>
          <w:i/>
          <w:iCs/>
          <w:sz w:val="22"/>
          <w:szCs w:val="22"/>
          <w:lang w:val="en-US" w:eastAsia="zh-CN"/>
        </w:rPr>
      </w:pP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1</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GB" w:eastAsia="zh-TW"/>
        </w:rPr>
        <w:t>Proposal 1: 6GR shall adopt simplification and scalability as core design principles</w:t>
      </w:r>
      <w:r>
        <w:rPr>
          <w:rFonts w:hint="eastAsia" w:eastAsia="宋体" w:cs="Times New Roman"/>
          <w:b/>
          <w:bCs/>
          <w:i/>
          <w:iCs/>
          <w:sz w:val="22"/>
          <w:szCs w:val="22"/>
          <w:lang w:val="en-US" w:eastAsia="zh-CN"/>
        </w:rPr>
        <w:t xml:space="preserve">, </w:t>
      </w:r>
      <w:r>
        <w:rPr>
          <w:rFonts w:hint="eastAsia" w:eastAsia="Batang" w:cs="Times New Roman"/>
          <w:b/>
          <w:bCs/>
          <w:i/>
          <w:iCs/>
          <w:sz w:val="22"/>
          <w:szCs w:val="22"/>
          <w:lang w:eastAsia="zh-CN"/>
        </w:rPr>
        <w:t>pursuing</w:t>
      </w:r>
      <w:r>
        <w:rPr>
          <w:rFonts w:hint="eastAsia" w:ascii="Times New Roman" w:hAnsi="Times New Roman" w:eastAsia="Batang" w:cs="Times New Roman"/>
          <w:b/>
          <w:bCs/>
          <w:i/>
          <w:iCs/>
          <w:sz w:val="22"/>
          <w:szCs w:val="22"/>
          <w:lang w:eastAsia="zh-CN"/>
        </w:rPr>
        <w:t xml:space="preserve"> a streamlined and efficient spectrum utilization framework</w:t>
      </w:r>
      <w:r>
        <w:rPr>
          <w:rFonts w:hint="default"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ascii="Times New Roman" w:hAnsi="Times New Roman"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Support extreme large-scale antenna arrays (ELAA) for massive MIMO, scaling up to 1024 and 2048 antenna elements in 6GR.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hint="eastAsia" w:ascii="Times New Roman" w:hAnsi="Times New Roman" w:eastAsia="Batang" w:cs="Times New Roman"/>
          <w:b/>
          <w:bCs/>
          <w:i/>
          <w:iCs/>
          <w:sz w:val="22"/>
          <w:szCs w:val="22"/>
          <w:lang w:eastAsia="zh-CN"/>
        </w:rPr>
        <w:t xml:space="preserve">: Define scalable bandwidths per band as above, ensuring compatibility with fragmented spectrum and cost-effective radio design.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Design native ISAC support for 6GR, including: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hint="eastAsia" w:eastAsia="Batang" w:cs="Times New Roman"/>
          <w:b/>
          <w:bCs/>
          <w:i/>
          <w:iCs/>
          <w:sz w:val="22"/>
          <w:szCs w:val="22"/>
          <w:lang w:val="en-US" w:eastAsia="zh-CN"/>
        </w:rPr>
        <w:t xml:space="preserve">OFDM as the baseline waveform, with half-duplex/full-duplex sensing modes;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hint="eastAsia" w:eastAsia="Batang" w:cs="Times New Roman"/>
          <w:b/>
          <w:bCs/>
          <w:i/>
          <w:iCs/>
          <w:sz w:val="22"/>
          <w:szCs w:val="22"/>
          <w:lang w:val="en-US" w:eastAsia="zh-CN"/>
        </w:rPr>
        <w:t xml:space="preserve">Explore advanced waveform designs (e.g., LFM) to enhance sensing capabilities while maintaining communication performance;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Batang" w:cs="Times New Roman"/>
          <w:b/>
          <w:bCs/>
          <w:i/>
          <w:iCs/>
          <w:sz w:val="22"/>
          <w:szCs w:val="22"/>
          <w:lang w:val="en-US" w:eastAsia="zh-CN"/>
        </w:rPr>
      </w:pPr>
      <w:r>
        <w:rPr>
          <w:rFonts w:hint="eastAsia" w:eastAsia="Batang" w:cs="Times New Roman"/>
          <w:b/>
          <w:bCs/>
          <w:i/>
          <w:iCs/>
          <w:sz w:val="22"/>
          <w:szCs w:val="22"/>
          <w:lang w:val="en-US" w:eastAsia="zh-CN"/>
        </w:rPr>
        <w:t>Reuse communication RS for basic sensing and dedicated low-overhead sensing RS for high-resolution sensing.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Batang" w:cs="Times New Roman"/>
          <w:b/>
          <w:bCs/>
          <w:i/>
          <w:iCs/>
          <w:sz w:val="22"/>
          <w:szCs w:val="22"/>
          <w:lang w:val="en-US" w:eastAsia="zh-CN"/>
        </w:rPr>
      </w:pPr>
      <w:bookmarkStart w:id="3" w:name="_GoBack"/>
      <w:bookmarkEnd w:id="3"/>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5"/>
        <w:pageBreakBefore w:val="0"/>
        <w:widowControl/>
        <w:kinsoku/>
        <w:wordWrap/>
        <w:overflowPunct w:val="0"/>
        <w:topLinePunct w:val="0"/>
        <w:autoSpaceDE w:val="0"/>
        <w:autoSpaceDN w:val="0"/>
        <w:bidi w:val="0"/>
        <w:snapToGrid w:val="0"/>
        <w:spacing w:line="240" w:lineRule="auto"/>
        <w:textAlignment w:val="baseline"/>
        <w:rPr>
          <w:rFonts w:hint="eastAsia"/>
          <w:lang w:val="en-US" w:eastAsia="zh-CN"/>
        </w:rPr>
      </w:pPr>
      <w:bookmarkStart w:id="2"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2"/>
      <w:r>
        <w:rPr>
          <w:lang w:eastAsia="zh-CN"/>
        </w:rPr>
        <w:t>RAN#10</w:t>
      </w:r>
      <w:r>
        <w:rPr>
          <w:rFonts w:hint="eastAsia"/>
          <w:lang w:val="en-US" w:eastAsia="zh-CN"/>
        </w:rPr>
        <w:t>8</w:t>
      </w:r>
    </w:p>
    <w:p>
      <w:pPr>
        <w:pStyle w:val="15"/>
        <w:pageBreakBefore w:val="0"/>
        <w:widowControl/>
        <w:kinsoku/>
        <w:wordWrap/>
        <w:overflowPunct w:val="0"/>
        <w:topLinePunct w:val="0"/>
        <w:autoSpaceDE w:val="0"/>
        <w:autoSpaceDN w:val="0"/>
        <w:bidi w:val="0"/>
        <w:snapToGrid w:val="0"/>
        <w:spacing w:line="240" w:lineRule="auto"/>
        <w:textAlignment w:val="baseline"/>
        <w:rPr>
          <w:rFonts w:hint="eastAsia"/>
          <w:lang w:val="en-US" w:eastAsia="zh-CN"/>
        </w:rPr>
      </w:pPr>
      <w:r>
        <w:rPr>
          <w:rFonts w:hint="eastAsia"/>
          <w:lang w:val="en-US" w:eastAsia="zh-CN"/>
        </w:rPr>
        <w:t>RAN1#122 Chairman notes</w:t>
      </w: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Batang">
    <w:altName w:val="Malgun Gothic"/>
    <w:panose1 w:val="02030600000000010101"/>
    <w:charset w:val="81"/>
    <w:family w:val="roman"/>
    <w:pitch w:val="default"/>
    <w:sig w:usb0="00000000" w:usb1="00000000" w:usb2="00000030" w:usb3="00000000" w:csb0="0008009F"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C518"/>
    <w:multiLevelType w:val="singleLevel"/>
    <w:tmpl w:val="9155C518"/>
    <w:lvl w:ilvl="0" w:tentative="0">
      <w:start w:val="1"/>
      <w:numFmt w:val="bullet"/>
      <w:lvlText w:val=""/>
      <w:lvlJc w:val="left"/>
      <w:pPr>
        <w:ind w:left="420" w:hanging="420"/>
      </w:pPr>
      <w:rPr>
        <w:rFonts w:hint="default" w:ascii="Wingdings" w:hAnsi="Wingdings"/>
      </w:rPr>
    </w:lvl>
  </w:abstractNum>
  <w:abstractNum w:abstractNumId="1">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0000001"/>
    <w:multiLevelType w:val="singleLevel"/>
    <w:tmpl w:val="00000001"/>
    <w:lvl w:ilvl="0" w:tentative="0">
      <w:start w:val="1"/>
      <w:numFmt w:val="decimal"/>
      <w:pStyle w:val="15"/>
      <w:lvlText w:val="[%1]"/>
      <w:lvlJc w:val="left"/>
      <w:pPr>
        <w:tabs>
          <w:tab w:val="left" w:pos="360"/>
        </w:tabs>
        <w:ind w:left="360" w:hanging="360"/>
      </w:pPr>
    </w:lvl>
  </w:abstractNum>
  <w:abstractNum w:abstractNumId="3">
    <w:nsid w:val="00000002"/>
    <w:multiLevelType w:val="multilevel"/>
    <w:tmpl w:val="00000002"/>
    <w:lvl w:ilvl="0" w:tentative="0">
      <w:start w:val="1"/>
      <w:numFmt w:val="decimal"/>
      <w:pStyle w:val="1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D559FC2"/>
    <w:multiLevelType w:val="singleLevel"/>
    <w:tmpl w:val="1D559FC2"/>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17705"/>
    <w:rsid w:val="07E0025F"/>
    <w:rsid w:val="191641C0"/>
    <w:rsid w:val="1DE22EC7"/>
    <w:rsid w:val="2199730C"/>
    <w:rsid w:val="2B0223D7"/>
    <w:rsid w:val="43E731C5"/>
    <w:rsid w:val="469E4261"/>
    <w:rsid w:val="4C532456"/>
    <w:rsid w:val="50056CDB"/>
    <w:rsid w:val="566A001C"/>
    <w:rsid w:val="684431CC"/>
    <w:rsid w:val="6C865F6E"/>
    <w:rsid w:val="74DC17D2"/>
    <w:rsid w:val="76A6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5">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6">
    <w:name w:val="Reference"/>
    <w:basedOn w:val="1"/>
    <w:qFormat/>
    <w:uiPriority w:val="0"/>
    <w:pPr>
      <w:numPr>
        <w:ilvl w:val="0"/>
        <w:numId w:val="2"/>
      </w:numPr>
    </w:pPr>
    <w:rPr>
      <w:rFonts w:eastAsia="Calibri"/>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5a99365-26e6-414d-ac9a-a5e61cab3fc0}">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b5aa46f6-3df1-450f-991b-35fa019fe3c3}">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2324</Words>
  <Characters>13682</Characters>
  <Paragraphs>97</Paragraphs>
  <TotalTime>1</TotalTime>
  <ScaleCrop>false</ScaleCrop>
  <LinksUpToDate>false</LinksUpToDate>
  <CharactersWithSpaces>15855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赵明阳</cp:lastModifiedBy>
  <dcterms:modified xsi:type="dcterms:W3CDTF">2025-10-03T12:14:02Z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ae2a527d62a8419180c188f68261b154_23</vt:lpwstr>
  </property>
</Properties>
</file>