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603D6" w14:textId="3DFE7923" w:rsidR="00441406" w:rsidRDefault="00035AE9">
      <w:pPr>
        <w:tabs>
          <w:tab w:val="right" w:pos="9639"/>
        </w:tabs>
        <w:rPr>
          <w:rFonts w:ascii="Arial" w:eastAsia="SimSun" w:hAnsi="Arial" w:cs="Arial"/>
          <w:b/>
          <w:sz w:val="22"/>
          <w:szCs w:val="22"/>
          <w:lang w:val="en-US" w:eastAsia="zh-CN"/>
        </w:rPr>
      </w:pPr>
      <w:r>
        <w:rPr>
          <w:rFonts w:ascii="Arial" w:hAnsi="Arial" w:cs="Arial"/>
          <w:b/>
          <w:sz w:val="22"/>
          <w:szCs w:val="22"/>
        </w:rPr>
        <w:t>3GPP TSG-SA3 Meeting #12</w:t>
      </w:r>
      <w:r w:rsidR="007E1299"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b/>
          <w:sz w:val="22"/>
          <w:szCs w:val="22"/>
        </w:rPr>
        <w:tab/>
      </w:r>
      <w:ins w:id="0" w:author="Markus Hanhisalo" w:date="2025-11-17T17:26:00Z">
        <w:r w:rsidR="00B67357">
          <w:rPr>
            <w:rFonts w:ascii="Arial" w:hAnsi="Arial" w:cs="Arial"/>
            <w:b/>
            <w:sz w:val="22"/>
            <w:szCs w:val="22"/>
          </w:rPr>
          <w:t>draft_</w:t>
        </w:r>
      </w:ins>
      <w:r>
        <w:rPr>
          <w:rFonts w:ascii="Arial" w:hAnsi="Arial" w:cs="Arial"/>
          <w:b/>
          <w:sz w:val="22"/>
          <w:szCs w:val="22"/>
        </w:rPr>
        <w:t>S3-</w:t>
      </w:r>
      <w:r w:rsidR="007E1299">
        <w:rPr>
          <w:rFonts w:ascii="Arial" w:hAnsi="Arial" w:cs="Arial"/>
          <w:b/>
          <w:sz w:val="22"/>
          <w:szCs w:val="22"/>
        </w:rPr>
        <w:t>2</w:t>
      </w:r>
      <w:r w:rsidR="00F460EA">
        <w:rPr>
          <w:rFonts w:ascii="Arial" w:hAnsi="Arial" w:cs="Arial"/>
          <w:b/>
          <w:sz w:val="22"/>
          <w:szCs w:val="22"/>
        </w:rPr>
        <w:t>54</w:t>
      </w:r>
      <w:r w:rsidR="001C6C69">
        <w:rPr>
          <w:rFonts w:ascii="Arial" w:hAnsi="Arial" w:cs="Arial"/>
          <w:b/>
          <w:sz w:val="22"/>
          <w:szCs w:val="22"/>
        </w:rPr>
        <w:t>560</w:t>
      </w:r>
      <w:ins w:id="1" w:author="Markus Hanhisalo" w:date="2025-11-17T17:26:00Z">
        <w:r w:rsidR="00B67357">
          <w:rPr>
            <w:rFonts w:ascii="Arial" w:hAnsi="Arial" w:cs="Arial"/>
            <w:b/>
            <w:sz w:val="22"/>
            <w:szCs w:val="22"/>
          </w:rPr>
          <w:t>-r1</w:t>
        </w:r>
      </w:ins>
    </w:p>
    <w:p w14:paraId="7E6E0965" w14:textId="1B55845D" w:rsidR="00441406" w:rsidRDefault="007E1299">
      <w:pPr>
        <w:pStyle w:val="Kopfzeile"/>
        <w:widowControl w:val="0"/>
        <w:pBdr>
          <w:bottom w:val="single" w:sz="4" w:space="1" w:color="000000"/>
        </w:pBdr>
        <w:tabs>
          <w:tab w:val="clear" w:pos="4153"/>
          <w:tab w:val="clear" w:pos="8306"/>
          <w:tab w:val="right" w:pos="9638"/>
        </w:tabs>
        <w:textAlignment w:val="baseline"/>
        <w:rPr>
          <w:rFonts w:ascii="Arial" w:eastAsia="Batang" w:hAnsi="Arial" w:cs="Arial"/>
          <w:b/>
          <w:lang w:eastAsia="zh-CN"/>
        </w:rPr>
      </w:pPr>
      <w:r>
        <w:rPr>
          <w:rFonts w:ascii="Arial" w:hAnsi="Arial" w:cs="Arial"/>
          <w:b/>
          <w:sz w:val="22"/>
          <w:szCs w:val="22"/>
        </w:rPr>
        <w:t>Dallas</w:t>
      </w:r>
      <w:r w:rsidR="00035AE9">
        <w:rPr>
          <w:rFonts w:ascii="Arial" w:hAnsi="Arial" w:cs="Arial"/>
          <w:b/>
          <w:sz w:val="22"/>
          <w:szCs w:val="22"/>
        </w:rPr>
        <w:t xml:space="preserve">, </w:t>
      </w:r>
      <w:r>
        <w:rPr>
          <w:rFonts w:ascii="Arial" w:hAnsi="Arial" w:cs="Arial"/>
          <w:b/>
          <w:sz w:val="22"/>
          <w:szCs w:val="22"/>
        </w:rPr>
        <w:t>US</w:t>
      </w:r>
      <w:r w:rsidR="00035AE9">
        <w:rPr>
          <w:rFonts w:ascii="Arial" w:hAnsi="Arial" w:cs="Arial"/>
          <w:b/>
          <w:sz w:val="22"/>
          <w:szCs w:val="22"/>
        </w:rPr>
        <w:t xml:space="preserve">, </w:t>
      </w:r>
      <w:r>
        <w:rPr>
          <w:rFonts w:ascii="Arial" w:hAnsi="Arial" w:cs="Arial"/>
          <w:b/>
          <w:sz w:val="22"/>
          <w:szCs w:val="22"/>
        </w:rPr>
        <w:t>17</w:t>
      </w:r>
      <w:r w:rsidR="00035AE9">
        <w:rPr>
          <w:rFonts w:ascii="Arial" w:hAnsi="Arial" w:cs="Arial"/>
          <w:b/>
          <w:sz w:val="22"/>
          <w:szCs w:val="22"/>
        </w:rPr>
        <w:t xml:space="preserve"> – 2</w:t>
      </w:r>
      <w:r>
        <w:rPr>
          <w:rFonts w:ascii="Arial" w:hAnsi="Arial" w:cs="Arial"/>
          <w:b/>
          <w:sz w:val="22"/>
          <w:szCs w:val="22"/>
        </w:rPr>
        <w:t>1</w:t>
      </w:r>
      <w:r w:rsidR="00035AE9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November</w:t>
      </w:r>
      <w:r w:rsidR="00035AE9">
        <w:rPr>
          <w:rFonts w:ascii="Arial" w:hAnsi="Arial" w:cs="Arial"/>
          <w:b/>
          <w:sz w:val="22"/>
          <w:szCs w:val="22"/>
        </w:rPr>
        <w:t xml:space="preserve"> 2025</w:t>
      </w:r>
      <w:r w:rsidR="00035AE9">
        <w:tab/>
      </w:r>
    </w:p>
    <w:p w14:paraId="5E6B7408" w14:textId="3F638F0E" w:rsidR="00441406" w:rsidRPr="00FC445A" w:rsidRDefault="00035AE9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FC445A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FC445A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7E1299">
        <w:rPr>
          <w:rFonts w:ascii="Arial" w:eastAsia="Batang" w:hAnsi="Arial"/>
          <w:b/>
          <w:sz w:val="24"/>
          <w:szCs w:val="24"/>
          <w:lang w:val="en-US" w:eastAsia="zh-CN"/>
        </w:rPr>
        <w:t>BSI (DE)</w:t>
      </w:r>
    </w:p>
    <w:p w14:paraId="5B4F38FC" w14:textId="3D558C2B" w:rsidR="00441406" w:rsidRDefault="00035AE9">
      <w:pPr>
        <w:tabs>
          <w:tab w:val="left" w:pos="2127"/>
        </w:tabs>
        <w:ind w:left="2127" w:hanging="2127"/>
        <w:jc w:val="both"/>
        <w:outlineLvl w:val="0"/>
      </w:pPr>
      <w:r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>
        <w:rPr>
          <w:rFonts w:ascii="Arial" w:eastAsia="Batang" w:hAnsi="Arial" w:cs="Arial"/>
          <w:b/>
          <w:sz w:val="24"/>
          <w:szCs w:val="24"/>
          <w:lang w:eastAsia="zh-CN"/>
        </w:rPr>
        <w:tab/>
        <w:t>Security Assurance Specification (SCAS) for</w:t>
      </w:r>
      <w:r>
        <w:rPr>
          <w:rFonts w:ascii="Arial" w:eastAsia="Batang" w:hAnsi="Arial" w:cs="Arial"/>
          <w:b/>
          <w:sz w:val="24"/>
          <w:szCs w:val="24"/>
          <w:lang w:val="en-US" w:eastAsia="zh-CN"/>
        </w:rPr>
        <w:t xml:space="preserve"> </w:t>
      </w:r>
      <w:r w:rsidR="007E1299">
        <w:rPr>
          <w:rFonts w:ascii="Arial" w:eastAsia="Batang" w:hAnsi="Arial" w:cs="Arial"/>
          <w:b/>
          <w:sz w:val="24"/>
          <w:szCs w:val="24"/>
          <w:lang w:val="en-US" w:eastAsia="zh-CN"/>
        </w:rPr>
        <w:t xml:space="preserve">the CAPIF Core </w:t>
      </w:r>
      <w:del w:id="2" w:author="Gebhardt, Lisanne" w:date="2025-11-18T01:00:00Z">
        <w:r w:rsidR="007E1299" w:rsidDel="00F952D8">
          <w:rPr>
            <w:rFonts w:ascii="Arial" w:eastAsia="Batang" w:hAnsi="Arial" w:cs="Arial"/>
            <w:b/>
            <w:sz w:val="24"/>
            <w:szCs w:val="24"/>
            <w:lang w:val="en-US" w:eastAsia="zh-CN"/>
          </w:rPr>
          <w:delText>NF</w:delText>
        </w:r>
        <w:r w:rsidDel="00F952D8">
          <w:rPr>
            <w:rFonts w:ascii="Arial" w:eastAsia="Batang" w:hAnsi="Arial" w:cs="Arial"/>
            <w:b/>
            <w:sz w:val="24"/>
            <w:szCs w:val="24"/>
            <w:lang w:val="en-US" w:eastAsia="zh-CN"/>
          </w:rPr>
          <w:delText xml:space="preserve"> </w:delText>
        </w:r>
      </w:del>
      <w:ins w:id="3" w:author="Gebhardt, Lisanne" w:date="2025-11-18T01:00:00Z">
        <w:r w:rsidR="00F952D8">
          <w:rPr>
            <w:rFonts w:ascii="Arial" w:eastAsia="Batang" w:hAnsi="Arial" w:cs="Arial"/>
            <w:b/>
            <w:sz w:val="24"/>
            <w:szCs w:val="24"/>
            <w:lang w:val="en-US" w:eastAsia="zh-CN"/>
          </w:rPr>
          <w:t xml:space="preserve">Function </w:t>
        </w:r>
      </w:ins>
    </w:p>
    <w:p w14:paraId="094A12D6" w14:textId="77777777" w:rsidR="00441406" w:rsidRDefault="00035AE9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79C155CF" w14:textId="4720F4EE" w:rsidR="00441406" w:rsidRDefault="00035AE9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>
        <w:rPr>
          <w:rFonts w:ascii="Arial" w:eastAsia="Batang" w:hAnsi="Arial"/>
          <w:b/>
          <w:sz w:val="24"/>
          <w:szCs w:val="24"/>
          <w:lang w:val="en-US" w:eastAsia="zh-CN"/>
        </w:rPr>
        <w:tab/>
        <w:t>6.</w:t>
      </w:r>
      <w:r w:rsidR="00AA769A">
        <w:rPr>
          <w:rFonts w:ascii="Arial" w:eastAsia="Batang" w:hAnsi="Arial"/>
          <w:b/>
          <w:sz w:val="24"/>
          <w:szCs w:val="24"/>
          <w:lang w:val="en-US" w:eastAsia="zh-CN"/>
        </w:rPr>
        <w:t>1</w:t>
      </w:r>
    </w:p>
    <w:p w14:paraId="0905DDA3" w14:textId="77777777" w:rsidR="00441406" w:rsidRDefault="00441406">
      <w:pPr>
        <w:rPr>
          <w:rFonts w:eastAsia="Batang"/>
          <w:lang w:val="en-US" w:eastAsia="zh-CN"/>
        </w:rPr>
      </w:pPr>
    </w:p>
    <w:p w14:paraId="41147E5F" w14:textId="77777777" w:rsidR="00441406" w:rsidRDefault="00035AE9">
      <w:pPr>
        <w:pStyle w:val="berschrift8"/>
        <w:pBdr>
          <w:top w:val="single" w:sz="12" w:space="3" w:color="000000"/>
        </w:pBdr>
        <w:spacing w:before="240" w:after="180"/>
        <w:ind w:left="2835" w:hanging="2835"/>
        <w:jc w:val="center"/>
        <w:textAlignment w:val="baseline"/>
      </w:pP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3GPP™ Work Item Description</w:t>
      </w:r>
    </w:p>
    <w:p w14:paraId="4A40D947" w14:textId="77777777" w:rsidR="00441406" w:rsidRDefault="00035AE9">
      <w:pPr>
        <w:jc w:val="center"/>
        <w:rPr>
          <w:rFonts w:cs="Arial"/>
        </w:rPr>
      </w:pPr>
      <w:r>
        <w:rPr>
          <w:rFonts w:cs="Arial"/>
        </w:rPr>
        <w:t xml:space="preserve">Information on Work Items can be found at </w:t>
      </w:r>
      <w:hyperlink r:id="rId5">
        <w:r>
          <w:rPr>
            <w:rFonts w:cs="Arial"/>
          </w:rPr>
          <w:t>http://www.3gpp.org/Work-Items</w:t>
        </w:r>
      </w:hyperlink>
      <w:r>
        <w:rPr>
          <w:rFonts w:cs="Arial"/>
        </w:rPr>
        <w:t xml:space="preserve"> </w:t>
      </w:r>
      <w:r>
        <w:rPr>
          <w:rFonts w:cs="Arial"/>
        </w:rPr>
        <w:br/>
      </w:r>
      <w:r>
        <w:t xml:space="preserve">See also the </w:t>
      </w:r>
      <w:hyperlink r:id="rId6">
        <w:r>
          <w:t>3GPP Working Procedures</w:t>
        </w:r>
      </w:hyperlink>
      <w:r>
        <w:t xml:space="preserve">, article 39 and the TSG Working Methods in </w:t>
      </w:r>
      <w:hyperlink r:id="rId7">
        <w:r>
          <w:t>3GPP TR 21.900</w:t>
        </w:r>
      </w:hyperlink>
    </w:p>
    <w:p w14:paraId="34DC5FAC" w14:textId="325FF7A0" w:rsidR="00441406" w:rsidRDefault="00035AE9">
      <w:pPr>
        <w:pStyle w:val="berschrift8"/>
        <w:pBdr>
          <w:top w:val="single" w:sz="12" w:space="3" w:color="000000"/>
        </w:pBdr>
        <w:spacing w:before="240" w:after="180"/>
        <w:ind w:left="2835" w:hanging="2835"/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Title:</w:t>
      </w: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ab/>
        <w:t xml:space="preserve">Security Assurance Specification (SCAS) for </w:t>
      </w:r>
      <w:r w:rsidR="004D25E7">
        <w:rPr>
          <w:rFonts w:ascii="Arial" w:eastAsia="Times New Roman" w:hAnsi="Arial" w:cs="Times New Roman"/>
          <w:color w:val="000000"/>
          <w:sz w:val="36"/>
          <w:szCs w:val="20"/>
          <w:lang w:val="en-US"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the CAPIF Core </w:t>
      </w:r>
      <w:r w:rsidR="00DC601C">
        <w:rPr>
          <w:rFonts w:ascii="Arial" w:eastAsia="Times New Roman" w:hAnsi="Arial" w:cs="Times New Roman"/>
          <w:color w:val="000000"/>
          <w:sz w:val="36"/>
          <w:szCs w:val="20"/>
          <w:lang w:val="en-US"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Function</w:t>
      </w:r>
      <w:r>
        <w:rPr>
          <w:rFonts w:ascii="Arial" w:eastAsia="Times New Roman" w:hAnsi="Arial" w:cs="Times New Roman"/>
          <w:color w:val="000000"/>
          <w:sz w:val="36"/>
          <w:szCs w:val="20"/>
          <w:lang w:val="en-US"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 </w:t>
      </w: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ab/>
      </w:r>
    </w:p>
    <w:p w14:paraId="054F0C06" w14:textId="0CCD6350" w:rsidR="00441406" w:rsidRPr="004D25E7" w:rsidRDefault="00035AE9">
      <w:pPr>
        <w:pStyle w:val="berschrift8"/>
        <w:pBdr>
          <w:top w:val="single" w:sz="12" w:space="3" w:color="000000"/>
        </w:pBdr>
        <w:spacing w:before="240" w:after="180"/>
        <w:ind w:left="2835" w:hanging="2835"/>
        <w:rPr>
          <w:lang w:val="fr-FR"/>
        </w:rPr>
      </w:pPr>
      <w:proofErr w:type="spellStart"/>
      <w:proofErr w:type="gramStart"/>
      <w:r w:rsidRPr="004D25E7">
        <w:rPr>
          <w:rFonts w:ascii="Arial" w:eastAsia="Times New Roman" w:hAnsi="Arial" w:cs="Times New Roman"/>
          <w:color w:val="000000"/>
          <w:sz w:val="36"/>
          <w:szCs w:val="20"/>
          <w:lang w:val="fr-FR"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Acronym</w:t>
      </w:r>
      <w:proofErr w:type="spellEnd"/>
      <w:r w:rsidRPr="004D25E7">
        <w:rPr>
          <w:rFonts w:ascii="Arial" w:eastAsia="Times New Roman" w:hAnsi="Arial" w:cs="Times New Roman"/>
          <w:color w:val="000000"/>
          <w:sz w:val="36"/>
          <w:szCs w:val="20"/>
          <w:lang w:val="fr-FR"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:</w:t>
      </w:r>
      <w:proofErr w:type="gramEnd"/>
      <w:r w:rsidRPr="004D25E7">
        <w:rPr>
          <w:rFonts w:ascii="Arial" w:eastAsia="Times New Roman" w:hAnsi="Arial" w:cs="Times New Roman"/>
          <w:color w:val="000000"/>
          <w:sz w:val="36"/>
          <w:szCs w:val="20"/>
          <w:lang w:val="fr-FR"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ab/>
        <w:t>SCAS_</w:t>
      </w:r>
      <w:r w:rsidR="004D25E7" w:rsidRPr="004D25E7">
        <w:rPr>
          <w:rFonts w:ascii="Arial" w:eastAsia="SimSun" w:hAnsi="Arial" w:cs="Times New Roman"/>
          <w:color w:val="000000"/>
          <w:sz w:val="36"/>
          <w:szCs w:val="20"/>
          <w:lang w:val="fr-FR"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5G</w:t>
      </w:r>
      <w:r w:rsidR="004D25E7">
        <w:rPr>
          <w:rFonts w:ascii="Arial" w:eastAsia="SimSun" w:hAnsi="Arial" w:cs="Times New Roman"/>
          <w:color w:val="000000"/>
          <w:sz w:val="36"/>
          <w:szCs w:val="20"/>
          <w:lang w:val="fr-FR"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A_CAPIF</w:t>
      </w:r>
    </w:p>
    <w:p w14:paraId="448D010B" w14:textId="77777777" w:rsidR="00441406" w:rsidRPr="004D25E7" w:rsidRDefault="00035AE9">
      <w:pPr>
        <w:pStyle w:val="berschrift8"/>
        <w:pBdr>
          <w:top w:val="single" w:sz="12" w:space="3" w:color="000000"/>
        </w:pBdr>
        <w:spacing w:before="240" w:after="180"/>
        <w:ind w:left="2835" w:hanging="2835"/>
        <w:rPr>
          <w:rFonts w:ascii="Arial" w:eastAsia="Times New Roman" w:hAnsi="Arial" w:cs="Times New Roman"/>
          <w:color w:val="000000"/>
          <w:sz w:val="36"/>
          <w:szCs w:val="20"/>
          <w:lang w:val="fr-FR"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 w:rsidRPr="004D25E7">
        <w:rPr>
          <w:rFonts w:ascii="Arial" w:eastAsia="Times New Roman" w:hAnsi="Arial" w:cs="Times New Roman"/>
          <w:color w:val="000000"/>
          <w:sz w:val="36"/>
          <w:szCs w:val="20"/>
          <w:lang w:val="fr-FR"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Unique </w:t>
      </w:r>
      <w:proofErr w:type="gramStart"/>
      <w:r w:rsidRPr="004D25E7">
        <w:rPr>
          <w:rFonts w:ascii="Arial" w:eastAsia="Times New Roman" w:hAnsi="Arial" w:cs="Times New Roman"/>
          <w:color w:val="000000"/>
          <w:sz w:val="36"/>
          <w:szCs w:val="20"/>
          <w:lang w:val="fr-FR"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identifier:</w:t>
      </w:r>
      <w:proofErr w:type="gramEnd"/>
      <w:r w:rsidRPr="004D25E7">
        <w:rPr>
          <w:rFonts w:ascii="Arial" w:eastAsia="Times New Roman" w:hAnsi="Arial" w:cs="Times New Roman"/>
          <w:color w:val="000000"/>
          <w:sz w:val="36"/>
          <w:szCs w:val="20"/>
          <w:lang w:val="fr-FR"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ab/>
        <w:t>XXXXX</w:t>
      </w:r>
      <w:r w:rsidRPr="004D25E7">
        <w:rPr>
          <w:lang w:val="fr-FR"/>
        </w:rPr>
        <w:t xml:space="preserve"> </w:t>
      </w:r>
    </w:p>
    <w:p w14:paraId="706DEC0B" w14:textId="77777777" w:rsidR="00441406" w:rsidRDefault="00035AE9">
      <w:pPr>
        <w:pStyle w:val="berschrift8"/>
        <w:pBdr>
          <w:top w:val="single" w:sz="12" w:space="3" w:color="000000"/>
        </w:pBdr>
        <w:spacing w:before="240" w:after="180"/>
        <w:ind w:left="2835" w:hanging="2835"/>
        <w:rPr>
          <w:rFonts w:ascii="Arial" w:eastAsia="SimSun" w:hAnsi="Arial" w:cs="Times New Roman"/>
          <w:color w:val="000000"/>
          <w:sz w:val="36"/>
          <w:szCs w:val="20"/>
          <w:lang w:val="en-US"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Potential target Release:</w:t>
      </w: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ab/>
      </w:r>
      <w:proofErr w:type="spellStart"/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Rel</w:t>
      </w:r>
      <w:proofErr w:type="spellEnd"/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-</w:t>
      </w:r>
      <w:r>
        <w:rPr>
          <w:rFonts w:ascii="Arial" w:eastAsia="SimSun" w:hAnsi="Arial" w:cs="Times New Roman"/>
          <w:color w:val="000000"/>
          <w:sz w:val="36"/>
          <w:szCs w:val="20"/>
          <w:lang w:val="en-US"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20</w:t>
      </w:r>
    </w:p>
    <w:p w14:paraId="44055529" w14:textId="77777777" w:rsidR="00441406" w:rsidRDefault="00035AE9">
      <w:pPr>
        <w:pStyle w:val="berschrift1"/>
        <w:keepLines/>
        <w:pBdr>
          <w:top w:val="single" w:sz="12" w:space="3" w:color="000000"/>
        </w:pBdr>
        <w:spacing w:before="240" w:after="180"/>
        <w:ind w:left="1134" w:right="0" w:hanging="1134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1</w:t>
      </w:r>
      <w:r>
        <w:rPr>
          <w:b w:val="0"/>
          <w:sz w:val="36"/>
          <w:lang w:eastAsia="ja-JP"/>
        </w:rPr>
        <w:tab/>
        <w:t>Impacts</w:t>
      </w:r>
    </w:p>
    <w:tbl>
      <w:tblPr>
        <w:tblW w:w="7281" w:type="dxa"/>
        <w:jc w:val="center"/>
        <w:tblLayout w:type="fixed"/>
        <w:tblLook w:val="04A0" w:firstRow="1" w:lastRow="0" w:firstColumn="1" w:lastColumn="0" w:noHBand="0" w:noVBand="1"/>
      </w:tblPr>
      <w:tblGrid>
        <w:gridCol w:w="1516"/>
        <w:gridCol w:w="1275"/>
        <w:gridCol w:w="1037"/>
        <w:gridCol w:w="850"/>
        <w:gridCol w:w="851"/>
        <w:gridCol w:w="1752"/>
      </w:tblGrid>
      <w:tr w:rsidR="00441406" w14:paraId="529F0FFE" w14:textId="77777777">
        <w:trPr>
          <w:cantSplit/>
          <w:jc w:val="center"/>
        </w:trPr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</w:tcPr>
          <w:p w14:paraId="1BA0E6C8" w14:textId="77777777" w:rsidR="00441406" w:rsidRDefault="00035AE9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top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E0E0E0"/>
          </w:tcPr>
          <w:p w14:paraId="06C234D1" w14:textId="77777777" w:rsidR="00441406" w:rsidRDefault="00035AE9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E0E0E0"/>
          </w:tcPr>
          <w:p w14:paraId="6370E534" w14:textId="77777777" w:rsidR="00441406" w:rsidRDefault="00035AE9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E0E0E0"/>
          </w:tcPr>
          <w:p w14:paraId="7D15ED54" w14:textId="77777777" w:rsidR="00441406" w:rsidRDefault="00035AE9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E0E0E0"/>
          </w:tcPr>
          <w:p w14:paraId="4D3EAFDE" w14:textId="77777777" w:rsidR="00441406" w:rsidRDefault="00035AE9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E0E0E0"/>
          </w:tcPr>
          <w:p w14:paraId="78EDB754" w14:textId="77777777" w:rsidR="00441406" w:rsidRDefault="00035AE9">
            <w:pPr>
              <w:pStyle w:val="TAH"/>
            </w:pPr>
            <w:r>
              <w:t>Others (specify)</w:t>
            </w:r>
          </w:p>
        </w:tc>
      </w:tr>
      <w:tr w:rsidR="00441406" w14:paraId="4D0BE06B" w14:textId="77777777">
        <w:trPr>
          <w:cantSplit/>
          <w:jc w:val="center"/>
        </w:trPr>
        <w:tc>
          <w:tcPr>
            <w:tcW w:w="1515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B35747E" w14:textId="77777777" w:rsidR="00441406" w:rsidRDefault="00035AE9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</w:tcPr>
          <w:p w14:paraId="0CC2CADC" w14:textId="28821718" w:rsidR="00441406" w:rsidRDefault="00441406">
            <w:pPr>
              <w:pStyle w:val="TAC"/>
              <w:rPr>
                <w:rFonts w:eastAsiaTheme="minorEastAsia"/>
                <w:lang w:eastAsia="zh-CN"/>
              </w:rPr>
            </w:pPr>
          </w:p>
        </w:tc>
        <w:tc>
          <w:tcPr>
            <w:tcW w:w="10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D1F88" w14:textId="77777777" w:rsidR="00441406" w:rsidRDefault="00441406">
            <w:pPr>
              <w:pStyle w:val="TAC"/>
            </w:pP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F746E" w14:textId="77ECB04E" w:rsidR="00441406" w:rsidRDefault="00441406">
            <w:pPr>
              <w:pStyle w:val="TAC"/>
            </w:pPr>
          </w:p>
        </w:tc>
        <w:tc>
          <w:tcPr>
            <w:tcW w:w="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2797F" w14:textId="77777777" w:rsidR="00441406" w:rsidRDefault="00441406">
            <w:pPr>
              <w:pStyle w:val="TAC"/>
            </w:pPr>
          </w:p>
        </w:tc>
        <w:tc>
          <w:tcPr>
            <w:tcW w:w="17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BFFA9" w14:textId="77777777" w:rsidR="00441406" w:rsidRDefault="00441406">
            <w:pPr>
              <w:pStyle w:val="TAC"/>
            </w:pPr>
          </w:p>
        </w:tc>
      </w:tr>
      <w:tr w:rsidR="00441406" w14:paraId="6064ADB7" w14:textId="77777777">
        <w:trPr>
          <w:cantSplit/>
          <w:jc w:val="center"/>
        </w:trPr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BAD4388" w14:textId="77777777" w:rsidR="00441406" w:rsidRDefault="00035AE9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4B05E" w14:textId="5E838E08" w:rsidR="00441406" w:rsidRDefault="004D25E7">
            <w:pPr>
              <w:pStyle w:val="TAC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X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ED892" w14:textId="77777777" w:rsidR="00441406" w:rsidRDefault="00035AE9">
            <w:pPr>
              <w:pStyle w:val="TAC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72B63" w14:textId="5211361F" w:rsidR="00441406" w:rsidRDefault="004D25E7">
            <w:pPr>
              <w:pStyle w:val="TAC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X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484058" w14:textId="77777777" w:rsidR="00441406" w:rsidRDefault="00035AE9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D93F78" w14:textId="77777777" w:rsidR="00441406" w:rsidRDefault="00441406">
            <w:pPr>
              <w:pStyle w:val="TAC"/>
              <w:rPr>
                <w:rFonts w:eastAsiaTheme="minorEastAsia"/>
                <w:lang w:eastAsia="zh-CN"/>
              </w:rPr>
            </w:pPr>
          </w:p>
        </w:tc>
      </w:tr>
      <w:tr w:rsidR="00441406" w14:paraId="67DBF781" w14:textId="77777777">
        <w:trPr>
          <w:cantSplit/>
          <w:jc w:val="center"/>
        </w:trPr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1693E7E" w14:textId="77777777" w:rsidR="00441406" w:rsidRDefault="00035AE9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F28AA" w14:textId="77777777" w:rsidR="00441406" w:rsidRDefault="00441406">
            <w:pPr>
              <w:pStyle w:val="TAC"/>
            </w:pP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7C0C6" w14:textId="77777777" w:rsidR="00441406" w:rsidRDefault="00441406">
            <w:pPr>
              <w:pStyle w:val="TAC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B3C8D" w14:textId="77777777" w:rsidR="00441406" w:rsidRDefault="00441406">
            <w:pPr>
              <w:pStyle w:val="TAC"/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ED826" w14:textId="77777777" w:rsidR="00441406" w:rsidRDefault="00441406">
            <w:pPr>
              <w:pStyle w:val="TAC"/>
            </w:pP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6E4FF" w14:textId="3E67A06C" w:rsidR="00441406" w:rsidRDefault="00441406">
            <w:pPr>
              <w:pStyle w:val="TAC"/>
            </w:pPr>
          </w:p>
        </w:tc>
      </w:tr>
    </w:tbl>
    <w:p w14:paraId="7CB30D37" w14:textId="77777777" w:rsidR="00441406" w:rsidRDefault="00441406"/>
    <w:p w14:paraId="7C0EF2C2" w14:textId="77777777" w:rsidR="00441406" w:rsidRDefault="00035AE9">
      <w:pPr>
        <w:pStyle w:val="berschrift1"/>
        <w:keepLines/>
        <w:pBdr>
          <w:top w:val="single" w:sz="12" w:space="3" w:color="000000"/>
        </w:pBdr>
        <w:spacing w:before="240" w:after="180"/>
        <w:ind w:left="1134" w:right="0" w:hanging="1134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2</w:t>
      </w:r>
      <w:r>
        <w:rPr>
          <w:b w:val="0"/>
          <w:sz w:val="36"/>
          <w:lang w:eastAsia="ja-JP"/>
        </w:rPr>
        <w:tab/>
        <w:t>Classification of the Work Item and linked work items</w:t>
      </w:r>
    </w:p>
    <w:p w14:paraId="6483FF60" w14:textId="77777777" w:rsidR="00441406" w:rsidRDefault="00035AE9">
      <w:pPr>
        <w:pStyle w:val="berschrift2"/>
        <w:keepLines/>
        <w:spacing w:before="180" w:after="180"/>
        <w:ind w:left="1134" w:right="0" w:hanging="1134"/>
        <w:rPr>
          <w:b w:val="0"/>
          <w:sz w:val="32"/>
          <w:lang w:eastAsia="ja-JP"/>
        </w:rPr>
      </w:pPr>
      <w:r>
        <w:rPr>
          <w:b w:val="0"/>
          <w:sz w:val="32"/>
          <w:lang w:eastAsia="ja-JP"/>
        </w:rPr>
        <w:t>2.1</w:t>
      </w:r>
      <w:r>
        <w:rPr>
          <w:b w:val="0"/>
          <w:sz w:val="32"/>
          <w:lang w:eastAsia="ja-JP"/>
        </w:rPr>
        <w:tab/>
        <w:t>Primary classification</w:t>
      </w:r>
    </w:p>
    <w:p w14:paraId="36E8EC4E" w14:textId="77777777" w:rsidR="00441406" w:rsidRDefault="00035AE9">
      <w:pPr>
        <w:pStyle w:val="berschrift3"/>
      </w:pPr>
      <w:r>
        <w:t>This work item is a …</w:t>
      </w:r>
    </w:p>
    <w:tbl>
      <w:tblPr>
        <w:tblW w:w="3369" w:type="dxa"/>
        <w:jc w:val="center"/>
        <w:tblLayout w:type="fixed"/>
        <w:tblLook w:val="04A0" w:firstRow="1" w:lastRow="0" w:firstColumn="1" w:lastColumn="0" w:noHBand="0" w:noVBand="1"/>
      </w:tblPr>
      <w:tblGrid>
        <w:gridCol w:w="452"/>
        <w:gridCol w:w="2917"/>
      </w:tblGrid>
      <w:tr w:rsidR="00441406" w14:paraId="796A343C" w14:textId="77777777">
        <w:trPr>
          <w:cantSplit/>
          <w:jc w:val="center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E2B6E" w14:textId="77777777" w:rsidR="00441406" w:rsidRDefault="00441406">
            <w:pPr>
              <w:pStyle w:val="TAC"/>
            </w:pPr>
          </w:p>
        </w:tc>
        <w:tc>
          <w:tcPr>
            <w:tcW w:w="2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3A94CC31" w14:textId="77777777" w:rsidR="00441406" w:rsidRDefault="00035AE9">
            <w:pPr>
              <w:pStyle w:val="TAH"/>
              <w:ind w:right="-99"/>
              <w:jc w:val="left"/>
              <w:rPr>
                <w:b w:val="0"/>
                <w:bCs/>
                <w:color w:val="0000FF"/>
              </w:rPr>
            </w:pPr>
            <w:r>
              <w:rPr>
                <w:b w:val="0"/>
                <w:bCs/>
                <w:color w:val="0000FF"/>
                <w:sz w:val="20"/>
              </w:rPr>
              <w:t xml:space="preserve">Study </w:t>
            </w:r>
          </w:p>
        </w:tc>
      </w:tr>
      <w:tr w:rsidR="00441406" w14:paraId="12098B04" w14:textId="77777777">
        <w:trPr>
          <w:cantSplit/>
          <w:jc w:val="center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2EA17" w14:textId="77777777" w:rsidR="00441406" w:rsidRDefault="00441406">
            <w:pPr>
              <w:pStyle w:val="TAC"/>
            </w:pPr>
          </w:p>
        </w:tc>
        <w:tc>
          <w:tcPr>
            <w:tcW w:w="2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3FBB5DC8" w14:textId="77777777" w:rsidR="00441406" w:rsidRDefault="00035AE9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 w:val="20"/>
              </w:rPr>
              <w:t>Normative – Stage 1</w:t>
            </w:r>
          </w:p>
        </w:tc>
      </w:tr>
      <w:tr w:rsidR="00441406" w14:paraId="79F09078" w14:textId="77777777">
        <w:trPr>
          <w:cantSplit/>
          <w:jc w:val="center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6C543" w14:textId="77777777" w:rsidR="00441406" w:rsidRDefault="00441406">
            <w:pPr>
              <w:pStyle w:val="TAC"/>
            </w:pPr>
          </w:p>
        </w:tc>
        <w:tc>
          <w:tcPr>
            <w:tcW w:w="2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516A66A4" w14:textId="77777777" w:rsidR="00441406" w:rsidRDefault="00035AE9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 w:val="20"/>
              </w:rPr>
              <w:t>Normative – Stage 2</w:t>
            </w:r>
          </w:p>
        </w:tc>
      </w:tr>
      <w:tr w:rsidR="00441406" w14:paraId="74432589" w14:textId="77777777">
        <w:trPr>
          <w:cantSplit/>
          <w:jc w:val="center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34534" w14:textId="77777777" w:rsidR="00441406" w:rsidRDefault="00441406">
            <w:pPr>
              <w:pStyle w:val="TAC"/>
            </w:pPr>
          </w:p>
        </w:tc>
        <w:tc>
          <w:tcPr>
            <w:tcW w:w="2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55E2AE3C" w14:textId="77777777" w:rsidR="00441406" w:rsidRDefault="00035AE9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 w:val="20"/>
              </w:rPr>
              <w:t>Normative – Stage 3</w:t>
            </w:r>
          </w:p>
        </w:tc>
      </w:tr>
      <w:tr w:rsidR="00441406" w14:paraId="7B97A855" w14:textId="77777777">
        <w:trPr>
          <w:cantSplit/>
          <w:jc w:val="center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3EEA2" w14:textId="77777777" w:rsidR="00441406" w:rsidRDefault="00035AE9">
            <w:pPr>
              <w:pStyle w:val="TAC"/>
            </w:pPr>
            <w:r>
              <w:t>X</w:t>
            </w:r>
          </w:p>
        </w:tc>
        <w:tc>
          <w:tcPr>
            <w:tcW w:w="2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64E68C0D" w14:textId="77777777" w:rsidR="00441406" w:rsidRDefault="00035AE9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 w:val="20"/>
              </w:rPr>
              <w:t>Normative – Other*</w:t>
            </w:r>
          </w:p>
        </w:tc>
      </w:tr>
    </w:tbl>
    <w:p w14:paraId="0421CE60" w14:textId="77777777" w:rsidR="00441406" w:rsidRDefault="00035AE9">
      <w:pPr>
        <w:ind w:right="-99"/>
        <w:rPr>
          <w:b/>
        </w:rPr>
      </w:pPr>
      <w:r>
        <w:rPr>
          <w:b/>
        </w:rPr>
        <w:t xml:space="preserve">* Other = </w:t>
      </w:r>
      <w:proofErr w:type="gramStart"/>
      <w:r>
        <w:rPr>
          <w:b/>
        </w:rPr>
        <w:t>e.g.</w:t>
      </w:r>
      <w:proofErr w:type="gramEnd"/>
      <w:r>
        <w:rPr>
          <w:b/>
        </w:rPr>
        <w:t xml:space="preserve"> testing</w:t>
      </w:r>
    </w:p>
    <w:p w14:paraId="1FF6F857" w14:textId="77777777" w:rsidR="00441406" w:rsidRDefault="00441406">
      <w:pPr>
        <w:ind w:right="-99"/>
        <w:rPr>
          <w:b/>
        </w:rPr>
      </w:pPr>
    </w:p>
    <w:p w14:paraId="60A1F5AC" w14:textId="77777777" w:rsidR="00441406" w:rsidRDefault="00035AE9">
      <w:pPr>
        <w:pStyle w:val="berschrift2"/>
        <w:keepLines/>
        <w:spacing w:before="180" w:after="180"/>
        <w:ind w:left="1134" w:right="0" w:hanging="1134"/>
        <w:rPr>
          <w:b w:val="0"/>
          <w:sz w:val="32"/>
          <w:lang w:eastAsia="ja-JP"/>
        </w:rPr>
      </w:pPr>
      <w:r>
        <w:rPr>
          <w:b w:val="0"/>
          <w:sz w:val="32"/>
          <w:lang w:eastAsia="ja-JP"/>
        </w:rPr>
        <w:t>2.2</w:t>
      </w:r>
      <w:r>
        <w:rPr>
          <w:b w:val="0"/>
          <w:sz w:val="32"/>
          <w:lang w:eastAsia="ja-JP"/>
        </w:rPr>
        <w:tab/>
        <w:t>Parent Work Item</w:t>
      </w:r>
    </w:p>
    <w:p w14:paraId="405AC00B" w14:textId="77777777" w:rsidR="00441406" w:rsidRDefault="00035AE9">
      <w:r>
        <w:t>For a brand-new topic, use “N/A” in the table below. Otherwise indicate the parent Work Item.</w:t>
      </w:r>
    </w:p>
    <w:p w14:paraId="748649CC" w14:textId="77777777" w:rsidR="00441406" w:rsidRDefault="00441406"/>
    <w:p w14:paraId="5ECA1536" w14:textId="77777777" w:rsidR="00441406" w:rsidRDefault="00035AE9">
      <w:pPr>
        <w:tabs>
          <w:tab w:val="left" w:pos="7500"/>
        </w:tabs>
      </w:pPr>
      <w:r>
        <w:tab/>
      </w:r>
    </w:p>
    <w:tbl>
      <w:tblPr>
        <w:tblW w:w="9314" w:type="dxa"/>
        <w:jc w:val="center"/>
        <w:tblLayout w:type="fixed"/>
        <w:tblLook w:val="04A0" w:firstRow="1" w:lastRow="0" w:firstColumn="1" w:lastColumn="0" w:noHBand="0" w:noVBand="1"/>
      </w:tblPr>
      <w:tblGrid>
        <w:gridCol w:w="1100"/>
        <w:gridCol w:w="1101"/>
        <w:gridCol w:w="1102"/>
        <w:gridCol w:w="6011"/>
      </w:tblGrid>
      <w:tr w:rsidR="00441406" w14:paraId="5AB6359E" w14:textId="77777777">
        <w:trPr>
          <w:cantSplit/>
          <w:jc w:val="center"/>
        </w:trPr>
        <w:tc>
          <w:tcPr>
            <w:tcW w:w="93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099CAD6F" w14:textId="77777777" w:rsidR="00441406" w:rsidRDefault="00035AE9">
            <w:pPr>
              <w:pStyle w:val="TAH"/>
              <w:ind w:right="-99"/>
              <w:jc w:val="left"/>
            </w:pPr>
            <w:r>
              <w:t xml:space="preserve">Parent Work / Study Items </w:t>
            </w:r>
          </w:p>
        </w:tc>
      </w:tr>
      <w:tr w:rsidR="00441406" w14:paraId="3B139D47" w14:textId="77777777">
        <w:trPr>
          <w:cantSplit/>
          <w:jc w:val="center"/>
        </w:trPr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1B33D461" w14:textId="77777777" w:rsidR="00441406" w:rsidRDefault="00035AE9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2E6748E2" w14:textId="77777777" w:rsidR="00441406" w:rsidRDefault="00035AE9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4B63D00E" w14:textId="77777777" w:rsidR="00441406" w:rsidRDefault="00035AE9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4F318DA4" w14:textId="77777777" w:rsidR="00441406" w:rsidRDefault="00035AE9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441406" w14:paraId="320B0151" w14:textId="77777777">
        <w:trPr>
          <w:cantSplit/>
          <w:jc w:val="center"/>
        </w:trPr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57851" w14:textId="77777777" w:rsidR="00441406" w:rsidRDefault="00035AE9">
            <w:pPr>
              <w:pStyle w:val="TAL"/>
            </w:pPr>
            <w:r>
              <w:t>N/A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65BF39" w14:textId="77777777" w:rsidR="00441406" w:rsidRDefault="00035AE9">
            <w:pPr>
              <w:pStyle w:val="TAL"/>
            </w:pPr>
            <w:r>
              <w:t>N/A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5DB06" w14:textId="77777777" w:rsidR="00441406" w:rsidRDefault="00035AE9">
            <w:pPr>
              <w:pStyle w:val="TAL"/>
            </w:pPr>
            <w:r>
              <w:t>N/A</w:t>
            </w:r>
          </w:p>
        </w:tc>
        <w:tc>
          <w:tcPr>
            <w:tcW w:w="6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075FC" w14:textId="77777777" w:rsidR="00441406" w:rsidRDefault="00035AE9">
            <w:pPr>
              <w:pStyle w:val="TAL"/>
            </w:pPr>
            <w:r>
              <w:t>N/A</w:t>
            </w:r>
          </w:p>
        </w:tc>
      </w:tr>
    </w:tbl>
    <w:p w14:paraId="6B3E3FD0" w14:textId="77777777" w:rsidR="00441406" w:rsidRDefault="00441406"/>
    <w:p w14:paraId="4E230207" w14:textId="77777777" w:rsidR="00441406" w:rsidRDefault="00035AE9">
      <w:pPr>
        <w:pStyle w:val="berschrift3"/>
        <w:keepLines/>
        <w:spacing w:before="120" w:after="180"/>
        <w:ind w:left="1134" w:hanging="1134"/>
        <w:rPr>
          <w:rFonts w:ascii="Arial" w:hAnsi="Arial"/>
          <w:sz w:val="28"/>
          <w:lang w:eastAsia="ja-JP"/>
        </w:rPr>
      </w:pPr>
      <w:r>
        <w:rPr>
          <w:rFonts w:ascii="Arial" w:hAnsi="Arial"/>
          <w:sz w:val="28"/>
          <w:lang w:eastAsia="ja-JP"/>
        </w:rPr>
        <w:lastRenderedPageBreak/>
        <w:t>2.3</w:t>
      </w:r>
      <w:r>
        <w:rPr>
          <w:rFonts w:ascii="Arial" w:hAnsi="Arial"/>
          <w:sz w:val="28"/>
          <w:lang w:eastAsia="ja-JP"/>
        </w:rPr>
        <w:tab/>
        <w:t>Other related Work Items and dependencies</w:t>
      </w:r>
    </w:p>
    <w:tbl>
      <w:tblPr>
        <w:tblW w:w="9526" w:type="dxa"/>
        <w:jc w:val="center"/>
        <w:tblLayout w:type="fixed"/>
        <w:tblLook w:val="04A0" w:firstRow="1" w:lastRow="0" w:firstColumn="1" w:lastColumn="0" w:noHBand="0" w:noVBand="1"/>
      </w:tblPr>
      <w:tblGrid>
        <w:gridCol w:w="1551"/>
        <w:gridCol w:w="2875"/>
        <w:gridCol w:w="5100"/>
      </w:tblGrid>
      <w:tr w:rsidR="00441406" w14:paraId="2EBE6739" w14:textId="77777777">
        <w:trPr>
          <w:cantSplit/>
          <w:jc w:val="center"/>
        </w:trPr>
        <w:tc>
          <w:tcPr>
            <w:tcW w:w="95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30119CF0" w14:textId="77777777" w:rsidR="00441406" w:rsidRDefault="00035AE9">
            <w:pPr>
              <w:pStyle w:val="TAH"/>
            </w:pPr>
            <w:r>
              <w:t>Other related Work /Study Items (if any)</w:t>
            </w:r>
          </w:p>
        </w:tc>
      </w:tr>
      <w:tr w:rsidR="00441406" w14:paraId="31B16209" w14:textId="77777777">
        <w:trPr>
          <w:cantSplit/>
          <w:jc w:val="center"/>
        </w:trPr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598ACCD9" w14:textId="77777777" w:rsidR="00441406" w:rsidRDefault="00035AE9">
            <w:pPr>
              <w:pStyle w:val="TAH"/>
            </w:pPr>
            <w:r>
              <w:t>Unique ID</w:t>
            </w:r>
          </w:p>
        </w:tc>
        <w:tc>
          <w:tcPr>
            <w:tcW w:w="2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3CE18430" w14:textId="77777777" w:rsidR="00441406" w:rsidRDefault="00035AE9">
            <w:pPr>
              <w:pStyle w:val="TAH"/>
            </w:pPr>
            <w:r>
              <w:t>Title</w:t>
            </w:r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3298F9BC" w14:textId="77777777" w:rsidR="00441406" w:rsidRDefault="00035AE9">
            <w:pPr>
              <w:pStyle w:val="TAH"/>
            </w:pPr>
            <w:r>
              <w:t>Nature of relationship</w:t>
            </w:r>
          </w:p>
        </w:tc>
      </w:tr>
      <w:tr w:rsidR="00441406" w14:paraId="2C30D667" w14:textId="77777777">
        <w:trPr>
          <w:cantSplit/>
          <w:jc w:val="center"/>
        </w:trPr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ACAB5" w14:textId="77777777" w:rsidR="00441406" w:rsidRDefault="00035AE9">
            <w:pPr>
              <w:pStyle w:val="TAL"/>
            </w:pPr>
            <w:r>
              <w:t>950016</w:t>
            </w:r>
          </w:p>
        </w:tc>
        <w:tc>
          <w:tcPr>
            <w:tcW w:w="2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F80FC" w14:textId="77777777" w:rsidR="00441406" w:rsidRDefault="00035AE9">
            <w:pPr>
              <w:pStyle w:val="TAL"/>
            </w:pPr>
            <w:r>
              <w:t>Security Assurance Specification (SCAS) for 5G Rel-17 Features (SCAS_5G_ph2)</w:t>
            </w:r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40782" w14:textId="77777777" w:rsidR="00441406" w:rsidRDefault="00035AE9">
            <w:pPr>
              <w:pStyle w:val="Guidance"/>
              <w:rPr>
                <w:i w:val="0"/>
              </w:rPr>
            </w:pPr>
            <w:r>
              <w:rPr>
                <w:i w:val="0"/>
              </w:rPr>
              <w:t xml:space="preserve">Baseline of </w:t>
            </w:r>
            <w:proofErr w:type="spellStart"/>
            <w:r>
              <w:rPr>
                <w:i w:val="0"/>
              </w:rPr>
              <w:t>Rel</w:t>
            </w:r>
            <w:proofErr w:type="spellEnd"/>
            <w:r>
              <w:rPr>
                <w:i w:val="0"/>
              </w:rPr>
              <w:t xml:space="preserve"> 18</w:t>
            </w:r>
          </w:p>
        </w:tc>
      </w:tr>
      <w:tr w:rsidR="00441406" w14:paraId="29F58CFA" w14:textId="77777777">
        <w:trPr>
          <w:cantSplit/>
          <w:jc w:val="center"/>
        </w:trPr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DEE87" w14:textId="77777777" w:rsidR="00441406" w:rsidRDefault="00035AE9">
            <w:pPr>
              <w:pStyle w:val="TAL"/>
            </w:pPr>
            <w:r>
              <w:t xml:space="preserve">870020 </w:t>
            </w:r>
          </w:p>
        </w:tc>
        <w:tc>
          <w:tcPr>
            <w:tcW w:w="2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D4AB54" w14:textId="77777777" w:rsidR="00441406" w:rsidRDefault="00035AE9">
            <w:pPr>
              <w:pStyle w:val="TAL"/>
            </w:pPr>
            <w:r>
              <w:t>Security Assurance Specification for 5G (eSCAS_5G)</w:t>
            </w:r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D79C7" w14:textId="77777777" w:rsidR="00441406" w:rsidRDefault="00035AE9">
            <w:pPr>
              <w:pStyle w:val="Guidance"/>
              <w:rPr>
                <w:i w:val="0"/>
              </w:rPr>
            </w:pPr>
            <w:r>
              <w:rPr>
                <w:i w:val="0"/>
              </w:rPr>
              <w:t xml:space="preserve">Baseline of </w:t>
            </w:r>
            <w:proofErr w:type="spellStart"/>
            <w:r>
              <w:rPr>
                <w:i w:val="0"/>
              </w:rPr>
              <w:t>Rel</w:t>
            </w:r>
            <w:proofErr w:type="spellEnd"/>
            <w:r>
              <w:rPr>
                <w:i w:val="0"/>
              </w:rPr>
              <w:t xml:space="preserve"> 17</w:t>
            </w:r>
          </w:p>
        </w:tc>
      </w:tr>
      <w:tr w:rsidR="00441406" w14:paraId="23EF3B33" w14:textId="77777777">
        <w:trPr>
          <w:cantSplit/>
          <w:jc w:val="center"/>
        </w:trPr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E29D0" w14:textId="77777777" w:rsidR="00441406" w:rsidRDefault="00035AE9">
            <w:pPr>
              <w:pStyle w:val="TAL"/>
            </w:pPr>
            <w:r>
              <w:t>790015</w:t>
            </w:r>
          </w:p>
        </w:tc>
        <w:tc>
          <w:tcPr>
            <w:tcW w:w="2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6E5FC" w14:textId="77777777" w:rsidR="00441406" w:rsidRDefault="00035AE9">
            <w:pPr>
              <w:pStyle w:val="TAL"/>
            </w:pPr>
            <w:r>
              <w:t>Security Assurance Specification for 5G</w:t>
            </w:r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1AAB7" w14:textId="77777777" w:rsidR="00441406" w:rsidRDefault="00035AE9">
            <w:pPr>
              <w:pStyle w:val="Guidance"/>
              <w:rPr>
                <w:i w:val="0"/>
              </w:rPr>
            </w:pPr>
            <w:r>
              <w:rPr>
                <w:i w:val="0"/>
              </w:rPr>
              <w:t xml:space="preserve">Baseline of </w:t>
            </w:r>
            <w:proofErr w:type="spellStart"/>
            <w:r>
              <w:rPr>
                <w:i w:val="0"/>
              </w:rPr>
              <w:t>Rel</w:t>
            </w:r>
            <w:proofErr w:type="spellEnd"/>
            <w:r>
              <w:rPr>
                <w:i w:val="0"/>
              </w:rPr>
              <w:t xml:space="preserve"> 16</w:t>
            </w:r>
          </w:p>
        </w:tc>
      </w:tr>
    </w:tbl>
    <w:p w14:paraId="2BBECBCD" w14:textId="77777777" w:rsidR="00441406" w:rsidRDefault="00035AE9">
      <w:pPr>
        <w:pStyle w:val="FP"/>
      </w:pPr>
      <w:r>
        <w:tab/>
      </w:r>
    </w:p>
    <w:p w14:paraId="519D3AC2" w14:textId="77777777" w:rsidR="00441406" w:rsidRDefault="00035AE9">
      <w:pPr>
        <w:pStyle w:val="berschrift1"/>
        <w:keepLines/>
        <w:pBdr>
          <w:top w:val="single" w:sz="12" w:space="3" w:color="000000"/>
        </w:pBdr>
        <w:spacing w:before="240" w:after="180"/>
        <w:ind w:left="1134" w:right="0" w:hanging="1134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3</w:t>
      </w:r>
      <w:r>
        <w:rPr>
          <w:b w:val="0"/>
          <w:sz w:val="36"/>
          <w:lang w:eastAsia="ja-JP"/>
        </w:rPr>
        <w:tab/>
        <w:t>Justification</w:t>
      </w:r>
    </w:p>
    <w:p w14:paraId="361EEB16" w14:textId="2FB87C81" w:rsidR="00CA458B" w:rsidRPr="00CA458B" w:rsidRDefault="00CA458B" w:rsidP="00CA458B">
      <w:pPr>
        <w:spacing w:before="240" w:after="240"/>
        <w:jc w:val="both"/>
        <w:rPr>
          <w:lang w:val="en-US"/>
        </w:rPr>
      </w:pPr>
      <w:r w:rsidRPr="00CA458B">
        <w:t xml:space="preserve">The Common API Framework (CAPIF) for 3GPP northbound APIs is </w:t>
      </w:r>
      <w:r w:rsidRPr="00CA458B">
        <w:rPr>
          <w:lang w:val="en-US"/>
        </w:rPr>
        <w:t>a 3GPP-defined framework that standardizes how network APIs are exposed, discovered, and consumed in mobile networks, particularly in 5G and beyond</w:t>
      </w:r>
      <w:r w:rsidR="00707AEF">
        <w:rPr>
          <w:lang w:val="en-US"/>
        </w:rPr>
        <w:t xml:space="preserve"> [3]</w:t>
      </w:r>
      <w:r w:rsidRPr="00CA458B">
        <w:rPr>
          <w:lang w:val="en-US"/>
        </w:rPr>
        <w:t xml:space="preserve">. CAPIF is </w:t>
      </w:r>
      <w:r w:rsidRPr="00CA458B">
        <w:t>designed to streamline interactions between applications, services, and 3GPP-based networks (e.g., 5G, LTE) by providing a unified approach to API management.</w:t>
      </w:r>
    </w:p>
    <w:p w14:paraId="150CC408" w14:textId="3E526BCE" w:rsidR="00157520" w:rsidRDefault="005C54A5" w:rsidP="005C54A5">
      <w:pPr>
        <w:spacing w:before="240" w:after="240"/>
        <w:jc w:val="both"/>
      </w:pPr>
      <w:r w:rsidRPr="005C54A5">
        <w:t xml:space="preserve">The present </w:t>
      </w:r>
      <w:r w:rsidR="00CA458B">
        <w:t>WID</w:t>
      </w:r>
      <w:r w:rsidRPr="005C54A5">
        <w:t xml:space="preserve"> investigates</w:t>
      </w:r>
      <w:r w:rsidR="00157520">
        <w:t xml:space="preserve"> requirements of</w:t>
      </w:r>
      <w:r w:rsidRPr="005C54A5">
        <w:t xml:space="preserve"> security and privacy impacts </w:t>
      </w:r>
      <w:r w:rsidR="00157520">
        <w:t>regarding</w:t>
      </w:r>
      <w:r w:rsidRPr="005C54A5">
        <w:t xml:space="preserve"> the procedures introduced in </w:t>
      </w:r>
      <w:r w:rsidR="00CA458B">
        <w:t xml:space="preserve">the </w:t>
      </w:r>
      <w:del w:id="4" w:author="Markus Hanhisalo" w:date="2025-11-14T13:48:00Z">
        <w:r w:rsidR="00CA458B" w:rsidDel="00D611F1">
          <w:delText>“</w:delText>
        </w:r>
        <w:r w:rsidR="00CA458B" w:rsidRPr="00CA458B" w:rsidDel="00D611F1">
          <w:delText>Study on security aspects of Common API Framework (CAPIF) Phase3</w:delText>
        </w:r>
        <w:r w:rsidR="00CA458B" w:rsidDel="00D611F1">
          <w:delText>”</w:delText>
        </w:r>
        <w:r w:rsidRPr="005C54A5" w:rsidDel="00D611F1">
          <w:delText xml:space="preserve"> </w:delText>
        </w:r>
        <w:r w:rsidR="00CA458B" w:rsidDel="00D611F1">
          <w:delText>[2]</w:delText>
        </w:r>
        <w:r w:rsidR="000D0C4A" w:rsidDel="00D611F1">
          <w:delText>,</w:delText>
        </w:r>
        <w:r w:rsidR="00CA458B" w:rsidDel="00D611F1">
          <w:delText xml:space="preserve"> </w:delText>
        </w:r>
        <w:r w:rsidR="000D0C4A" w:rsidDel="00D611F1">
          <w:delText xml:space="preserve">translated to </w:delText>
        </w:r>
        <w:r w:rsidR="00CA458B" w:rsidDel="00D611F1">
          <w:delText xml:space="preserve">the </w:delText>
        </w:r>
      </w:del>
      <w:r w:rsidR="00CA458B">
        <w:t>normative</w:t>
      </w:r>
      <w:r w:rsidR="00717C9C">
        <w:t xml:space="preserve"> specification</w:t>
      </w:r>
      <w:r w:rsidR="00157520">
        <w:t xml:space="preserve"> TS</w:t>
      </w:r>
      <w:r w:rsidR="000D0C4A">
        <w:t xml:space="preserve"> 33.122</w:t>
      </w:r>
      <w:r w:rsidR="00CA458B">
        <w:t xml:space="preserve"> “</w:t>
      </w:r>
      <w:r w:rsidR="00CA458B" w:rsidRPr="00CA458B">
        <w:t>Security aspects of Common API Framework (CAPIF) for 3GPP northbound APIs</w:t>
      </w:r>
      <w:r w:rsidR="00CA458B">
        <w:t>” [1]</w:t>
      </w:r>
      <w:r w:rsidRPr="005C54A5">
        <w:t xml:space="preserve">. </w:t>
      </w:r>
    </w:p>
    <w:p w14:paraId="66FEFE06" w14:textId="219A5B6A" w:rsidR="005C54A5" w:rsidRPr="005C54A5" w:rsidRDefault="00157520" w:rsidP="005C54A5">
      <w:pPr>
        <w:spacing w:before="240" w:after="240"/>
        <w:jc w:val="both"/>
      </w:pPr>
      <w:r>
        <w:t xml:space="preserve">The WID </w:t>
      </w:r>
      <w:r w:rsidR="006B1653">
        <w:t>aims to prepare</w:t>
      </w:r>
      <w:r>
        <w:t xml:space="preserve"> SCAS </w:t>
      </w:r>
      <w:r w:rsidR="006B1653">
        <w:t xml:space="preserve">test cases </w:t>
      </w:r>
      <w:r w:rsidR="00717C9C">
        <w:t xml:space="preserve">for the CAPIF Core Function </w:t>
      </w:r>
      <w:r w:rsidR="006B1653">
        <w:t>on the basis of</w:t>
      </w:r>
      <w:r>
        <w:t xml:space="preserve"> security aspects and requirements for </w:t>
      </w:r>
      <w:r>
        <w:rPr>
          <w:lang w:val="en-US"/>
        </w:rPr>
        <w:t>r</w:t>
      </w:r>
      <w:r w:rsidR="005C54A5" w:rsidRPr="005C54A5">
        <w:rPr>
          <w:lang w:val="en-US"/>
        </w:rPr>
        <w:t>esource owner authorizatio</w:t>
      </w:r>
      <w:r w:rsidR="006B1653">
        <w:rPr>
          <w:lang w:val="en-US"/>
        </w:rPr>
        <w:t>n</w:t>
      </w:r>
      <w:r>
        <w:rPr>
          <w:lang w:val="en-US"/>
        </w:rPr>
        <w:t xml:space="preserve">, </w:t>
      </w:r>
      <w:r w:rsidR="005C54A5" w:rsidRPr="005C54A5">
        <w:rPr>
          <w:lang w:val="en-US"/>
        </w:rPr>
        <w:t>CAPIF interconnection</w:t>
      </w:r>
      <w:r>
        <w:rPr>
          <w:lang w:val="en-US"/>
        </w:rPr>
        <w:t>,</w:t>
      </w:r>
      <w:r>
        <w:t xml:space="preserve"> </w:t>
      </w:r>
      <w:r>
        <w:rPr>
          <w:lang w:val="en-US"/>
        </w:rPr>
        <w:t>n</w:t>
      </w:r>
      <w:r w:rsidR="005C54A5" w:rsidRPr="005C54A5">
        <w:rPr>
          <w:lang w:val="en-US"/>
        </w:rPr>
        <w:t>ested API invocation</w:t>
      </w:r>
      <w:r w:rsidR="006B1653">
        <w:t xml:space="preserve"> as well as</w:t>
      </w:r>
      <w:r>
        <w:t xml:space="preserve"> </w:t>
      </w:r>
      <w:r>
        <w:rPr>
          <w:lang w:val="en-US"/>
        </w:rPr>
        <w:t>a</w:t>
      </w:r>
      <w:r w:rsidR="005C54A5" w:rsidRPr="005C54A5">
        <w:rPr>
          <w:lang w:val="en-US"/>
        </w:rPr>
        <w:t>uthentication and authorization of multiple API invokers</w:t>
      </w:r>
      <w:r>
        <w:rPr>
          <w:lang w:val="en-US"/>
        </w:rPr>
        <w:t>.</w:t>
      </w:r>
    </w:p>
    <w:p w14:paraId="64761C6B" w14:textId="426ED68F" w:rsidR="00C97979" w:rsidRPr="00C97979" w:rsidRDefault="00035AE9" w:rsidP="00C97979">
      <w:pPr>
        <w:spacing w:before="240" w:after="240"/>
        <w:jc w:val="both"/>
        <w:rPr>
          <w:lang w:val="en-US"/>
        </w:rPr>
      </w:pPr>
      <w:r>
        <w:rPr>
          <w:lang w:val="en-US"/>
        </w:rPr>
        <w:t>TS 33.</w:t>
      </w:r>
      <w:r w:rsidR="00157520">
        <w:rPr>
          <w:lang w:val="en-US"/>
        </w:rPr>
        <w:t xml:space="preserve">122 </w:t>
      </w:r>
      <w:r>
        <w:rPr>
          <w:lang w:val="en-US"/>
        </w:rPr>
        <w:t>[</w:t>
      </w:r>
      <w:r>
        <w:rPr>
          <w:rFonts w:eastAsia="SimSun"/>
          <w:lang w:val="en-US" w:eastAsia="zh-CN"/>
        </w:rPr>
        <w:t>1</w:t>
      </w:r>
      <w:r>
        <w:rPr>
          <w:lang w:val="en-US"/>
        </w:rPr>
        <w:t>] define</w:t>
      </w:r>
      <w:r>
        <w:rPr>
          <w:rFonts w:eastAsia="SimSun"/>
          <w:lang w:val="en-US" w:eastAsia="zh-CN"/>
        </w:rPr>
        <w:t>s</w:t>
      </w:r>
      <w:r>
        <w:rPr>
          <w:lang w:val="en-US"/>
        </w:rPr>
        <w:t xml:space="preserve"> several additional security mechanisms to enhance the protection</w:t>
      </w:r>
      <w:r w:rsidR="00157520">
        <w:rPr>
          <w:lang w:val="en-US"/>
        </w:rPr>
        <w:t xml:space="preserve"> </w:t>
      </w:r>
      <w:r w:rsidR="00157520" w:rsidRPr="00157520">
        <w:t xml:space="preserve">of </w:t>
      </w:r>
      <w:r w:rsidR="00157520">
        <w:t xml:space="preserve">the </w:t>
      </w:r>
      <w:r w:rsidR="00157520" w:rsidRPr="00157520">
        <w:t>Common API Framework</w:t>
      </w:r>
      <w:r w:rsidR="001C20CA">
        <w:t xml:space="preserve"> and </w:t>
      </w:r>
      <w:r w:rsidR="00047940">
        <w:t xml:space="preserve">the </w:t>
      </w:r>
      <w:r w:rsidR="001C20CA">
        <w:t>CAPIF Core Function</w:t>
      </w:r>
      <w:r>
        <w:rPr>
          <w:lang w:val="en-US"/>
        </w:rPr>
        <w:t>. For example</w:t>
      </w:r>
      <w:r w:rsidR="00C97979">
        <w:rPr>
          <w:lang w:val="en-US"/>
        </w:rPr>
        <w:t>:</w:t>
      </w:r>
    </w:p>
    <w:p w14:paraId="222D1B86" w14:textId="77777777" w:rsidR="00C97979" w:rsidRDefault="00C97979" w:rsidP="00C97979">
      <w:pPr>
        <w:numPr>
          <w:ilvl w:val="0"/>
          <w:numId w:val="3"/>
        </w:numPr>
        <w:suppressAutoHyphens w:val="0"/>
        <w:spacing w:before="240"/>
        <w:jc w:val="both"/>
      </w:pPr>
      <w:r>
        <w:t>Security procedures for onboarding and offboarding API invokers are defined.</w:t>
      </w:r>
    </w:p>
    <w:p w14:paraId="3785B7AD" w14:textId="77777777" w:rsidR="00C97979" w:rsidRDefault="00C97979" w:rsidP="00C97979">
      <w:pPr>
        <w:numPr>
          <w:ilvl w:val="0"/>
          <w:numId w:val="3"/>
        </w:numPr>
        <w:suppressAutoHyphens w:val="0"/>
        <w:jc w:val="both"/>
      </w:pPr>
      <w:r>
        <w:t>Authentication and authorization procedures are defined for API exposing functions.</w:t>
      </w:r>
    </w:p>
    <w:p w14:paraId="1FE43314" w14:textId="77777777" w:rsidR="00C97979" w:rsidRDefault="00C97979" w:rsidP="00C97979">
      <w:pPr>
        <w:numPr>
          <w:ilvl w:val="0"/>
          <w:numId w:val="3"/>
        </w:numPr>
        <w:suppressAutoHyphens w:val="0"/>
        <w:jc w:val="both"/>
      </w:pPr>
      <w:r>
        <w:t>Security procedures for Resource owner-aware northbound API access are defined.</w:t>
      </w:r>
    </w:p>
    <w:p w14:paraId="544FAFD3" w14:textId="209AA7F4" w:rsidR="00C97979" w:rsidRPr="00C97979" w:rsidRDefault="00C97979" w:rsidP="00C97979">
      <w:pPr>
        <w:numPr>
          <w:ilvl w:val="0"/>
          <w:numId w:val="3"/>
        </w:numPr>
        <w:suppressAutoHyphens w:val="0"/>
        <w:spacing w:after="240"/>
        <w:jc w:val="both"/>
      </w:pPr>
      <w:r>
        <w:t>Security procedures for CAPIF interconnection are defined.</w:t>
      </w:r>
    </w:p>
    <w:p w14:paraId="39FC0521" w14:textId="4FC7445C" w:rsidR="00441406" w:rsidRDefault="00707AEF">
      <w:pPr>
        <w:spacing w:before="240" w:after="240"/>
        <w:jc w:val="both"/>
        <w:rPr>
          <w:ins w:id="5" w:author="Gebhardt, Lisanne" w:date="2025-11-18T15:34:00Z"/>
        </w:rPr>
      </w:pPr>
      <w:r>
        <w:t xml:space="preserve">For </w:t>
      </w:r>
      <w:r w:rsidR="00035AE9">
        <w:t>that reason</w:t>
      </w:r>
      <w:r w:rsidR="001C20CA">
        <w:t>,</w:t>
      </w:r>
      <w:r w:rsidR="00035AE9">
        <w:t xml:space="preserve"> it is important to have a separate SCAS for </w:t>
      </w:r>
      <w:r w:rsidR="001C20CA">
        <w:t xml:space="preserve">the </w:t>
      </w:r>
      <w:r w:rsidR="00035AE9">
        <w:t>CAPIF</w:t>
      </w:r>
      <w:r w:rsidR="001C20CA">
        <w:t xml:space="preserve"> Core Function</w:t>
      </w:r>
      <w:r w:rsidR="00035AE9">
        <w:t xml:space="preserve"> to address possible security concerns</w:t>
      </w:r>
      <w:r>
        <w:t xml:space="preserve"> not covered in TS 33.117 [4]</w:t>
      </w:r>
      <w:r w:rsidR="00035AE9">
        <w:t>. Th</w:t>
      </w:r>
      <w:r w:rsidR="002B2379">
        <w:t>e</w:t>
      </w:r>
      <w:r w:rsidR="00035AE9">
        <w:t xml:space="preserve"> work item proposes to identify and define </w:t>
      </w:r>
      <w:r>
        <w:t xml:space="preserve">specific </w:t>
      </w:r>
      <w:r w:rsidR="00035AE9">
        <w:t xml:space="preserve">security requirements to ensure </w:t>
      </w:r>
      <w:r w:rsidR="00035AE9">
        <w:rPr>
          <w:rFonts w:eastAsia="SimSun"/>
          <w:lang w:val="en-US" w:eastAsia="zh-CN"/>
        </w:rPr>
        <w:t xml:space="preserve">the </w:t>
      </w:r>
      <w:r w:rsidR="00035AE9">
        <w:t xml:space="preserve">security of </w:t>
      </w:r>
      <w:r w:rsidR="002B2379">
        <w:t xml:space="preserve">the </w:t>
      </w:r>
      <w:r w:rsidR="002B2379" w:rsidRPr="002B2379">
        <w:t>Common API Framework (CAPIF) for 3GPP northbound APIs</w:t>
      </w:r>
      <w:r w:rsidR="00035AE9">
        <w:t>. Th</w:t>
      </w:r>
      <w:r w:rsidR="002B2379">
        <w:t>e</w:t>
      </w:r>
      <w:r w:rsidR="00035AE9">
        <w:t xml:space="preserve"> SCAS for </w:t>
      </w:r>
      <w:r w:rsidR="002B2379">
        <w:rPr>
          <w:lang w:val="en-US"/>
        </w:rPr>
        <w:t>CAPIF</w:t>
      </w:r>
      <w:r w:rsidR="00035AE9">
        <w:rPr>
          <w:lang w:val="en-US"/>
        </w:rPr>
        <w:t xml:space="preserve"> </w:t>
      </w:r>
      <w:r w:rsidR="001C20CA">
        <w:rPr>
          <w:lang w:val="en-US"/>
        </w:rPr>
        <w:t>Core Function</w:t>
      </w:r>
      <w:r w:rsidR="00444D32">
        <w:rPr>
          <w:lang w:val="en-US"/>
        </w:rPr>
        <w:t xml:space="preserve"> also</w:t>
      </w:r>
      <w:r w:rsidR="001C20CA">
        <w:rPr>
          <w:lang w:val="en-US"/>
        </w:rPr>
        <w:t xml:space="preserve"> </w:t>
      </w:r>
      <w:r>
        <w:t>aims to</w:t>
      </w:r>
      <w:r w:rsidR="00035AE9">
        <w:t xml:space="preserve"> include functional and baseline security hardening (e.g.,</w:t>
      </w:r>
      <w:r w:rsidR="00444D32">
        <w:t xml:space="preserve"> </w:t>
      </w:r>
      <w:r w:rsidR="00035AE9">
        <w:t>vulnerability) requirements for security assurance.</w:t>
      </w:r>
    </w:p>
    <w:p w14:paraId="3254BC76" w14:textId="65D29D2F" w:rsidR="00080E84" w:rsidRDefault="004833C9">
      <w:pPr>
        <w:spacing w:before="240" w:after="240"/>
        <w:jc w:val="both"/>
        <w:rPr>
          <w:ins w:id="6" w:author="Gebhardt, Lisanne" w:date="2025-11-18T16:28:00Z"/>
        </w:rPr>
      </w:pPr>
      <w:ins w:id="7" w:author="Gebhardt, Lisanne" w:date="2025-11-18T15:35:00Z">
        <w:r>
          <w:t xml:space="preserve">The </w:t>
        </w:r>
      </w:ins>
      <w:ins w:id="8" w:author="Gebhardt, Lisanne" w:date="2025-11-18T15:36:00Z">
        <w:r>
          <w:t xml:space="preserve">WID </w:t>
        </w:r>
      </w:ins>
      <w:ins w:id="9" w:author="Gebhardt, Lisanne" w:date="2025-11-18T15:44:00Z">
        <w:r w:rsidR="006145CD">
          <w:t xml:space="preserve">aims to </w:t>
        </w:r>
      </w:ins>
      <w:ins w:id="10" w:author="Gebhardt, Lisanne" w:date="2025-11-18T16:49:00Z">
        <w:r w:rsidR="0043421F">
          <w:t>cover</w:t>
        </w:r>
      </w:ins>
      <w:ins w:id="11" w:author="Gebhardt, Lisanne" w:date="2025-11-18T16:29:00Z">
        <w:r w:rsidR="00C37971">
          <w:t xml:space="preserve"> </w:t>
        </w:r>
      </w:ins>
      <w:ins w:id="12" w:author="Gebhardt, Lisanne" w:date="2025-11-18T15:48:00Z">
        <w:r w:rsidR="006145CD">
          <w:t>testcases on</w:t>
        </w:r>
      </w:ins>
      <w:ins w:id="13" w:author="Gebhardt, Lisanne" w:date="2025-11-18T15:44:00Z">
        <w:r w:rsidR="006145CD">
          <w:t xml:space="preserve"> </w:t>
        </w:r>
      </w:ins>
      <w:ins w:id="14" w:author="Gebhardt, Lisanne" w:date="2025-11-18T17:28:00Z">
        <w:r w:rsidR="00E25A29">
          <w:t xml:space="preserve">CAPIF core function </w:t>
        </w:r>
      </w:ins>
      <w:ins w:id="15" w:author="Gebhardt, Lisanne" w:date="2025-11-18T16:29:00Z">
        <w:r w:rsidR="00C37971">
          <w:t>interfaces</w:t>
        </w:r>
      </w:ins>
      <w:ins w:id="16" w:author="Gebhardt, Lisanne" w:date="2025-11-18T17:28:00Z">
        <w:r w:rsidR="00E25A29">
          <w:t xml:space="preserve">, that </w:t>
        </w:r>
      </w:ins>
      <w:ins w:id="17" w:author="Gebhardt, Lisanne" w:date="2025-11-18T20:09:00Z">
        <w:r w:rsidR="00DC3ECB">
          <w:t xml:space="preserve">may </w:t>
        </w:r>
      </w:ins>
      <w:ins w:id="18" w:author="Gebhardt, Lisanne" w:date="2025-11-18T20:07:00Z">
        <w:r w:rsidR="00DC3ECB">
          <w:t>provide security related functionality</w:t>
        </w:r>
      </w:ins>
      <w:ins w:id="19" w:author="Gebhardt, Lisanne" w:date="2025-11-18T17:29:00Z">
        <w:r w:rsidR="00E25A29">
          <w:t>.</w:t>
        </w:r>
      </w:ins>
      <w:ins w:id="20" w:author="Gebhardt, Lisanne" w:date="2025-11-18T20:07:00Z">
        <w:r w:rsidR="00DC3ECB">
          <w:t xml:space="preserve"> </w:t>
        </w:r>
      </w:ins>
      <w:ins w:id="21" w:author="Gebhardt, Lisanne" w:date="2025-11-18T17:29:00Z">
        <w:r w:rsidR="00E25A29">
          <w:t>Th</w:t>
        </w:r>
      </w:ins>
      <w:ins w:id="22" w:author="Gebhardt, Lisanne" w:date="2025-11-18T20:14:00Z">
        <w:r w:rsidR="00667F1D">
          <w:t>e following</w:t>
        </w:r>
      </w:ins>
      <w:ins w:id="23" w:author="Gebhardt, Lisanne" w:date="2025-11-18T17:29:00Z">
        <w:r w:rsidR="00E25A29">
          <w:t xml:space="preserve"> interface</w:t>
        </w:r>
      </w:ins>
      <w:ins w:id="24" w:author="Gebhardt, Lisanne" w:date="2025-11-18T17:30:00Z">
        <w:r w:rsidR="00E25A29">
          <w:t xml:space="preserve">s are </w:t>
        </w:r>
      </w:ins>
      <w:ins w:id="25" w:author="Gebhardt, Lisanne" w:date="2025-11-18T20:14:00Z">
        <w:r w:rsidR="00667F1D">
          <w:t>in scope</w:t>
        </w:r>
      </w:ins>
      <w:ins w:id="26" w:author="Gebhardt, Lisanne" w:date="2025-11-18T17:31:00Z">
        <w:r w:rsidR="00E25A29">
          <w:t>:</w:t>
        </w:r>
      </w:ins>
    </w:p>
    <w:p w14:paraId="4FB53FA8" w14:textId="63B5776C" w:rsidR="00080E84" w:rsidRDefault="00080E84" w:rsidP="00080E84">
      <w:pPr>
        <w:pStyle w:val="Listenabsatz"/>
        <w:numPr>
          <w:ilvl w:val="0"/>
          <w:numId w:val="3"/>
        </w:numPr>
        <w:spacing w:before="240" w:after="240"/>
        <w:jc w:val="both"/>
        <w:rPr>
          <w:ins w:id="27" w:author="Gebhardt, Lisanne" w:date="2025-11-18T15:57:00Z"/>
          <w:sz w:val="20"/>
          <w:szCs w:val="20"/>
          <w:lang w:val="en-GB"/>
        </w:rPr>
      </w:pPr>
      <w:ins w:id="28" w:author="Gebhardt, Lisanne" w:date="2025-11-18T16:04:00Z">
        <w:r w:rsidRPr="00080E84">
          <w:rPr>
            <w:sz w:val="20"/>
            <w:szCs w:val="20"/>
            <w:lang w:val="en-GB"/>
          </w:rPr>
          <w:t>CAPIF-1e</w:t>
        </w:r>
      </w:ins>
      <w:ins w:id="29" w:author="Gebhardt, Lisanne" w:date="2025-11-18T16:22:00Z">
        <w:r w:rsidR="004354C2">
          <w:rPr>
            <w:sz w:val="20"/>
            <w:szCs w:val="20"/>
            <w:lang w:val="en-GB"/>
          </w:rPr>
          <w:t xml:space="preserve"> and</w:t>
        </w:r>
      </w:ins>
      <w:ins w:id="30" w:author="Gebhardt, Lisanne" w:date="2025-11-18T16:04:00Z">
        <w:r w:rsidRPr="00080E84">
          <w:rPr>
            <w:sz w:val="20"/>
            <w:szCs w:val="20"/>
            <w:lang w:val="en-GB"/>
          </w:rPr>
          <w:t xml:space="preserve"> CAPIF-1 </w:t>
        </w:r>
      </w:ins>
      <w:ins w:id="31" w:author="Gebhardt, Lisanne" w:date="2025-11-18T15:50:00Z">
        <w:r w:rsidR="006145CD" w:rsidRPr="00080E84">
          <w:rPr>
            <w:sz w:val="20"/>
            <w:szCs w:val="20"/>
            <w:lang w:val="en-GB"/>
          </w:rPr>
          <w:t xml:space="preserve">to the API invoker </w:t>
        </w:r>
      </w:ins>
      <w:ins w:id="32" w:author="Gebhardt, Lisanne" w:date="2025-11-18T15:57:00Z">
        <w:r w:rsidRPr="00080E84">
          <w:rPr>
            <w:sz w:val="20"/>
            <w:szCs w:val="20"/>
            <w:lang w:val="en-GB"/>
          </w:rPr>
          <w:t>according to TS 23.222 [3]</w:t>
        </w:r>
        <w:r>
          <w:rPr>
            <w:sz w:val="20"/>
            <w:szCs w:val="20"/>
            <w:lang w:val="en-GB"/>
          </w:rPr>
          <w:t xml:space="preserve"> clause 6.2.</w:t>
        </w:r>
      </w:ins>
      <w:ins w:id="33" w:author="Gebhardt, Lisanne" w:date="2025-11-18T15:58:00Z">
        <w:r>
          <w:rPr>
            <w:sz w:val="20"/>
            <w:szCs w:val="20"/>
            <w:lang w:val="en-GB"/>
          </w:rPr>
          <w:t>0</w:t>
        </w:r>
      </w:ins>
    </w:p>
    <w:p w14:paraId="73596B0A" w14:textId="30FDD6D0" w:rsidR="00080E84" w:rsidRDefault="00080E84" w:rsidP="00080E84">
      <w:pPr>
        <w:pStyle w:val="Listenabsatz"/>
        <w:numPr>
          <w:ilvl w:val="0"/>
          <w:numId w:val="3"/>
        </w:numPr>
        <w:spacing w:before="240" w:after="240"/>
        <w:jc w:val="both"/>
        <w:rPr>
          <w:ins w:id="34" w:author="Gebhardt, Lisanne" w:date="2025-11-18T15:57:00Z"/>
          <w:sz w:val="20"/>
          <w:szCs w:val="20"/>
          <w:lang w:val="en-GB"/>
        </w:rPr>
      </w:pPr>
      <w:ins w:id="35" w:author="Gebhardt, Lisanne" w:date="2025-11-18T16:04:00Z">
        <w:r w:rsidRPr="00080E84">
          <w:rPr>
            <w:sz w:val="20"/>
            <w:szCs w:val="20"/>
            <w:lang w:val="en-GB"/>
          </w:rPr>
          <w:t>CAPIF-3, CAPIF-4</w:t>
        </w:r>
      </w:ins>
      <w:ins w:id="36" w:author="Gebhardt, Lisanne" w:date="2025-11-18T16:22:00Z">
        <w:r w:rsidR="004354C2">
          <w:rPr>
            <w:sz w:val="20"/>
            <w:szCs w:val="20"/>
            <w:lang w:val="en-GB"/>
          </w:rPr>
          <w:t xml:space="preserve"> and</w:t>
        </w:r>
      </w:ins>
      <w:ins w:id="37" w:author="Gebhardt, Lisanne" w:date="2025-11-18T16:04:00Z">
        <w:r w:rsidRPr="00080E84">
          <w:rPr>
            <w:sz w:val="20"/>
            <w:szCs w:val="20"/>
            <w:lang w:val="en-GB"/>
          </w:rPr>
          <w:t xml:space="preserve"> CAPIF-5 </w:t>
        </w:r>
      </w:ins>
      <w:ins w:id="38" w:author="Gebhardt, Lisanne" w:date="2025-11-18T15:50:00Z">
        <w:r w:rsidR="006145CD" w:rsidRPr="00080E84">
          <w:rPr>
            <w:sz w:val="20"/>
            <w:szCs w:val="20"/>
            <w:lang w:val="en-GB"/>
          </w:rPr>
          <w:t>to the API provider domain</w:t>
        </w:r>
      </w:ins>
      <w:ins w:id="39" w:author="Gebhardt, Lisanne" w:date="2025-11-18T15:45:00Z">
        <w:r w:rsidR="006145CD" w:rsidRPr="00080E84">
          <w:rPr>
            <w:sz w:val="20"/>
            <w:szCs w:val="20"/>
            <w:lang w:val="en-GB"/>
          </w:rPr>
          <w:t xml:space="preserve"> </w:t>
        </w:r>
      </w:ins>
      <w:ins w:id="40" w:author="Gebhardt, Lisanne" w:date="2025-11-18T15:52:00Z">
        <w:r w:rsidR="006145CD" w:rsidRPr="00080E84">
          <w:rPr>
            <w:sz w:val="20"/>
            <w:szCs w:val="20"/>
            <w:lang w:val="en-GB"/>
          </w:rPr>
          <w:t xml:space="preserve">within the PLMN </w:t>
        </w:r>
      </w:ins>
      <w:ins w:id="41" w:author="Gebhardt, Lisanne" w:date="2025-11-18T15:53:00Z">
        <w:r w:rsidR="006145CD" w:rsidRPr="00080E84">
          <w:rPr>
            <w:sz w:val="20"/>
            <w:szCs w:val="20"/>
            <w:lang w:val="en-GB"/>
          </w:rPr>
          <w:t xml:space="preserve">trust domain </w:t>
        </w:r>
      </w:ins>
      <w:ins w:id="42" w:author="Gebhardt, Lisanne" w:date="2025-11-18T15:58:00Z">
        <w:r w:rsidRPr="00080E84">
          <w:rPr>
            <w:sz w:val="20"/>
            <w:szCs w:val="20"/>
            <w:lang w:val="en-GB"/>
          </w:rPr>
          <w:t>according to TS 23.222 [3] clause 6.2.</w:t>
        </w:r>
        <w:r>
          <w:rPr>
            <w:sz w:val="20"/>
            <w:szCs w:val="20"/>
            <w:lang w:val="en-GB"/>
          </w:rPr>
          <w:t>0</w:t>
        </w:r>
      </w:ins>
    </w:p>
    <w:p w14:paraId="2A964D72" w14:textId="3282DE5A" w:rsidR="004833C9" w:rsidRDefault="00080E84" w:rsidP="00080E84">
      <w:pPr>
        <w:pStyle w:val="Listenabsatz"/>
        <w:numPr>
          <w:ilvl w:val="0"/>
          <w:numId w:val="3"/>
        </w:numPr>
        <w:spacing w:before="240" w:after="240"/>
        <w:jc w:val="both"/>
        <w:rPr>
          <w:ins w:id="43" w:author="Gebhardt, Lisanne" w:date="2025-11-18T16:03:00Z"/>
          <w:sz w:val="20"/>
          <w:szCs w:val="20"/>
          <w:lang w:val="en-GB"/>
        </w:rPr>
      </w:pPr>
      <w:ins w:id="44" w:author="Gebhardt, Lisanne" w:date="2025-11-18T16:04:00Z">
        <w:r w:rsidRPr="00080E84">
          <w:rPr>
            <w:sz w:val="20"/>
            <w:szCs w:val="20"/>
            <w:lang w:val="en-GB"/>
          </w:rPr>
          <w:t xml:space="preserve">CAPIF-3e, CAPIF-4e, CAPIF-5e </w:t>
        </w:r>
      </w:ins>
      <w:ins w:id="45" w:author="Gebhardt, Lisanne" w:date="2025-11-18T15:54:00Z">
        <w:r w:rsidRPr="00080E84">
          <w:rPr>
            <w:sz w:val="20"/>
            <w:szCs w:val="20"/>
            <w:lang w:val="en-GB"/>
          </w:rPr>
          <w:t>to 3</w:t>
        </w:r>
        <w:proofErr w:type="spellStart"/>
        <w:r w:rsidRPr="00080E84">
          <w:rPr>
            <w:sz w:val="20"/>
            <w:szCs w:val="20"/>
            <w:vertAlign w:val="superscript"/>
          </w:rPr>
          <w:t>rd</w:t>
        </w:r>
        <w:proofErr w:type="spellEnd"/>
        <w:r w:rsidRPr="00080E84">
          <w:rPr>
            <w:sz w:val="20"/>
            <w:szCs w:val="20"/>
            <w:lang w:val="en-GB"/>
          </w:rPr>
          <w:t xml:space="preserve"> party API providers</w:t>
        </w:r>
      </w:ins>
      <w:ins w:id="46" w:author="Gebhardt, Lisanne" w:date="2025-11-18T15:59:00Z">
        <w:r>
          <w:rPr>
            <w:sz w:val="20"/>
            <w:szCs w:val="20"/>
            <w:lang w:val="en-GB"/>
          </w:rPr>
          <w:t xml:space="preserve"> </w:t>
        </w:r>
      </w:ins>
      <w:ins w:id="47" w:author="Gebhardt, Lisanne" w:date="2025-11-18T15:58:00Z">
        <w:r w:rsidRPr="00080E84">
          <w:rPr>
            <w:sz w:val="20"/>
            <w:szCs w:val="20"/>
            <w:lang w:val="en-GB"/>
          </w:rPr>
          <w:t>according to TS 23.222 [3] clause 6.2.1</w:t>
        </w:r>
      </w:ins>
    </w:p>
    <w:p w14:paraId="3D757FFD" w14:textId="3E75CA36" w:rsidR="00C84D73" w:rsidRDefault="00C37971" w:rsidP="00C84D73">
      <w:pPr>
        <w:pStyle w:val="Listenabsatz"/>
        <w:numPr>
          <w:ilvl w:val="0"/>
          <w:numId w:val="3"/>
        </w:numPr>
        <w:spacing w:before="240" w:after="240"/>
        <w:jc w:val="both"/>
        <w:rPr>
          <w:ins w:id="48" w:author="Gebhardt, Lisanne" w:date="2025-11-18T16:09:00Z"/>
          <w:sz w:val="20"/>
          <w:szCs w:val="20"/>
          <w:lang w:val="en-GB"/>
        </w:rPr>
      </w:pPr>
      <w:ins w:id="49" w:author="Gebhardt, Lisanne" w:date="2025-11-18T16:29:00Z">
        <w:r>
          <w:rPr>
            <w:sz w:val="20"/>
            <w:szCs w:val="20"/>
            <w:lang w:val="en-GB"/>
          </w:rPr>
          <w:t xml:space="preserve">CAPIF-6 and </w:t>
        </w:r>
      </w:ins>
      <w:ins w:id="50" w:author="Gebhardt, Lisanne" w:date="2025-11-18T16:04:00Z">
        <w:r w:rsidR="00080E84">
          <w:rPr>
            <w:sz w:val="20"/>
            <w:szCs w:val="20"/>
            <w:lang w:val="en-GB"/>
          </w:rPr>
          <w:t>CAPIF-6e</w:t>
        </w:r>
      </w:ins>
      <w:ins w:id="51" w:author="Gebhardt, Lisanne" w:date="2025-11-18T16:03:00Z">
        <w:r w:rsidR="00080E84">
          <w:rPr>
            <w:sz w:val="20"/>
            <w:szCs w:val="20"/>
            <w:lang w:val="en-GB"/>
          </w:rPr>
          <w:t xml:space="preserve"> for CAPIF interconnection</w:t>
        </w:r>
      </w:ins>
      <w:ins w:id="52" w:author="Gebhardt, Lisanne" w:date="2025-11-18T16:10:00Z">
        <w:r w:rsidR="00C84D73">
          <w:rPr>
            <w:sz w:val="20"/>
            <w:szCs w:val="20"/>
            <w:lang w:val="en-GB"/>
          </w:rPr>
          <w:t xml:space="preserve"> </w:t>
        </w:r>
      </w:ins>
      <w:ins w:id="53" w:author="Gebhardt, Lisanne" w:date="2025-11-18T16:05:00Z">
        <w:r w:rsidR="00C84D73" w:rsidRPr="00C84D73">
          <w:rPr>
            <w:sz w:val="20"/>
            <w:szCs w:val="20"/>
            <w:lang w:val="en-GB"/>
          </w:rPr>
          <w:t>according to TS 23.222 [3] clause 6.2.</w:t>
        </w:r>
        <w:r w:rsidR="00C84D73">
          <w:rPr>
            <w:sz w:val="20"/>
            <w:szCs w:val="20"/>
            <w:lang w:val="en-GB"/>
          </w:rPr>
          <w:t>2</w:t>
        </w:r>
      </w:ins>
    </w:p>
    <w:p w14:paraId="6EC29771" w14:textId="7CADA7B0" w:rsidR="00080E84" w:rsidDel="00B63781" w:rsidRDefault="00C84D73" w:rsidP="004354C2">
      <w:pPr>
        <w:pStyle w:val="Listenabsatz"/>
        <w:numPr>
          <w:ilvl w:val="0"/>
          <w:numId w:val="3"/>
        </w:numPr>
        <w:spacing w:before="240" w:after="240"/>
        <w:jc w:val="both"/>
        <w:rPr>
          <w:del w:id="54" w:author="Gebhardt, Lisanne" w:date="2025-11-18T16:24:00Z"/>
          <w:sz w:val="20"/>
          <w:szCs w:val="20"/>
          <w:lang w:val="en-GB"/>
        </w:rPr>
      </w:pPr>
      <w:ins w:id="55" w:author="Gebhardt, Lisanne" w:date="2025-11-18T16:07:00Z">
        <w:r>
          <w:rPr>
            <w:sz w:val="20"/>
            <w:szCs w:val="20"/>
            <w:lang w:val="en-GB"/>
          </w:rPr>
          <w:t xml:space="preserve">CAPIF-8 </w:t>
        </w:r>
      </w:ins>
      <w:ins w:id="56" w:author="Gebhardt, Lisanne" w:date="2025-11-18T16:08:00Z">
        <w:r>
          <w:rPr>
            <w:sz w:val="20"/>
            <w:szCs w:val="20"/>
            <w:lang w:val="en-GB"/>
          </w:rPr>
          <w:t xml:space="preserve">for RNAA support according to </w:t>
        </w:r>
        <w:r w:rsidRPr="00C84D73">
          <w:rPr>
            <w:sz w:val="20"/>
            <w:szCs w:val="20"/>
            <w:lang w:val="en-GB"/>
          </w:rPr>
          <w:t>TS 23.222 [3] clause 6.2.</w:t>
        </w:r>
        <w:r>
          <w:rPr>
            <w:sz w:val="20"/>
            <w:szCs w:val="20"/>
            <w:lang w:val="en-GB"/>
          </w:rPr>
          <w:t>3</w:t>
        </w:r>
      </w:ins>
    </w:p>
    <w:p w14:paraId="2D06F410" w14:textId="1E63D48F" w:rsidR="00B63781" w:rsidRPr="00B63781" w:rsidRDefault="00B63781" w:rsidP="004354C2">
      <w:pPr>
        <w:pStyle w:val="Listenabsatz"/>
        <w:numPr>
          <w:ilvl w:val="0"/>
          <w:numId w:val="3"/>
        </w:numPr>
        <w:spacing w:before="240" w:after="240"/>
        <w:jc w:val="both"/>
        <w:rPr>
          <w:ins w:id="57" w:author="Gebhardt, Lisanne" w:date="2025-11-18T16:41:00Z"/>
          <w:sz w:val="20"/>
          <w:szCs w:val="20"/>
          <w:lang w:val="en-GB"/>
        </w:rPr>
      </w:pPr>
      <w:ins w:id="58" w:author="Gebhardt, Lisanne" w:date="2025-11-18T16:41:00Z">
        <w:r w:rsidRPr="00B63781">
          <w:rPr>
            <w:sz w:val="20"/>
            <w:szCs w:val="20"/>
            <w:lang w:val="en-GB"/>
          </w:rPr>
          <w:t>If a deployment within a single</w:t>
        </w:r>
        <w:r>
          <w:rPr>
            <w:sz w:val="20"/>
            <w:szCs w:val="20"/>
            <w:lang w:val="en-GB"/>
          </w:rPr>
          <w:t xml:space="preserve"> NF is chosen, </w:t>
        </w:r>
      </w:ins>
      <w:ins w:id="59" w:author="Gebhardt, Lisanne" w:date="2025-11-18T16:42:00Z">
        <w:r>
          <w:rPr>
            <w:sz w:val="20"/>
            <w:szCs w:val="20"/>
            <w:lang w:val="en-GB"/>
          </w:rPr>
          <w:t>some interfaces are considered NF-internal, therefor</w:t>
        </w:r>
      </w:ins>
      <w:ins w:id="60" w:author="Gebhardt, Lisanne" w:date="2025-11-18T16:43:00Z">
        <w:r>
          <w:rPr>
            <w:sz w:val="20"/>
            <w:szCs w:val="20"/>
            <w:lang w:val="en-GB"/>
          </w:rPr>
          <w:t xml:space="preserve">e </w:t>
        </w:r>
      </w:ins>
      <w:ins w:id="61" w:author="Gebhardt, Lisanne" w:date="2025-11-18T20:06:00Z">
        <w:r w:rsidR="00DC3ECB">
          <w:rPr>
            <w:sz w:val="20"/>
            <w:szCs w:val="20"/>
            <w:lang w:val="en-GB"/>
          </w:rPr>
          <w:t>(non-)</w:t>
        </w:r>
      </w:ins>
      <w:ins w:id="62" w:author="Gebhardt, Lisanne" w:date="2025-11-18T16:43:00Z">
        <w:r w:rsidRPr="00B63781">
          <w:rPr>
            <w:sz w:val="20"/>
            <w:szCs w:val="20"/>
            <w:lang w:val="en-GB"/>
          </w:rPr>
          <w:t>applicability is marked in the regarding test cases</w:t>
        </w:r>
        <w:r>
          <w:rPr>
            <w:sz w:val="20"/>
            <w:szCs w:val="20"/>
            <w:lang w:val="en-GB"/>
          </w:rPr>
          <w:t>.</w:t>
        </w:r>
      </w:ins>
      <w:ins w:id="63" w:author="Gebhardt, Lisanne" w:date="2025-11-18T16:42:00Z">
        <w:r>
          <w:rPr>
            <w:sz w:val="20"/>
            <w:szCs w:val="20"/>
            <w:lang w:val="en-GB"/>
          </w:rPr>
          <w:t xml:space="preserve"> </w:t>
        </w:r>
      </w:ins>
      <w:proofErr w:type="gramStart"/>
      <w:ins w:id="64" w:author="Gebhardt, Lisanne" w:date="2025-11-18T16:43:00Z">
        <w:r>
          <w:rPr>
            <w:sz w:val="20"/>
            <w:szCs w:val="20"/>
            <w:lang w:val="en-GB"/>
          </w:rPr>
          <w:t>E</w:t>
        </w:r>
      </w:ins>
      <w:ins w:id="65" w:author="Gebhardt, Lisanne" w:date="2025-11-18T16:41:00Z">
        <w:r>
          <w:rPr>
            <w:sz w:val="20"/>
            <w:szCs w:val="20"/>
            <w:lang w:val="en-GB"/>
          </w:rPr>
          <w:t>.g.</w:t>
        </w:r>
        <w:proofErr w:type="gramEnd"/>
        <w:r w:rsidRPr="00B63781">
          <w:rPr>
            <w:sz w:val="20"/>
            <w:szCs w:val="20"/>
            <w:lang w:val="en-GB"/>
          </w:rPr>
          <w:t xml:space="preserve"> </w:t>
        </w:r>
      </w:ins>
      <w:ins w:id="66" w:author="Gebhardt, Lisanne" w:date="2025-11-18T16:43:00Z">
        <w:r>
          <w:rPr>
            <w:sz w:val="20"/>
            <w:szCs w:val="20"/>
            <w:lang w:val="en-GB"/>
          </w:rPr>
          <w:t>in a deployment within a</w:t>
        </w:r>
      </w:ins>
      <w:ins w:id="67" w:author="Gebhardt, Lisanne" w:date="2025-11-18T16:41:00Z">
        <w:r>
          <w:rPr>
            <w:sz w:val="20"/>
            <w:szCs w:val="20"/>
            <w:lang w:val="en-GB"/>
          </w:rPr>
          <w:t xml:space="preserve"> single </w:t>
        </w:r>
        <w:r w:rsidRPr="00B63781">
          <w:rPr>
            <w:sz w:val="20"/>
            <w:szCs w:val="20"/>
            <w:lang w:val="en-GB"/>
          </w:rPr>
          <w:t>NEF as in TS 23.222 [3] Annex B.2.2.2, the interfaces CAPIF-3, CAPIF-4 and CAPIF-5 are considered NF-internal</w:t>
        </w:r>
      </w:ins>
      <w:ins w:id="68" w:author="Gebhardt, Lisanne" w:date="2025-11-18T16:46:00Z">
        <w:r w:rsidR="0043421F">
          <w:rPr>
            <w:sz w:val="20"/>
            <w:szCs w:val="20"/>
            <w:lang w:val="en-GB"/>
          </w:rPr>
          <w:t xml:space="preserve"> an</w:t>
        </w:r>
      </w:ins>
      <w:ins w:id="69" w:author="Gebhardt, Lisanne" w:date="2025-11-18T16:47:00Z">
        <w:r w:rsidR="0043421F">
          <w:rPr>
            <w:sz w:val="20"/>
            <w:szCs w:val="20"/>
            <w:lang w:val="en-GB"/>
          </w:rPr>
          <w:t>d therefore related test cases do not apply</w:t>
        </w:r>
      </w:ins>
      <w:ins w:id="70" w:author="Gebhardt, Lisanne" w:date="2025-11-18T16:43:00Z">
        <w:r>
          <w:rPr>
            <w:sz w:val="20"/>
            <w:szCs w:val="20"/>
            <w:lang w:val="en-GB"/>
          </w:rPr>
          <w:t>.</w:t>
        </w:r>
      </w:ins>
    </w:p>
    <w:p w14:paraId="145DA6F2" w14:textId="38C54E2A" w:rsidR="00441406" w:rsidRDefault="00035AE9" w:rsidP="006D65DC">
      <w:pPr>
        <w:rPr>
          <w:lang w:eastAsia="zh-CN"/>
        </w:rPr>
      </w:pPr>
      <w:r>
        <w:t>[</w:t>
      </w:r>
      <w:r>
        <w:rPr>
          <w:rFonts w:eastAsia="SimSun"/>
          <w:lang w:val="en-US" w:eastAsia="zh-CN"/>
        </w:rPr>
        <w:t>1</w:t>
      </w:r>
      <w:r>
        <w:t xml:space="preserve">]          TS </w:t>
      </w:r>
      <w:r>
        <w:rPr>
          <w:lang w:val="en-US"/>
        </w:rPr>
        <w:t>3</w:t>
      </w:r>
      <w:r>
        <w:t>3.</w:t>
      </w:r>
      <w:r w:rsidR="006D65DC">
        <w:t>122</w:t>
      </w:r>
      <w:r>
        <w:t>, “</w:t>
      </w:r>
      <w:r w:rsidR="006D65DC">
        <w:rPr>
          <w:lang w:eastAsia="zh-CN"/>
        </w:rPr>
        <w:t>Security aspects of Common API Framework (CAPIF) for 3GPP northbound APIs</w:t>
      </w:r>
      <w:r>
        <w:t>”, Release 1</w:t>
      </w:r>
      <w:r>
        <w:rPr>
          <w:lang w:val="en-US"/>
        </w:rPr>
        <w:t>9</w:t>
      </w:r>
    </w:p>
    <w:p w14:paraId="67DA513A" w14:textId="02AC8311" w:rsidR="00441406" w:rsidRDefault="00035AE9">
      <w:r>
        <w:t>[</w:t>
      </w:r>
      <w:r>
        <w:rPr>
          <w:rFonts w:eastAsia="SimSun"/>
          <w:lang w:val="en-US" w:eastAsia="zh-CN"/>
        </w:rPr>
        <w:t>2</w:t>
      </w:r>
      <w:r>
        <w:t>]</w:t>
      </w:r>
      <w:r>
        <w:tab/>
      </w:r>
      <w:del w:id="71" w:author="Markus Hanhisalo" w:date="2025-11-14T13:53:00Z">
        <w:r w:rsidDel="00A61614">
          <w:delText>T</w:delText>
        </w:r>
        <w:r w:rsidR="006D65DC" w:rsidDel="00A61614">
          <w:delText>R</w:delText>
        </w:r>
        <w:r w:rsidDel="00A61614">
          <w:delText xml:space="preserve"> 33.</w:delText>
        </w:r>
        <w:r w:rsidR="006D65DC" w:rsidDel="00A61614">
          <w:rPr>
            <w:lang w:val="en-US"/>
          </w:rPr>
          <w:delText>700-22</w:delText>
        </w:r>
        <w:r w:rsidDel="00A61614">
          <w:delText>, “</w:delText>
        </w:r>
        <w:r w:rsidR="006D65DC" w:rsidRPr="006D65DC" w:rsidDel="00A61614">
          <w:delText>Study on security aspects of Common API Framework (CAPIF) Phase3</w:delText>
        </w:r>
        <w:r w:rsidDel="00A61614">
          <w:delText>”, Release 1</w:delText>
        </w:r>
        <w:r w:rsidDel="00A61614">
          <w:rPr>
            <w:lang w:val="en-US"/>
          </w:rPr>
          <w:delText>9</w:delText>
        </w:r>
        <w:r w:rsidDel="00A61614">
          <w:delText xml:space="preserve"> </w:delText>
        </w:r>
      </w:del>
      <w:ins w:id="72" w:author="Markus Hanhisalo" w:date="2025-11-14T13:53:00Z">
        <w:r w:rsidR="00A61614">
          <w:t>Void</w:t>
        </w:r>
      </w:ins>
    </w:p>
    <w:p w14:paraId="3D7BAC7A" w14:textId="52330136" w:rsidR="002B2379" w:rsidRDefault="002B2379">
      <w:r>
        <w:t>[3]</w:t>
      </w:r>
      <w:r>
        <w:tab/>
      </w:r>
      <w:r w:rsidRPr="002B2379">
        <w:t>TS 23.222</w:t>
      </w:r>
      <w:r>
        <w:t>,</w:t>
      </w:r>
      <w:r w:rsidRPr="002B2379">
        <w:t xml:space="preserve"> "Common API Framework for 3GPP Northbound APIs"</w:t>
      </w:r>
      <w:r>
        <w:t>, Release 19</w:t>
      </w:r>
    </w:p>
    <w:p w14:paraId="09C26071" w14:textId="11AC3D86" w:rsidR="00707AEF" w:rsidRDefault="00707AEF">
      <w:r>
        <w:t>[4]</w:t>
      </w:r>
      <w:r>
        <w:tab/>
        <w:t xml:space="preserve">TS 33.117, </w:t>
      </w:r>
      <w:r w:rsidR="00FB7976">
        <w:t>“</w:t>
      </w:r>
      <w:r w:rsidR="00FB7976" w:rsidRPr="00FB7976">
        <w:t>Catalogue of general security assurance requirements</w:t>
      </w:r>
      <w:r w:rsidR="00FB7976">
        <w:t xml:space="preserve">”, </w:t>
      </w:r>
      <w:r w:rsidR="00FB7976" w:rsidRPr="00FB7976">
        <w:t>Release 19</w:t>
      </w:r>
    </w:p>
    <w:p w14:paraId="4E2C3697" w14:textId="66A42909" w:rsidR="00441406" w:rsidRPr="00AE445D" w:rsidRDefault="00972AB1">
      <w:r>
        <w:t>[5]</w:t>
      </w:r>
      <w:r>
        <w:tab/>
        <w:t>TR 33.926, “</w:t>
      </w:r>
      <w:r w:rsidR="000B5B25" w:rsidRPr="000B5B25">
        <w:t>Security Assurance Specification (SCAS) threats and critical assets in 3GPP network product classes</w:t>
      </w:r>
      <w:r>
        <w:t>”</w:t>
      </w:r>
      <w:r w:rsidR="000B5B25">
        <w:t>, Release 19</w:t>
      </w:r>
    </w:p>
    <w:p w14:paraId="11371DA5" w14:textId="77777777" w:rsidR="00441406" w:rsidRDefault="00035AE9">
      <w:pPr>
        <w:pStyle w:val="berschrift1"/>
        <w:keepLines/>
        <w:pBdr>
          <w:top w:val="single" w:sz="12" w:space="3" w:color="000000"/>
        </w:pBdr>
        <w:spacing w:before="240" w:after="180"/>
        <w:ind w:left="1134" w:right="0" w:hanging="1134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4</w:t>
      </w:r>
      <w:r>
        <w:rPr>
          <w:b w:val="0"/>
          <w:sz w:val="36"/>
          <w:lang w:eastAsia="ja-JP"/>
        </w:rPr>
        <w:tab/>
        <w:t>Objective</w:t>
      </w:r>
    </w:p>
    <w:p w14:paraId="0A78EDCE" w14:textId="34625847" w:rsidR="00441406" w:rsidRDefault="00035AE9">
      <w:pPr>
        <w:spacing w:after="180"/>
        <w:ind w:right="-99"/>
        <w:rPr>
          <w:color w:val="000000"/>
          <w:lang w:eastAsia="ja-JP"/>
        </w:rPr>
      </w:pPr>
      <w:r>
        <w:rPr>
          <w:color w:val="000000"/>
          <w:lang w:eastAsia="ja-JP"/>
        </w:rPr>
        <w:t xml:space="preserve">The objective is to develop </w:t>
      </w:r>
      <w:r>
        <w:rPr>
          <w:color w:val="000000"/>
          <w:lang w:eastAsia="zh-CN"/>
        </w:rPr>
        <w:t>the</w:t>
      </w:r>
      <w:r>
        <w:rPr>
          <w:color w:val="000000"/>
          <w:lang w:eastAsia="ja-JP"/>
        </w:rPr>
        <w:t xml:space="preserve"> S</w:t>
      </w:r>
      <w:r>
        <w:rPr>
          <w:color w:val="000000"/>
          <w:lang w:eastAsia="zh-CN"/>
        </w:rPr>
        <w:t>C</w:t>
      </w:r>
      <w:r>
        <w:rPr>
          <w:color w:val="000000"/>
          <w:lang w:eastAsia="ja-JP"/>
        </w:rPr>
        <w:t xml:space="preserve">AS for the </w:t>
      </w:r>
      <w:r w:rsidR="0062624C">
        <w:t>CAPIF</w:t>
      </w:r>
      <w:r>
        <w:rPr>
          <w:color w:val="000000"/>
          <w:lang w:eastAsia="zh-CN"/>
        </w:rPr>
        <w:t xml:space="preserve"> </w:t>
      </w:r>
      <w:bookmarkStart w:id="73" w:name="OLE_LINK68"/>
      <w:r w:rsidR="00080691">
        <w:rPr>
          <w:color w:val="000000"/>
          <w:lang w:eastAsia="zh-CN"/>
        </w:rPr>
        <w:t xml:space="preserve">Core Function </w:t>
      </w:r>
      <w:r>
        <w:rPr>
          <w:color w:val="000000"/>
          <w:lang w:eastAsia="zh-CN"/>
        </w:rPr>
        <w:t>network product class</w:t>
      </w:r>
      <w:r>
        <w:rPr>
          <w:color w:val="000000"/>
          <w:lang w:eastAsia="ja-JP"/>
        </w:rPr>
        <w:t>, with the aim to:</w:t>
      </w:r>
    </w:p>
    <w:p w14:paraId="5C47A76A" w14:textId="6DE7E0E1" w:rsidR="00441406" w:rsidRDefault="00035AE9">
      <w:pPr>
        <w:spacing w:after="180"/>
        <w:ind w:left="568" w:hanging="284"/>
        <w:rPr>
          <w:color w:val="000000"/>
          <w:lang w:val="en-US" w:eastAsia="ja-JP"/>
        </w:rPr>
      </w:pPr>
      <w:r>
        <w:rPr>
          <w:color w:val="000000"/>
          <w:lang w:eastAsia="ja-JP"/>
        </w:rPr>
        <w:lastRenderedPageBreak/>
        <w:t>-</w:t>
      </w:r>
      <w:r>
        <w:rPr>
          <w:color w:val="000000"/>
          <w:lang w:eastAsia="ja-JP"/>
        </w:rPr>
        <w:tab/>
      </w:r>
      <w:r>
        <w:rPr>
          <w:rFonts w:eastAsia="SimSun"/>
          <w:color w:val="000000"/>
          <w:lang w:val="en-US" w:eastAsia="zh-CN"/>
        </w:rPr>
        <w:t>WT1: I</w:t>
      </w:r>
      <w:proofErr w:type="spellStart"/>
      <w:r>
        <w:rPr>
          <w:color w:val="000000"/>
          <w:lang w:eastAsia="ja-JP"/>
        </w:rPr>
        <w:t>dentify</w:t>
      </w:r>
      <w:proofErr w:type="spellEnd"/>
      <w:r>
        <w:rPr>
          <w:color w:val="000000"/>
          <w:lang w:eastAsia="ja-JP"/>
        </w:rPr>
        <w:t xml:space="preserve"> critical assets and threats of </w:t>
      </w:r>
      <w:r w:rsidR="0062624C">
        <w:rPr>
          <w:color w:val="000000"/>
          <w:lang w:eastAsia="ja-JP"/>
        </w:rPr>
        <w:t>the CAPIF</w:t>
      </w:r>
      <w:r>
        <w:rPr>
          <w:color w:val="000000"/>
          <w:lang w:eastAsia="zh-CN"/>
        </w:rPr>
        <w:t xml:space="preserve"> </w:t>
      </w:r>
      <w:r w:rsidR="0062624C">
        <w:rPr>
          <w:color w:val="000000"/>
          <w:lang w:eastAsia="zh-CN"/>
        </w:rPr>
        <w:t xml:space="preserve">Core </w:t>
      </w:r>
      <w:del w:id="74" w:author="Gebhardt, Lisanne" w:date="2025-11-18T00:58:00Z">
        <w:r w:rsidR="0062624C" w:rsidDel="00F952D8">
          <w:rPr>
            <w:color w:val="000000"/>
            <w:lang w:eastAsia="zh-CN"/>
          </w:rPr>
          <w:delText xml:space="preserve">NF </w:delText>
        </w:r>
      </w:del>
      <w:ins w:id="75" w:author="Gebhardt, Lisanne" w:date="2025-11-18T00:58:00Z">
        <w:r w:rsidR="00F952D8">
          <w:rPr>
            <w:color w:val="000000"/>
            <w:lang w:eastAsia="zh-CN"/>
          </w:rPr>
          <w:t xml:space="preserve">Function </w:t>
        </w:r>
      </w:ins>
      <w:r>
        <w:rPr>
          <w:color w:val="000000"/>
          <w:lang w:eastAsia="zh-CN"/>
        </w:rPr>
        <w:t xml:space="preserve">not already </w:t>
      </w:r>
      <w:r>
        <w:rPr>
          <w:color w:val="000000"/>
          <w:lang w:val="en-US" w:eastAsia="zh-CN"/>
        </w:rPr>
        <w:t>covered</w:t>
      </w:r>
      <w:r>
        <w:rPr>
          <w:color w:val="000000"/>
          <w:lang w:eastAsia="zh-CN"/>
        </w:rPr>
        <w:t xml:space="preserve"> in </w:t>
      </w:r>
      <w:r>
        <w:t>T</w:t>
      </w:r>
      <w:r w:rsidR="00972AB1">
        <w:t>R</w:t>
      </w:r>
      <w:r>
        <w:t xml:space="preserve"> 33.</w:t>
      </w:r>
      <w:r w:rsidR="00972AB1">
        <w:rPr>
          <w:lang w:val="en-US"/>
        </w:rPr>
        <w:t>926</w:t>
      </w:r>
      <w:r w:rsidR="0062624C">
        <w:rPr>
          <w:lang w:val="en-US"/>
        </w:rPr>
        <w:t xml:space="preserve"> [</w:t>
      </w:r>
      <w:r w:rsidR="00972AB1">
        <w:rPr>
          <w:lang w:val="en-US"/>
        </w:rPr>
        <w:t>5</w:t>
      </w:r>
      <w:r w:rsidR="0062624C">
        <w:rPr>
          <w:lang w:val="en-US"/>
        </w:rPr>
        <w:t>]</w:t>
      </w:r>
      <w:r w:rsidR="000B5B25">
        <w:rPr>
          <w:lang w:val="en-US"/>
        </w:rPr>
        <w:t>.</w:t>
      </w:r>
    </w:p>
    <w:p w14:paraId="2DF69C60" w14:textId="317DD7F7" w:rsidR="00441406" w:rsidRPr="00972AB1" w:rsidRDefault="00035AE9" w:rsidP="00972AB1">
      <w:pPr>
        <w:spacing w:after="180"/>
        <w:ind w:left="568" w:hanging="284"/>
        <w:rPr>
          <w:color w:val="000000"/>
          <w:lang w:eastAsia="zh-CN"/>
        </w:rPr>
      </w:pPr>
      <w:r>
        <w:rPr>
          <w:color w:val="000000"/>
          <w:lang w:eastAsia="ja-JP"/>
        </w:rPr>
        <w:t>-</w:t>
      </w:r>
      <w:r>
        <w:rPr>
          <w:color w:val="000000"/>
          <w:lang w:eastAsia="ja-JP"/>
        </w:rPr>
        <w:tab/>
      </w:r>
      <w:bookmarkStart w:id="76" w:name="OLE_LINK243"/>
      <w:bookmarkStart w:id="77" w:name="OLE_LINK244"/>
      <w:r>
        <w:rPr>
          <w:rFonts w:eastAsia="SimSun"/>
          <w:color w:val="000000"/>
          <w:lang w:val="en-US" w:eastAsia="zh-CN"/>
        </w:rPr>
        <w:t xml:space="preserve">WT2: </w:t>
      </w:r>
      <w:r>
        <w:rPr>
          <w:color w:val="000000"/>
          <w:lang w:val="en-US" w:eastAsia="ja-JP"/>
        </w:rPr>
        <w:t>D</w:t>
      </w:r>
      <w:proofErr w:type="spellStart"/>
      <w:r>
        <w:rPr>
          <w:color w:val="000000"/>
          <w:lang w:eastAsia="ja-JP"/>
        </w:rPr>
        <w:t>evelop</w:t>
      </w:r>
      <w:bookmarkEnd w:id="76"/>
      <w:bookmarkEnd w:id="77"/>
      <w:proofErr w:type="spellEnd"/>
      <w:r>
        <w:rPr>
          <w:lang w:val="en-US"/>
        </w:rPr>
        <w:t xml:space="preserve"> </w:t>
      </w:r>
      <w:r>
        <w:rPr>
          <w:color w:val="000000"/>
          <w:lang w:eastAsia="ja-JP"/>
        </w:rPr>
        <w:t>specific security functional</w:t>
      </w:r>
      <w:r>
        <w:rPr>
          <w:rFonts w:eastAsia="SimSun"/>
          <w:color w:val="000000"/>
          <w:lang w:val="en-US" w:eastAsia="zh-CN"/>
        </w:rPr>
        <w:t>, hardening</w:t>
      </w:r>
      <w:r w:rsidR="0085483B">
        <w:rPr>
          <w:rFonts w:eastAsia="SimSun"/>
          <w:color w:val="000000"/>
          <w:lang w:val="en-US" w:eastAsia="zh-CN"/>
        </w:rPr>
        <w:t>,</w:t>
      </w:r>
      <w:r>
        <w:rPr>
          <w:rFonts w:eastAsia="SimSun"/>
          <w:color w:val="000000"/>
          <w:lang w:val="en-US" w:eastAsia="zh-CN"/>
        </w:rPr>
        <w:t xml:space="preserve"> and </w:t>
      </w:r>
      <w:r>
        <w:rPr>
          <w:color w:val="000000"/>
          <w:lang w:eastAsia="ja-JP"/>
        </w:rPr>
        <w:t>vulnerability testing requirements and related test cases</w:t>
      </w:r>
      <w:r w:rsidR="0062624C">
        <w:rPr>
          <w:color w:val="000000"/>
          <w:lang w:eastAsia="ja-JP"/>
        </w:rPr>
        <w:t>.</w:t>
      </w:r>
      <w:r>
        <w:rPr>
          <w:color w:val="000000"/>
          <w:lang w:eastAsia="ja-JP"/>
        </w:rPr>
        <w:t xml:space="preserve"> </w:t>
      </w:r>
      <w:bookmarkEnd w:id="73"/>
    </w:p>
    <w:tbl>
      <w:tblPr>
        <w:tblW w:w="9183" w:type="dxa"/>
        <w:tblInd w:w="-116" w:type="dxa"/>
        <w:tblLayout w:type="fixed"/>
        <w:tblLook w:val="04A0" w:firstRow="1" w:lastRow="0" w:firstColumn="1" w:lastColumn="0" w:noHBand="0" w:noVBand="1"/>
      </w:tblPr>
      <w:tblGrid>
        <w:gridCol w:w="1150"/>
        <w:gridCol w:w="1655"/>
        <w:gridCol w:w="1701"/>
        <w:gridCol w:w="1700"/>
        <w:gridCol w:w="2977"/>
      </w:tblGrid>
      <w:tr w:rsidR="00441406" w14:paraId="31E467A5" w14:textId="77777777"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9C99E" w14:textId="77777777" w:rsidR="00441406" w:rsidRDefault="00035AE9">
            <w:r>
              <w:t>Work Task ID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89BD4" w14:textId="77777777" w:rsidR="00441406" w:rsidRDefault="00035AE9">
            <w:r>
              <w:t>TU Estimate</w:t>
            </w:r>
          </w:p>
          <w:p w14:paraId="791EB6EE" w14:textId="77777777" w:rsidR="00441406" w:rsidRDefault="00035AE9">
            <w:r>
              <w:t>(Study)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CBB07" w14:textId="77777777" w:rsidR="00441406" w:rsidRDefault="00035AE9">
            <w:r>
              <w:t>TU Estimate</w:t>
            </w:r>
          </w:p>
          <w:p w14:paraId="427FCB0B" w14:textId="77777777" w:rsidR="00441406" w:rsidRDefault="00035AE9">
            <w:r>
              <w:t>(Normative)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D341F" w14:textId="77777777" w:rsidR="00441406" w:rsidRDefault="00035AE9">
            <w:r>
              <w:t>RAN Dependency</w:t>
            </w:r>
          </w:p>
          <w:p w14:paraId="18E55BE9" w14:textId="77777777" w:rsidR="00441406" w:rsidRDefault="00035AE9">
            <w:r>
              <w:t xml:space="preserve">(Yes/No/Maybe)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3BA89" w14:textId="77777777" w:rsidR="00441406" w:rsidRDefault="00035AE9">
            <w:r>
              <w:t xml:space="preserve">Inter Work Tasks Dependency </w:t>
            </w:r>
          </w:p>
          <w:p w14:paraId="5417D8C9" w14:textId="77777777" w:rsidR="00441406" w:rsidRDefault="00441406"/>
        </w:tc>
      </w:tr>
      <w:tr w:rsidR="00441406" w14:paraId="76287ABB" w14:textId="77777777"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8E981" w14:textId="77777777" w:rsidR="00441406" w:rsidRDefault="00035AE9">
            <w:r>
              <w:t>1.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2B50F" w14:textId="77777777" w:rsidR="00441406" w:rsidRDefault="00035AE9">
            <w:r>
              <w:rPr>
                <w:rFonts w:eastAsia="SimSun"/>
                <w:lang w:eastAsia="zh-CN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8C6F6" w14:textId="36F17588" w:rsidR="00441406" w:rsidRDefault="008F0DA5">
            <w:ins w:id="78" w:author="Gebhardt, Lisanne" w:date="2025-11-18T19:50:00Z">
              <w:r>
                <w:rPr>
                  <w:rFonts w:eastAsia="SimSun"/>
                  <w:lang w:val="en-US" w:eastAsia="zh-CN"/>
                </w:rPr>
                <w:t>1</w:t>
              </w:r>
            </w:ins>
            <w:del w:id="79" w:author="Gebhardt, Lisanne" w:date="2025-11-18T19:50:00Z">
              <w:r w:rsidR="00035AE9" w:rsidDel="008F0DA5">
                <w:rPr>
                  <w:rFonts w:eastAsia="SimSun"/>
                  <w:lang w:val="en-US" w:eastAsia="zh-CN"/>
                </w:rPr>
                <w:delText>0.5</w:delText>
              </w:r>
            </w:del>
            <w:r w:rsidR="00035AE9">
              <w:t xml:space="preserve"> TU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57BEC" w14:textId="3EFE669A" w:rsidR="00441406" w:rsidRDefault="0062624C">
            <w:pPr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FDB30" w14:textId="77777777" w:rsidR="00441406" w:rsidRDefault="00441406"/>
        </w:tc>
      </w:tr>
      <w:tr w:rsidR="00441406" w14:paraId="0B8A7F65" w14:textId="77777777"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93DEA" w14:textId="77777777" w:rsidR="00441406" w:rsidRDefault="00035AE9">
            <w:r>
              <w:t>2.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8F5BA" w14:textId="77777777" w:rsidR="00441406" w:rsidRDefault="00035AE9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val="en-US" w:eastAsia="zh-CN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7B17E" w14:textId="6836A384" w:rsidR="00441406" w:rsidRDefault="008F0DA5">
            <w:ins w:id="80" w:author="Gebhardt, Lisanne" w:date="2025-11-18T19:50:00Z">
              <w:r>
                <w:rPr>
                  <w:rFonts w:eastAsia="SimSun"/>
                  <w:lang w:val="en-US" w:eastAsia="zh-CN"/>
                </w:rPr>
                <w:t>1</w:t>
              </w:r>
            </w:ins>
            <w:del w:id="81" w:author="Gebhardt, Lisanne" w:date="2025-11-18T19:50:00Z">
              <w:r w:rsidR="0062624C" w:rsidDel="008F0DA5">
                <w:rPr>
                  <w:rFonts w:eastAsia="SimSun"/>
                  <w:lang w:val="en-US" w:eastAsia="zh-CN"/>
                </w:rPr>
                <w:delText>0.5</w:delText>
              </w:r>
            </w:del>
            <w:r w:rsidR="00035AE9">
              <w:t xml:space="preserve"> TU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10F36" w14:textId="582867CA" w:rsidR="00441406" w:rsidRDefault="0062624C">
            <w:pPr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13566" w14:textId="77777777" w:rsidR="00441406" w:rsidRDefault="00441406"/>
        </w:tc>
      </w:tr>
      <w:tr w:rsidR="00441406" w14:paraId="123F120A" w14:textId="77777777"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60A66" w14:textId="77777777" w:rsidR="00441406" w:rsidRDefault="00441406"/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9DA8D" w14:textId="77777777" w:rsidR="00441406" w:rsidRDefault="00441406">
            <w:pPr>
              <w:rPr>
                <w:rFonts w:eastAsia="SimSun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2117C" w14:textId="77777777" w:rsidR="00441406" w:rsidRDefault="00441406"/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5C014" w14:textId="77777777" w:rsidR="00441406" w:rsidRDefault="00441406">
            <w:pPr>
              <w:rPr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686D4" w14:textId="77777777" w:rsidR="00441406" w:rsidRDefault="00441406"/>
        </w:tc>
      </w:tr>
    </w:tbl>
    <w:p w14:paraId="18A3C4C2" w14:textId="77777777" w:rsidR="00441406" w:rsidRDefault="00441406"/>
    <w:p w14:paraId="5DBFF6A7" w14:textId="7B2CCBAC" w:rsidR="00441406" w:rsidRDefault="00035AE9">
      <w:r>
        <w:t xml:space="preserve">Total TU estimates for the normative phase: </w:t>
      </w:r>
      <w:r>
        <w:rPr>
          <w:rFonts w:eastAsia="SimSun"/>
          <w:lang w:val="en-US" w:eastAsia="zh-CN"/>
        </w:rPr>
        <w:t>1</w:t>
      </w:r>
      <w:r w:rsidR="00525161">
        <w:rPr>
          <w:rFonts w:eastAsia="SimSun"/>
          <w:lang w:val="en-US" w:eastAsia="zh-CN"/>
        </w:rPr>
        <w:t>.0</w:t>
      </w:r>
      <w:r>
        <w:t xml:space="preserve"> TU </w:t>
      </w:r>
    </w:p>
    <w:p w14:paraId="7A0ABE42" w14:textId="4E6C8C2D" w:rsidR="00441406" w:rsidRPr="00972AB1" w:rsidRDefault="00035AE9" w:rsidP="00972AB1">
      <w:r>
        <w:t xml:space="preserve">Total TU estimates: </w:t>
      </w:r>
      <w:r>
        <w:rPr>
          <w:rFonts w:eastAsia="SimSun"/>
          <w:lang w:val="en-US" w:eastAsia="zh-CN"/>
        </w:rPr>
        <w:t>1.</w:t>
      </w:r>
      <w:r w:rsidR="00525161">
        <w:rPr>
          <w:rFonts w:eastAsia="SimSun"/>
          <w:lang w:val="en-US" w:eastAsia="zh-CN"/>
        </w:rPr>
        <w:t>0</w:t>
      </w:r>
    </w:p>
    <w:p w14:paraId="0931F473" w14:textId="77777777" w:rsidR="00441406" w:rsidRDefault="00035AE9">
      <w:pPr>
        <w:pStyle w:val="berschrift1"/>
        <w:keepLines/>
        <w:pBdr>
          <w:top w:val="single" w:sz="12" w:space="3" w:color="000000"/>
        </w:pBdr>
        <w:spacing w:before="240" w:after="180"/>
        <w:ind w:left="1134" w:right="0" w:hanging="1134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5</w:t>
      </w:r>
      <w:r>
        <w:rPr>
          <w:b w:val="0"/>
          <w:sz w:val="36"/>
          <w:lang w:eastAsia="ja-JP"/>
        </w:rPr>
        <w:tab/>
        <w:t>Expected Output and Time scale</w:t>
      </w:r>
    </w:p>
    <w:p w14:paraId="5C7B86AA" w14:textId="77777777" w:rsidR="00441406" w:rsidRDefault="00441406"/>
    <w:tbl>
      <w:tblPr>
        <w:tblW w:w="9413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18"/>
        <w:gridCol w:w="1134"/>
        <w:gridCol w:w="2409"/>
        <w:gridCol w:w="1223"/>
        <w:gridCol w:w="1454"/>
        <w:gridCol w:w="1575"/>
      </w:tblGrid>
      <w:tr w:rsidR="00441406" w14:paraId="72DBAA46" w14:textId="77777777">
        <w:trPr>
          <w:cantSplit/>
          <w:jc w:val="center"/>
        </w:trPr>
        <w:tc>
          <w:tcPr>
            <w:tcW w:w="94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EA0C04" w14:textId="77777777" w:rsidR="00441406" w:rsidRDefault="00035AE9">
            <w:pPr>
              <w:pStyle w:val="TAH"/>
            </w:pPr>
            <w:r>
              <w:t xml:space="preserve">New specifications </w:t>
            </w:r>
          </w:p>
        </w:tc>
      </w:tr>
      <w:tr w:rsidR="00441406" w14:paraId="71D17AE9" w14:textId="77777777">
        <w:trPr>
          <w:cantSplit/>
          <w:jc w:val="center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02041CD" w14:textId="77777777" w:rsidR="00441406" w:rsidRDefault="00035AE9">
            <w:pPr>
              <w:pStyle w:val="TAH"/>
            </w:pPr>
            <w:r>
              <w:t xml:space="preserve">Type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08957C6" w14:textId="77777777" w:rsidR="00441406" w:rsidRDefault="00035AE9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FF91BF9" w14:textId="77777777" w:rsidR="00441406" w:rsidRDefault="00035AE9">
            <w:pPr>
              <w:pStyle w:val="TAH"/>
            </w:pPr>
            <w:r>
              <w:t>Title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2B2FF84" w14:textId="77777777" w:rsidR="00441406" w:rsidRDefault="00035AE9">
            <w:pPr>
              <w:pStyle w:val="TAH"/>
            </w:pPr>
            <w:r>
              <w:t xml:space="preserve">For info </w:t>
            </w:r>
            <w:r>
              <w:br/>
              <w:t xml:space="preserve">at TSG#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013F8C" w14:textId="77777777" w:rsidR="00441406" w:rsidRDefault="00035AE9">
            <w:pPr>
              <w:pStyle w:val="TAH"/>
            </w:pPr>
            <w:r>
              <w:t>For approval at TSG#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2EFBA78" w14:textId="77777777" w:rsidR="00441406" w:rsidRDefault="00035AE9">
            <w:pPr>
              <w:pStyle w:val="TAH"/>
            </w:pPr>
            <w:r>
              <w:t>Rapporteur</w:t>
            </w:r>
          </w:p>
        </w:tc>
      </w:tr>
      <w:tr w:rsidR="00441406" w:rsidRPr="00DC601C" w14:paraId="217ABBF2" w14:textId="77777777">
        <w:trPr>
          <w:cantSplit/>
          <w:jc w:val="center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C653D73" w14:textId="77777777" w:rsidR="00441406" w:rsidRDefault="00035AE9">
            <w:pPr>
              <w:pStyle w:val="Guidance"/>
              <w:spacing w:after="0"/>
              <w:rPr>
                <w:i w:val="0"/>
              </w:rPr>
            </w:pPr>
            <w:r>
              <w:rPr>
                <w:i w:val="0"/>
              </w:rPr>
              <w:t>TS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2F3218C" w14:textId="77777777" w:rsidR="00441406" w:rsidRDefault="00035AE9">
            <w:pPr>
              <w:pStyle w:val="Guidance"/>
              <w:spacing w:after="0"/>
              <w:rPr>
                <w:i w:val="0"/>
              </w:rPr>
            </w:pPr>
            <w:r>
              <w:rPr>
                <w:i w:val="0"/>
              </w:rPr>
              <w:t>33.xxx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5AB73F" w14:textId="47C6EBBD" w:rsidR="00441406" w:rsidRDefault="00035AE9">
            <w:pPr>
              <w:pStyle w:val="Guidance"/>
              <w:spacing w:after="0"/>
              <w:rPr>
                <w:i w:val="0"/>
              </w:rPr>
            </w:pPr>
            <w:r>
              <w:rPr>
                <w:i w:val="0"/>
                <w:lang w:eastAsia="zh-CN"/>
              </w:rPr>
              <w:t>Security Assurance Specification (SCAS) for</w:t>
            </w:r>
            <w:r>
              <w:rPr>
                <w:i w:val="0"/>
                <w:lang w:val="en-US" w:eastAsia="zh-CN"/>
              </w:rPr>
              <w:t xml:space="preserve"> </w:t>
            </w:r>
            <w:r w:rsidR="00525161">
              <w:rPr>
                <w:i w:val="0"/>
                <w:lang w:val="en-US" w:eastAsia="zh-CN"/>
              </w:rPr>
              <w:t>CAPIF</w:t>
            </w:r>
            <w:r w:rsidR="007A4B35">
              <w:rPr>
                <w:i w:val="0"/>
                <w:lang w:val="en-US" w:eastAsia="zh-CN"/>
              </w:rPr>
              <w:t xml:space="preserve"> Core </w:t>
            </w:r>
            <w:r w:rsidR="00DC601C">
              <w:rPr>
                <w:i w:val="0"/>
                <w:lang w:val="en-US" w:eastAsia="zh-CN"/>
              </w:rPr>
              <w:t>Function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34DF5B" w14:textId="77777777" w:rsidR="00441406" w:rsidRDefault="00035AE9">
            <w:pPr>
              <w:pStyle w:val="Guidance"/>
            </w:pPr>
            <w:r>
              <w:t>TSG#111</w:t>
            </w:r>
          </w:p>
          <w:p w14:paraId="12695604" w14:textId="77777777" w:rsidR="00441406" w:rsidRDefault="00035AE9">
            <w:pPr>
              <w:pStyle w:val="Guidance"/>
              <w:spacing w:after="0"/>
              <w:rPr>
                <w:i w:val="0"/>
              </w:rPr>
            </w:pPr>
            <w:r>
              <w:rPr>
                <w:i w:val="0"/>
                <w:iCs/>
              </w:rPr>
              <w:t>(Mar 2026)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159484" w14:textId="77777777" w:rsidR="00441406" w:rsidRDefault="00035AE9">
            <w:pPr>
              <w:pStyle w:val="Guidance"/>
            </w:pPr>
            <w:r>
              <w:t>TSG#112</w:t>
            </w:r>
          </w:p>
          <w:p w14:paraId="4CEF8D94" w14:textId="77777777" w:rsidR="00441406" w:rsidRDefault="00035AE9">
            <w:pPr>
              <w:pStyle w:val="Guidance"/>
              <w:spacing w:after="0"/>
              <w:rPr>
                <w:i w:val="0"/>
              </w:rPr>
            </w:pPr>
            <w:r>
              <w:rPr>
                <w:i w:val="0"/>
                <w:iCs/>
              </w:rPr>
              <w:t>(Jun 2026)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CCE793C" w14:textId="77777777" w:rsidR="00DC601C" w:rsidRDefault="00DC601C">
            <w:pPr>
              <w:pStyle w:val="Guidance"/>
              <w:spacing w:after="0"/>
              <w:rPr>
                <w:i w:val="0"/>
              </w:rPr>
            </w:pPr>
            <w:r>
              <w:rPr>
                <w:i w:val="0"/>
              </w:rPr>
              <w:t>Joerg Andreas</w:t>
            </w:r>
          </w:p>
          <w:p w14:paraId="1D1749E6" w14:textId="456320D3" w:rsidR="00DC601C" w:rsidRPr="00DC601C" w:rsidRDefault="00DC601C">
            <w:pPr>
              <w:pStyle w:val="Guidance"/>
              <w:spacing w:after="0"/>
              <w:rPr>
                <w:i w:val="0"/>
              </w:rPr>
            </w:pPr>
            <w:r>
              <w:rPr>
                <w:i w:val="0"/>
              </w:rPr>
              <w:t>(BSI DE)</w:t>
            </w:r>
          </w:p>
        </w:tc>
      </w:tr>
    </w:tbl>
    <w:p w14:paraId="7C890003" w14:textId="77777777" w:rsidR="00441406" w:rsidRPr="00DC601C" w:rsidRDefault="00441406"/>
    <w:tbl>
      <w:tblPr>
        <w:tblW w:w="9307" w:type="dxa"/>
        <w:jc w:val="center"/>
        <w:tblLayout w:type="fixed"/>
        <w:tblLook w:val="04A0" w:firstRow="1" w:lastRow="0" w:firstColumn="1" w:lastColumn="0" w:noHBand="0" w:noVBand="1"/>
      </w:tblPr>
      <w:tblGrid>
        <w:gridCol w:w="1446"/>
        <w:gridCol w:w="4343"/>
        <w:gridCol w:w="1418"/>
        <w:gridCol w:w="2100"/>
      </w:tblGrid>
      <w:tr w:rsidR="00441406" w14:paraId="5A16BBFF" w14:textId="77777777">
        <w:trPr>
          <w:cantSplit/>
          <w:jc w:val="center"/>
        </w:trPr>
        <w:tc>
          <w:tcPr>
            <w:tcW w:w="93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2ED26FC6" w14:textId="77777777" w:rsidR="00441406" w:rsidRDefault="00035AE9">
            <w:pPr>
              <w:pStyle w:val="TAH"/>
            </w:pPr>
            <w:r>
              <w:t xml:space="preserve">Impacted existing TS/TR </w:t>
            </w:r>
          </w:p>
        </w:tc>
      </w:tr>
      <w:tr w:rsidR="00441406" w14:paraId="4D34F34F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353700E6" w14:textId="77777777" w:rsidR="00441406" w:rsidRDefault="00035AE9">
            <w:pPr>
              <w:pStyle w:val="TAH"/>
            </w:pPr>
            <w:r>
              <w:t>TS/TR No.</w:t>
            </w: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1A2A5A8A" w14:textId="77777777" w:rsidR="00441406" w:rsidRDefault="00035AE9">
            <w:pPr>
              <w:pStyle w:val="TAH"/>
            </w:pPr>
            <w:r>
              <w:t xml:space="preserve">Description of change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65E01195" w14:textId="77777777" w:rsidR="00441406" w:rsidRDefault="00035AE9">
            <w:pPr>
              <w:pStyle w:val="TAH"/>
            </w:pPr>
            <w:r>
              <w:t>Target completion plenary#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600F7CD5" w14:textId="77777777" w:rsidR="00441406" w:rsidRDefault="00035AE9">
            <w:pPr>
              <w:pStyle w:val="TAH"/>
            </w:pPr>
            <w:r>
              <w:t>Remarks</w:t>
            </w:r>
          </w:p>
        </w:tc>
      </w:tr>
      <w:tr w:rsidR="00441406" w14:paraId="78B1F702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7082D" w14:textId="77777777" w:rsidR="00441406" w:rsidRDefault="00035AE9">
            <w:pPr>
              <w:pStyle w:val="Guidance"/>
              <w:spacing w:after="0"/>
              <w:rPr>
                <w:rFonts w:eastAsia="SimSun"/>
                <w:i w:val="0"/>
                <w:iCs/>
                <w:lang w:val="en-US" w:eastAsia="zh-CN"/>
              </w:rPr>
            </w:pPr>
            <w:r>
              <w:rPr>
                <w:rFonts w:eastAsia="SimSun"/>
                <w:i w:val="0"/>
                <w:iCs/>
                <w:lang w:val="en-US" w:eastAsia="zh-CN"/>
              </w:rPr>
              <w:t>TR 33.926</w:t>
            </w: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15E19" w14:textId="77777777" w:rsidR="00441406" w:rsidRDefault="00035AE9">
            <w:pPr>
              <w:pStyle w:val="Guidance"/>
              <w:spacing w:after="0"/>
              <w:rPr>
                <w:rFonts w:eastAsia="SimSun"/>
                <w:i w:val="0"/>
                <w:iCs/>
                <w:lang w:val="en-US" w:eastAsia="zh-CN"/>
              </w:rPr>
            </w:pPr>
            <w:r>
              <w:rPr>
                <w:rFonts w:eastAsia="SimSun"/>
                <w:i w:val="0"/>
                <w:iCs/>
                <w:lang w:val="en-US" w:eastAsia="zh-CN"/>
              </w:rPr>
              <w:t>Security Assurance Specification (SCAS) threats and critical assets in 3GPP network product classes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39DF5" w14:textId="77777777" w:rsidR="00441406" w:rsidRDefault="00035AE9">
            <w:pPr>
              <w:pStyle w:val="Guidance"/>
              <w:spacing w:after="0"/>
              <w:rPr>
                <w:rFonts w:eastAsia="SimSun"/>
                <w:lang w:eastAsia="zh-CN"/>
              </w:rPr>
            </w:pPr>
            <w:r>
              <w:t>TSG#11</w:t>
            </w:r>
            <w:r>
              <w:rPr>
                <w:rFonts w:eastAsia="SimSun"/>
                <w:lang w:val="en-US" w:eastAsia="zh-CN"/>
              </w:rPr>
              <w:t>2</w:t>
            </w:r>
          </w:p>
          <w:p w14:paraId="337F6E50" w14:textId="77777777" w:rsidR="00441406" w:rsidRDefault="00035AE9">
            <w:pPr>
              <w:pStyle w:val="Guidance"/>
              <w:spacing w:after="0"/>
              <w:rPr>
                <w:rFonts w:eastAsia="SimSun"/>
                <w:lang w:val="en-US" w:eastAsia="zh-CN"/>
              </w:rPr>
            </w:pPr>
            <w:r>
              <w:t>(</w:t>
            </w:r>
            <w:r>
              <w:rPr>
                <w:rFonts w:eastAsia="SimSun"/>
                <w:lang w:val="en-US" w:eastAsia="zh-CN"/>
              </w:rPr>
              <w:t>Jun</w:t>
            </w:r>
          </w:p>
          <w:p w14:paraId="3AB7B048" w14:textId="77777777" w:rsidR="00441406" w:rsidRDefault="00035AE9">
            <w:pPr>
              <w:pStyle w:val="Guidance"/>
              <w:spacing w:after="0"/>
            </w:pPr>
            <w:r>
              <w:t xml:space="preserve"> 2026)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27CFE" w14:textId="77777777" w:rsidR="00441406" w:rsidRDefault="00441406">
            <w:pPr>
              <w:pStyle w:val="Guidance"/>
              <w:spacing w:after="0"/>
              <w:rPr>
                <w:i w:val="0"/>
                <w:iCs/>
              </w:rPr>
            </w:pPr>
          </w:p>
        </w:tc>
      </w:tr>
    </w:tbl>
    <w:p w14:paraId="5E5E06A7" w14:textId="77777777" w:rsidR="00441406" w:rsidRDefault="00441406"/>
    <w:p w14:paraId="5832297B" w14:textId="77777777" w:rsidR="00441406" w:rsidRDefault="00035AE9">
      <w:pPr>
        <w:pStyle w:val="berschrift1"/>
        <w:keepLines/>
        <w:pBdr>
          <w:top w:val="single" w:sz="12" w:space="3" w:color="000000"/>
        </w:pBdr>
        <w:spacing w:before="240" w:after="180"/>
        <w:ind w:left="1134" w:right="0" w:hanging="1134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6</w:t>
      </w:r>
      <w:r>
        <w:rPr>
          <w:b w:val="0"/>
          <w:sz w:val="36"/>
          <w:lang w:eastAsia="ja-JP"/>
        </w:rPr>
        <w:tab/>
        <w:t>Work item Rapporteur(s)</w:t>
      </w:r>
    </w:p>
    <w:p w14:paraId="176E3458" w14:textId="77777777" w:rsidR="00441406" w:rsidRDefault="00035AE9">
      <w:pPr>
        <w:rPr>
          <w:lang w:val="en-US"/>
        </w:rPr>
      </w:pPr>
      <w:r>
        <w:rPr>
          <w:lang w:val="en-US"/>
        </w:rPr>
        <w:t>TBD</w:t>
      </w:r>
    </w:p>
    <w:p w14:paraId="79DAD394" w14:textId="77777777" w:rsidR="00441406" w:rsidRDefault="00035AE9">
      <w:pPr>
        <w:pStyle w:val="berschrift1"/>
        <w:keepLines/>
        <w:pBdr>
          <w:top w:val="single" w:sz="12" w:space="3" w:color="000000"/>
        </w:pBdr>
        <w:spacing w:before="240" w:after="180"/>
        <w:ind w:left="1134" w:right="0" w:hanging="1134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7</w:t>
      </w:r>
      <w:r>
        <w:rPr>
          <w:b w:val="0"/>
          <w:sz w:val="36"/>
          <w:lang w:eastAsia="ja-JP"/>
        </w:rPr>
        <w:tab/>
        <w:t>Work item leadership</w:t>
      </w:r>
    </w:p>
    <w:p w14:paraId="5AF3DD22" w14:textId="77777777" w:rsidR="00441406" w:rsidRDefault="00035AE9">
      <w:pPr>
        <w:pStyle w:val="Guidance"/>
        <w:rPr>
          <w:i w:val="0"/>
        </w:rPr>
      </w:pPr>
      <w:r>
        <w:rPr>
          <w:i w:val="0"/>
        </w:rPr>
        <w:t>SA3</w:t>
      </w:r>
    </w:p>
    <w:p w14:paraId="587751AB" w14:textId="77777777" w:rsidR="00441406" w:rsidRDefault="00035AE9">
      <w:pPr>
        <w:pStyle w:val="berschrift1"/>
        <w:keepLines/>
        <w:pBdr>
          <w:top w:val="single" w:sz="12" w:space="3" w:color="000000"/>
        </w:pBdr>
        <w:spacing w:before="240" w:after="180"/>
        <w:ind w:left="1134" w:right="0" w:hanging="1134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8</w:t>
      </w:r>
      <w:r>
        <w:rPr>
          <w:b w:val="0"/>
          <w:sz w:val="36"/>
          <w:lang w:eastAsia="ja-JP"/>
        </w:rPr>
        <w:tab/>
        <w:t>Aspects that involve other WGs</w:t>
      </w:r>
    </w:p>
    <w:p w14:paraId="7484F1AC" w14:textId="77777777" w:rsidR="00441406" w:rsidRDefault="00035AE9">
      <w:pPr>
        <w:pStyle w:val="Guidance"/>
        <w:rPr>
          <w:i w:val="0"/>
        </w:rPr>
      </w:pPr>
      <w:r>
        <w:rPr>
          <w:i w:val="0"/>
        </w:rPr>
        <w:t>None</w:t>
      </w:r>
    </w:p>
    <w:p w14:paraId="2B384A8C" w14:textId="77777777" w:rsidR="00441406" w:rsidRDefault="00035AE9">
      <w:pPr>
        <w:pStyle w:val="berschrift1"/>
        <w:keepLines/>
        <w:pBdr>
          <w:top w:val="single" w:sz="12" w:space="3" w:color="000000"/>
        </w:pBdr>
        <w:spacing w:before="240" w:after="180"/>
        <w:ind w:left="1134" w:right="0" w:hanging="1134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9</w:t>
      </w:r>
      <w:r>
        <w:rPr>
          <w:b w:val="0"/>
          <w:sz w:val="36"/>
          <w:lang w:eastAsia="ja-JP"/>
        </w:rPr>
        <w:tab/>
        <w:t>Supporting Individual Members</w:t>
      </w:r>
    </w:p>
    <w:tbl>
      <w:tblPr>
        <w:tblW w:w="5029" w:type="dxa"/>
        <w:jc w:val="center"/>
        <w:tblLayout w:type="fixed"/>
        <w:tblLook w:val="04A0" w:firstRow="1" w:lastRow="0" w:firstColumn="1" w:lastColumn="0" w:noHBand="0" w:noVBand="1"/>
      </w:tblPr>
      <w:tblGrid>
        <w:gridCol w:w="5029"/>
      </w:tblGrid>
      <w:tr w:rsidR="00441406" w14:paraId="2D9B9B46" w14:textId="77777777">
        <w:trPr>
          <w:cantSplit/>
          <w:jc w:val="center"/>
        </w:trPr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2990A877" w14:textId="77777777" w:rsidR="00441406" w:rsidRDefault="00035AE9">
            <w:pPr>
              <w:pStyle w:val="TAH"/>
            </w:pPr>
            <w:r>
              <w:t>Supporting IM name</w:t>
            </w:r>
          </w:p>
        </w:tc>
      </w:tr>
      <w:tr w:rsidR="00441406" w14:paraId="3BA21E92" w14:textId="77777777">
        <w:trPr>
          <w:cantSplit/>
          <w:jc w:val="center"/>
        </w:trPr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08F31" w14:textId="3162201F" w:rsidR="00441406" w:rsidRDefault="00525161">
            <w:pPr>
              <w:pStyle w:val="TAL"/>
            </w:pPr>
            <w:r>
              <w:rPr>
                <w:lang w:val="en-US"/>
              </w:rPr>
              <w:t>BSI (DE)</w:t>
            </w:r>
          </w:p>
        </w:tc>
      </w:tr>
      <w:tr w:rsidR="00441406" w14:paraId="0344E480" w14:textId="77777777">
        <w:trPr>
          <w:cantSplit/>
          <w:jc w:val="center"/>
        </w:trPr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BA3B9" w14:textId="7B1C65F2" w:rsidR="00441406" w:rsidRDefault="00525161">
            <w:pPr>
              <w:pStyle w:val="TAL"/>
              <w:rPr>
                <w:rFonts w:eastAsia="SimSun"/>
                <w:lang w:val="en-US" w:eastAsia="zh-CN"/>
              </w:rPr>
            </w:pPr>
            <w:proofErr w:type="spellStart"/>
            <w:r>
              <w:rPr>
                <w:rFonts w:eastAsia="SimSun"/>
                <w:lang w:val="en-US" w:eastAsia="zh-CN"/>
              </w:rPr>
              <w:t>Montsecure</w:t>
            </w:r>
            <w:proofErr w:type="spellEnd"/>
          </w:p>
        </w:tc>
      </w:tr>
      <w:tr w:rsidR="0099069A" w14:paraId="643BFE25" w14:textId="77777777">
        <w:trPr>
          <w:cantSplit/>
          <w:jc w:val="center"/>
        </w:trPr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65E4A" w14:textId="00AFCEBF" w:rsidR="0099069A" w:rsidRDefault="00D76712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Deutsche Telekom</w:t>
            </w:r>
          </w:p>
        </w:tc>
      </w:tr>
      <w:tr w:rsidR="0099069A" w14:paraId="69CE72C7" w14:textId="77777777">
        <w:trPr>
          <w:cantSplit/>
          <w:jc w:val="center"/>
        </w:trPr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84CFE" w14:textId="0444564F" w:rsidR="0099069A" w:rsidRDefault="00B863BC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MITRE</w:t>
            </w:r>
          </w:p>
        </w:tc>
      </w:tr>
      <w:tr w:rsidR="0099069A" w14:paraId="52FAADDA" w14:textId="77777777">
        <w:trPr>
          <w:cantSplit/>
          <w:jc w:val="center"/>
        </w:trPr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B8ADA" w14:textId="6EFB29FB" w:rsidR="0099069A" w:rsidRDefault="0057082D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IITB</w:t>
            </w:r>
          </w:p>
        </w:tc>
      </w:tr>
      <w:tr w:rsidR="0099069A" w14:paraId="0C1D093B" w14:textId="77777777">
        <w:trPr>
          <w:cantSplit/>
          <w:jc w:val="center"/>
        </w:trPr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1FBFF" w14:textId="3ADE599A" w:rsidR="0099069A" w:rsidRDefault="00913B3B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BMWE</w:t>
            </w:r>
          </w:p>
        </w:tc>
      </w:tr>
      <w:tr w:rsidR="001305AA" w14:paraId="5B6C4C44" w14:textId="77777777">
        <w:trPr>
          <w:cantSplit/>
          <w:jc w:val="center"/>
        </w:trPr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999C0" w14:textId="28B7542B" w:rsidR="001305AA" w:rsidRDefault="001305AA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Keysight</w:t>
            </w:r>
          </w:p>
        </w:tc>
      </w:tr>
    </w:tbl>
    <w:p w14:paraId="439E8EBD" w14:textId="77777777" w:rsidR="00441406" w:rsidRDefault="00441406"/>
    <w:p w14:paraId="34D6CA84" w14:textId="77777777" w:rsidR="00441406" w:rsidRDefault="00441406"/>
    <w:p w14:paraId="2F240C56" w14:textId="77777777" w:rsidR="00441406" w:rsidRDefault="00441406"/>
    <w:sectPr w:rsidR="00441406">
      <w:pgSz w:w="11906" w:h="16838"/>
      <w:pgMar w:top="567" w:right="1134" w:bottom="709" w:left="1134" w:header="0" w:footer="0" w:gutter="0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Nirmala UI"/>
    <w:charset w:val="00"/>
    <w:family w:val="swiss"/>
    <w:pitch w:val="variable"/>
    <w:sig w:usb0="80008023" w:usb1="00002046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90260"/>
    <w:multiLevelType w:val="multilevel"/>
    <w:tmpl w:val="73A03DC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B6D5544"/>
    <w:multiLevelType w:val="hybridMultilevel"/>
    <w:tmpl w:val="9C84151E"/>
    <w:lvl w:ilvl="0" w:tplc="5D1A21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AE51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C650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3200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60A5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B43E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8AEA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8A5B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3C46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6B416E69"/>
    <w:multiLevelType w:val="hybridMultilevel"/>
    <w:tmpl w:val="E048E3F0"/>
    <w:lvl w:ilvl="0" w:tplc="E9166D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3A05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2A70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3A9C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5094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9E19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D458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320F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8A94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rkus Hanhisalo">
    <w15:presenceInfo w15:providerId="AD" w15:userId="S::markus.hanhisalo@ericsson.com::3fac1a05-ff88-4763-9603-9cf633b621c5"/>
  </w15:person>
  <w15:person w15:author="Gebhardt, Lisanne">
    <w15:presenceInfo w15:providerId="AD" w15:userId="S-1-5-21-2867061767-3104177520-1701363861-9043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trackRevisions/>
  <w:defaultTabStop w:val="720"/>
  <w:autoHyphenation/>
  <w:hyphenationZone w:val="425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406"/>
    <w:rsid w:val="00035AE9"/>
    <w:rsid w:val="00047940"/>
    <w:rsid w:val="00080691"/>
    <w:rsid w:val="00080E84"/>
    <w:rsid w:val="000B5B25"/>
    <w:rsid w:val="000D0C4A"/>
    <w:rsid w:val="00101A44"/>
    <w:rsid w:val="001305AA"/>
    <w:rsid w:val="00157520"/>
    <w:rsid w:val="001C20CA"/>
    <w:rsid w:val="001C6C69"/>
    <w:rsid w:val="002B2379"/>
    <w:rsid w:val="00351D0B"/>
    <w:rsid w:val="00366A33"/>
    <w:rsid w:val="0043421F"/>
    <w:rsid w:val="004354C2"/>
    <w:rsid w:val="00441406"/>
    <w:rsid w:val="00444D32"/>
    <w:rsid w:val="004833C9"/>
    <w:rsid w:val="004D25E7"/>
    <w:rsid w:val="00525161"/>
    <w:rsid w:val="005522FA"/>
    <w:rsid w:val="0057082D"/>
    <w:rsid w:val="005C2BA8"/>
    <w:rsid w:val="005C54A5"/>
    <w:rsid w:val="006145CD"/>
    <w:rsid w:val="0062624C"/>
    <w:rsid w:val="00667F1D"/>
    <w:rsid w:val="006B1653"/>
    <w:rsid w:val="006D65DC"/>
    <w:rsid w:val="00707AEF"/>
    <w:rsid w:val="00717C9C"/>
    <w:rsid w:val="00734B86"/>
    <w:rsid w:val="007A4B35"/>
    <w:rsid w:val="007E1299"/>
    <w:rsid w:val="0085483B"/>
    <w:rsid w:val="00871622"/>
    <w:rsid w:val="008F0DA5"/>
    <w:rsid w:val="00913B3B"/>
    <w:rsid w:val="00972AB1"/>
    <w:rsid w:val="0099069A"/>
    <w:rsid w:val="009D0C7B"/>
    <w:rsid w:val="00A50AEE"/>
    <w:rsid w:val="00A61614"/>
    <w:rsid w:val="00AA769A"/>
    <w:rsid w:val="00AE445D"/>
    <w:rsid w:val="00B63781"/>
    <w:rsid w:val="00B67357"/>
    <w:rsid w:val="00B863BC"/>
    <w:rsid w:val="00C112A8"/>
    <w:rsid w:val="00C37971"/>
    <w:rsid w:val="00C84D73"/>
    <w:rsid w:val="00C97979"/>
    <w:rsid w:val="00CA458B"/>
    <w:rsid w:val="00D45060"/>
    <w:rsid w:val="00D611F1"/>
    <w:rsid w:val="00D65EED"/>
    <w:rsid w:val="00D76712"/>
    <w:rsid w:val="00DC3ECB"/>
    <w:rsid w:val="00DC601C"/>
    <w:rsid w:val="00E25A29"/>
    <w:rsid w:val="00E73FE8"/>
    <w:rsid w:val="00F460EA"/>
    <w:rsid w:val="00F952D8"/>
    <w:rsid w:val="00FB7976"/>
    <w:rsid w:val="00FC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88DCC"/>
  <w15:docId w15:val="{79AD128B-F854-49B6-ABF5-9499D3BD7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unhideWhenUsed="1" w:qFormat="1"/>
    <w:lsdException w:name="heading 9" w:semiHidden="1" w:unhideWhenUsed="1" w:qFormat="1"/>
    <w:lsdException w:name="index 1" w:semiHidden="1" w:qFormat="1"/>
    <w:lsdException w:name="toc 8" w:qFormat="1"/>
    <w:lsdException w:name="toc 9" w:qFormat="1"/>
    <w:lsdException w:name="annotation text" w:semiHidden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Typewriter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eastAsia="Times New Roman"/>
      <w:lang w:val="en-GB" w:eastAsia="en-US"/>
    </w:rPr>
  </w:style>
  <w:style w:type="paragraph" w:styleId="berschrift1">
    <w:name w:val="heading 1"/>
    <w:basedOn w:val="Standard"/>
    <w:next w:val="Standard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berschrift2">
    <w:name w:val="heading 2"/>
    <w:basedOn w:val="Standard"/>
    <w:next w:val="Standard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sz w:val="24"/>
    </w:rPr>
  </w:style>
  <w:style w:type="paragraph" w:styleId="berschrift5">
    <w:name w:val="heading 5"/>
    <w:basedOn w:val="Standard"/>
    <w:next w:val="Standard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berschrift8">
    <w:name w:val="heading 8"/>
    <w:basedOn w:val="Standard"/>
    <w:next w:val="Standard"/>
    <w:link w:val="berschrift8Zchn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Seitenzahl">
    <w:name w:val="page number"/>
    <w:basedOn w:val="Absatz-Standardschriftart"/>
    <w:qFormat/>
  </w:style>
  <w:style w:type="character" w:customStyle="1" w:styleId="berschrift8Zchn">
    <w:name w:val="Überschrift 8 Zchn"/>
    <w:basedOn w:val="Absatz-Standardschriftart"/>
    <w:link w:val="berschrift8"/>
    <w:semiHidden/>
    <w:qFormat/>
    <w:rPr>
      <w:rFonts w:asciiTheme="majorHAnsi" w:eastAsiaTheme="majorEastAsia" w:hAnsiTheme="majorHAnsi" w:cstheme="majorBidi"/>
      <w:color w:val="262626" w:themeColor="text1" w:themeTint="D9"/>
      <w:sz w:val="21"/>
      <w:szCs w:val="21"/>
      <w:lang w:eastAsia="en-US"/>
    </w:rPr>
  </w:style>
  <w:style w:type="character" w:customStyle="1" w:styleId="KopfzeileZchn">
    <w:name w:val="Kopfzeile Zchn"/>
    <w:link w:val="Kopfzeile"/>
    <w:qFormat/>
    <w:rPr>
      <w:lang w:eastAsia="en-US"/>
    </w:rPr>
  </w:style>
  <w:style w:type="character" w:styleId="Hyperlink">
    <w:name w:val="Hyperlink"/>
    <w:rPr>
      <w:color w:val="000080"/>
      <w:u w:val="single"/>
    </w:rPr>
  </w:style>
  <w:style w:type="character" w:styleId="Zeilennummer">
    <w:name w:val="line number"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Noto Sans Devanagari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Noto Sans Devanagari"/>
    </w:rPr>
  </w:style>
  <w:style w:type="paragraph" w:styleId="Kommentartext">
    <w:name w:val="annotation text"/>
    <w:basedOn w:val="Standard"/>
    <w:link w:val="KommentartextZchn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Verzeichnis8">
    <w:name w:val="toc 8"/>
    <w:basedOn w:val="Standard"/>
    <w:next w:val="Standard"/>
    <w:autoRedefine/>
    <w:qFormat/>
    <w:pPr>
      <w:spacing w:after="100"/>
      <w:ind w:left="1400"/>
    </w:pPr>
  </w:style>
  <w:style w:type="paragraph" w:customStyle="1" w:styleId="Kopf-Fuzeile">
    <w:name w:val="Kopf-/Fußzeile"/>
    <w:basedOn w:val="Standard"/>
    <w:qFormat/>
  </w:style>
  <w:style w:type="paragraph" w:styleId="Fuzeile">
    <w:name w:val="footer"/>
    <w:basedOn w:val="Standard"/>
    <w:qFormat/>
    <w:pPr>
      <w:tabs>
        <w:tab w:val="center" w:pos="4153"/>
        <w:tab w:val="right" w:pos="8306"/>
      </w:tabs>
    </w:pPr>
  </w:style>
  <w:style w:type="paragraph" w:styleId="Kopfzeile">
    <w:name w:val="header"/>
    <w:basedOn w:val="Standard"/>
    <w:link w:val="KopfzeileZchn"/>
    <w:qFormat/>
    <w:pPr>
      <w:tabs>
        <w:tab w:val="center" w:pos="4153"/>
        <w:tab w:val="right" w:pos="8306"/>
      </w:tabs>
    </w:pPr>
  </w:style>
  <w:style w:type="paragraph" w:styleId="Verzeichnis9">
    <w:name w:val="toc 9"/>
    <w:basedOn w:val="Verzeichnis8"/>
    <w:qFormat/>
    <w:pPr>
      <w:keepNext/>
      <w:keepLines/>
      <w:widowControl w:val="0"/>
      <w:tabs>
        <w:tab w:val="right" w:leader="dot" w:pos="9639"/>
      </w:tabs>
      <w:spacing w:before="180" w:after="0"/>
      <w:ind w:left="1418" w:right="425" w:hanging="1418"/>
      <w:textAlignment w:val="baseline"/>
    </w:pPr>
    <w:rPr>
      <w:b/>
      <w:sz w:val="22"/>
      <w:lang w:eastAsia="ja-JP"/>
    </w:rPr>
  </w:style>
  <w:style w:type="paragraph" w:styleId="Index1">
    <w:name w:val="index 1"/>
    <w:basedOn w:val="Standard"/>
    <w:semiHidden/>
    <w:qFormat/>
    <w:pPr>
      <w:keepLines/>
    </w:pPr>
  </w:style>
  <w:style w:type="paragraph" w:customStyle="1" w:styleId="B1">
    <w:name w:val="B1"/>
    <w:basedOn w:val="Standard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Standard"/>
    <w:qFormat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qFormat/>
    <w:pPr>
      <w:widowControl w:val="0"/>
    </w:pPr>
    <w:rPr>
      <w:rFonts w:eastAsia="Times New Roman"/>
      <w:lang w:eastAsia="en-US"/>
    </w:rPr>
  </w:style>
  <w:style w:type="paragraph" w:customStyle="1" w:styleId="2">
    <w:name w:val="??? 2"/>
    <w:basedOn w:val="a"/>
    <w:next w:val="a"/>
    <w:qFormat/>
    <w:pPr>
      <w:keepNext/>
    </w:pPr>
    <w:rPr>
      <w:rFonts w:ascii="Arial" w:hAnsi="Arial"/>
      <w:b/>
      <w:sz w:val="24"/>
    </w:rPr>
  </w:style>
  <w:style w:type="paragraph" w:customStyle="1" w:styleId="CRCoverPage">
    <w:name w:val="CR Cover Page"/>
    <w:qFormat/>
    <w:pPr>
      <w:spacing w:after="120"/>
    </w:pPr>
    <w:rPr>
      <w:rFonts w:ascii="Arial" w:eastAsia="Times New Roman" w:hAnsi="Arial"/>
      <w:lang w:val="en-GB" w:eastAsia="en-US"/>
    </w:rPr>
  </w:style>
  <w:style w:type="paragraph" w:styleId="Listenabsatz">
    <w:name w:val="List Paragraph"/>
    <w:basedOn w:val="Standard"/>
    <w:uiPriority w:val="34"/>
    <w:qFormat/>
    <w:pPr>
      <w:spacing w:beforeAutospacing="1" w:afterAutospacing="1"/>
    </w:pPr>
    <w:rPr>
      <w:sz w:val="24"/>
      <w:szCs w:val="24"/>
      <w:lang w:val="en-US"/>
    </w:rPr>
  </w:style>
  <w:style w:type="paragraph" w:customStyle="1" w:styleId="Guidance">
    <w:name w:val="Guidance"/>
    <w:basedOn w:val="Standard"/>
    <w:qFormat/>
    <w:pPr>
      <w:spacing w:after="180"/>
      <w:textAlignment w:val="baseline"/>
    </w:pPr>
    <w:rPr>
      <w:i/>
      <w:color w:val="000000"/>
      <w:lang w:eastAsia="ja-JP"/>
    </w:rPr>
  </w:style>
  <w:style w:type="paragraph" w:customStyle="1" w:styleId="TAL">
    <w:name w:val="TAL"/>
    <w:basedOn w:val="Standard"/>
    <w:qFormat/>
    <w:pPr>
      <w:keepNext/>
      <w:keepLines/>
      <w:textAlignment w:val="baseline"/>
    </w:pPr>
    <w:rPr>
      <w:rFonts w:ascii="Arial" w:hAnsi="Arial"/>
      <w:color w:val="000000"/>
      <w:sz w:val="18"/>
      <w:lang w:eastAsia="ja-JP"/>
    </w:r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FP">
    <w:name w:val="FP"/>
    <w:basedOn w:val="Standard"/>
    <w:qFormat/>
    <w:pPr>
      <w:textAlignment w:val="baseline"/>
    </w:pPr>
    <w:rPr>
      <w:color w:val="000000"/>
      <w:lang w:eastAsia="ja-JP"/>
    </w:rPr>
  </w:style>
  <w:style w:type="paragraph" w:customStyle="1" w:styleId="1">
    <w:name w:val="修订1"/>
    <w:uiPriority w:val="99"/>
    <w:semiHidden/>
    <w:qFormat/>
    <w:rPr>
      <w:rFonts w:eastAsia="Times New Roman"/>
      <w:lang w:val="en-GB" w:eastAsia="en-US"/>
    </w:rPr>
  </w:style>
  <w:style w:type="paragraph" w:customStyle="1" w:styleId="TT">
    <w:name w:val="TT"/>
    <w:basedOn w:val="berschrift1"/>
    <w:next w:val="Standard"/>
    <w:qFormat/>
    <w:pPr>
      <w:keepLines/>
      <w:pBdr>
        <w:top w:val="single" w:sz="12" w:space="3" w:color="000000"/>
      </w:pBdr>
      <w:spacing w:before="240" w:after="180"/>
      <w:ind w:left="1134" w:right="0" w:hanging="1134"/>
      <w:textAlignment w:val="baseline"/>
      <w:outlineLvl w:val="9"/>
    </w:pPr>
    <w:rPr>
      <w:b w:val="0"/>
      <w:sz w:val="36"/>
      <w:lang w:eastAsia="ja-JP"/>
    </w:rPr>
  </w:style>
  <w:style w:type="paragraph" w:customStyle="1" w:styleId="ZT">
    <w:name w:val="ZT"/>
    <w:qFormat/>
    <w:pPr>
      <w:widowControl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US"/>
    </w:rPr>
  </w:style>
  <w:style w:type="paragraph" w:styleId="berarbeitung">
    <w:name w:val="Revision"/>
    <w:uiPriority w:val="99"/>
    <w:unhideWhenUsed/>
    <w:qFormat/>
    <w:rsid w:val="002353B8"/>
    <w:rPr>
      <w:rFonts w:eastAsia="Times New Roman"/>
      <w:lang w:val="en-GB" w:eastAsia="en-US"/>
    </w:rPr>
  </w:style>
  <w:style w:type="character" w:styleId="Kommentarzeichen">
    <w:name w:val="annotation reference"/>
    <w:basedOn w:val="Absatz-Standardschriftart"/>
    <w:rsid w:val="00E73FE8"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rsid w:val="00E73FE8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KommentartextZchn">
    <w:name w:val="Kommentartext Zchn"/>
    <w:basedOn w:val="Absatz-Standardschriftart"/>
    <w:link w:val="Kommentartext"/>
    <w:semiHidden/>
    <w:rsid w:val="00E73FE8"/>
    <w:rPr>
      <w:rFonts w:ascii="Arial" w:eastAsia="Times New Roman" w:hAnsi="Arial"/>
      <w:lang w:val="en-GB" w:eastAsia="en-US"/>
    </w:rPr>
  </w:style>
  <w:style w:type="character" w:customStyle="1" w:styleId="KommentarthemaZchn">
    <w:name w:val="Kommentarthema Zchn"/>
    <w:basedOn w:val="KommentartextZchn"/>
    <w:link w:val="Kommentarthema"/>
    <w:rsid w:val="00E73FE8"/>
    <w:rPr>
      <w:rFonts w:ascii="Arial" w:eastAsia="Times New Roman" w:hAnsi="Arial"/>
      <w:b/>
      <w:bCs/>
      <w:lang w:val="en-GB"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C60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6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351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51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7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3gpp.org/ftp/Specs/html-info/21900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3gpp.org/specifications-groups/working-procedures" TargetMode="External"/><Relationship Id="rId5" Type="http://schemas.openxmlformats.org/officeDocument/2006/relationships/hyperlink" Target="http://www.3gpp.org/Work-Item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874</Words>
  <Characters>5508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Source:</vt:lpstr>
    </vt:vector>
  </TitlesOfParts>
  <Company>ETSI Sophia Antipolis</Company>
  <LinksUpToDate>false</LinksUpToDate>
  <CharactersWithSpaces>6370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subject/>
  <dc:creator>Alain Sultan</dc:creator>
  <dc:description/>
  <cp:lastModifiedBy>Gebhardt, Lisanne</cp:lastModifiedBy>
  <cp:revision>10</cp:revision>
  <cp:lastPrinted>2001-04-23T09:30:00Z</cp:lastPrinted>
  <dcterms:created xsi:type="dcterms:W3CDTF">2025-11-17T23:57:00Z</dcterms:created>
  <dcterms:modified xsi:type="dcterms:W3CDTF">2025-11-18T19:17:00Z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93B6111FD33B49EFBC96B102AA59A003_13</vt:lpwstr>
  </property>
  <property fmtid="{D5CDD505-2E9C-101B-9397-08002B2CF9AE}" pid="3" name="KSOProductBuildVer">
    <vt:lpwstr>2052-12.8.2.18205</vt:lpwstr>
  </property>
</Properties>
</file>