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6</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R4-25</w:t>
      </w:r>
      <w:r>
        <w:rPr>
          <w:rFonts w:hint="eastAsia" w:ascii="Arial" w:hAnsi="Arial" w:cs="Arial" w:eastAsiaTheme="minorEastAsia"/>
          <w:b/>
          <w:lang w:val="en-US" w:eastAsia="zh-CN"/>
        </w:rPr>
        <w:t>1xxxx</w:t>
      </w:r>
    </w:p>
    <w:p w14:paraId="5C136542">
      <w:pPr>
        <w:tabs>
          <w:tab w:val="center" w:pos="4536"/>
          <w:tab w:val="right" w:pos="9072"/>
        </w:tabs>
        <w:spacing w:line="276" w:lineRule="auto"/>
        <w:rPr>
          <w:rFonts w:ascii="Arial" w:hAnsi="Arial" w:cs="Arial" w:eastAsiaTheme="minorEastAsia"/>
          <w:b/>
        </w:rPr>
      </w:pPr>
      <w:r>
        <w:rPr>
          <w:rFonts w:ascii="Arial" w:hAnsi="Arial" w:eastAsia="宋体" w:cs="Arial"/>
          <w:b/>
          <w:sz w:val="24"/>
          <w:szCs w:val="24"/>
          <w:lang w:eastAsia="zh-CN"/>
        </w:rPr>
        <w:t>Bengaluru, India, August 25</w:t>
      </w:r>
      <w:r>
        <w:rPr>
          <w:rFonts w:ascii="Arial" w:hAnsi="Arial" w:eastAsia="宋体" w:cs="Arial"/>
          <w:b/>
          <w:sz w:val="24"/>
          <w:szCs w:val="24"/>
          <w:vertAlign w:val="superscript"/>
          <w:lang w:eastAsia="zh-CN"/>
        </w:rPr>
        <w:t>th</w:t>
      </w:r>
      <w:r>
        <w:rPr>
          <w:rFonts w:ascii="Arial" w:hAnsi="Arial" w:eastAsia="宋体" w:cs="Arial"/>
          <w:b/>
          <w:sz w:val="24"/>
          <w:szCs w:val="24"/>
          <w:lang w:eastAsia="zh-CN"/>
        </w:rPr>
        <w:t xml:space="preserve"> – 29</w:t>
      </w:r>
      <w:r>
        <w:rPr>
          <w:rFonts w:ascii="Arial" w:hAnsi="Arial" w:eastAsia="宋体" w:cs="Arial"/>
          <w:b/>
          <w:sz w:val="24"/>
          <w:szCs w:val="24"/>
          <w:vertAlign w:val="superscript"/>
          <w:lang w:eastAsia="zh-CN"/>
        </w:rPr>
        <w:t>th</w:t>
      </w:r>
      <w:r>
        <w:rPr>
          <w:rFonts w:ascii="Arial" w:hAnsi="Arial" w:cs="Arial" w:eastAsiaTheme="minorEastAsia"/>
          <w:b/>
        </w:rPr>
        <w:t>,2025</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rPr>
        <w:t>8</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2</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AE1EA5C">
            <w:pPr>
              <w:keepNext/>
              <w:keepLines/>
              <w:overflowPunct w:val="0"/>
              <w:autoSpaceDE w:val="0"/>
              <w:autoSpaceDN w:val="0"/>
              <w:adjustRightInd w:val="0"/>
              <w:jc w:val="center"/>
              <w:textAlignment w:val="baseline"/>
              <w:rPr>
                <w:rFonts w:hint="default" w:ascii="Arial" w:hAnsi="Arial" w:cs="Arial"/>
                <w:b/>
                <w:sz w:val="18"/>
                <w:szCs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09" w:type="dxa"/>
          </w:tcPr>
          <w:p w14:paraId="4A2B96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24" w:type="dxa"/>
            <w:shd w:val="clear" w:color="auto" w:fill="auto"/>
          </w:tcPr>
          <w:p w14:paraId="054633A3">
            <w:pPr>
              <w:keepNext/>
              <w:keepLines/>
              <w:rPr>
                <w:rFonts w:hint="default" w:ascii="Arial" w:hAnsi="Arial" w:cs="Arial"/>
                <w:b/>
                <w:sz w:val="18"/>
                <w:szCs w:val="18"/>
              </w:rPr>
            </w:pPr>
            <w:r>
              <w:rPr>
                <w:rFonts w:hint="default" w:ascii="Arial" w:hAnsi="Arial" w:cs="Arial"/>
                <w:b/>
                <w:sz w:val="18"/>
                <w:szCs w:val="18"/>
              </w:rPr>
              <w:t>Type</w:t>
            </w:r>
          </w:p>
          <w:p w14:paraId="7137A7EA">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46. NR_ENDC_RF_Ph4</w:t>
            </w:r>
          </w:p>
        </w:tc>
        <w:tc>
          <w:tcPr>
            <w:tcW w:w="700" w:type="dxa"/>
            <w:shd w:val="clear" w:color="auto" w:fill="auto"/>
            <w:vAlign w:val="top"/>
          </w:tcPr>
          <w:p w14:paraId="4E40E433">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46-1</w:t>
            </w:r>
          </w:p>
        </w:tc>
        <w:tc>
          <w:tcPr>
            <w:tcW w:w="1376" w:type="dxa"/>
            <w:shd w:val="clear" w:color="auto" w:fill="auto"/>
            <w:vAlign w:val="top"/>
          </w:tcPr>
          <w:p w14:paraId="2A7F5956">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MPR enhancement for activated carrier</w:t>
            </w:r>
          </w:p>
        </w:tc>
        <w:tc>
          <w:tcPr>
            <w:tcW w:w="3637" w:type="dxa"/>
            <w:shd w:val="clear" w:color="auto" w:fill="auto"/>
            <w:vAlign w:val="top"/>
          </w:tcPr>
          <w:p w14:paraId="729305CA">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52345D72">
            <w:pPr>
              <w:snapToGrid w:val="0"/>
              <w:spacing w:after="120" w:afterLines="50"/>
              <w:contextualSpacing/>
              <w:jc w:val="both"/>
              <w:rPr>
                <w:rFonts w:hint="default" w:ascii="Arial" w:hAnsi="Arial" w:cs="Arial" w:eastAsiaTheme="minorEastAsia"/>
                <w:sz w:val="18"/>
                <w:szCs w:val="18"/>
                <w:highlight w:val="none"/>
              </w:rPr>
            </w:pPr>
          </w:p>
          <w:p w14:paraId="1876E0F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If the UE also supports powerBoosting-pi2BPSK-QPSK-r18</w:t>
            </w:r>
            <w:r>
              <w:rPr>
                <w:rFonts w:hint="eastAsia" w:ascii="Arial" w:hAnsi="Arial" w:cs="Arial" w:eastAsiaTheme="minorEastAsia"/>
                <w:sz w:val="18"/>
                <w:szCs w:val="18"/>
                <w:highlight w:val="none"/>
                <w:lang w:val="en-US" w:eastAsia="zh-CN"/>
              </w:rPr>
              <w:t xml:space="preserve"> </w:t>
            </w:r>
            <w:r>
              <w:rPr>
                <w:rFonts w:hint="default" w:ascii="Arial" w:hAnsi="Arial" w:cs="Arial" w:eastAsiaTheme="minorEastAsia"/>
                <w:sz w:val="18"/>
                <w:szCs w:val="18"/>
                <w:highlight w:val="none"/>
              </w:rPr>
              <w:t>and/or</w:t>
            </w:r>
            <w:r>
              <w:rPr>
                <w:rFonts w:hint="eastAsia" w:ascii="Arial" w:hAnsi="Arial" w:cs="Arial" w:eastAsiaTheme="minorEastAsia"/>
                <w:sz w:val="18"/>
                <w:szCs w:val="18"/>
                <w:highlight w:val="none"/>
                <w:lang w:val="en-US" w:eastAsia="zh-CN"/>
              </w:rPr>
              <w:t xml:space="preserve"> </w:t>
            </w:r>
            <w:r>
              <w:rPr>
                <w:rFonts w:hint="default" w:ascii="Arial" w:hAnsi="Arial" w:cs="Arial" w:eastAsiaTheme="minorEastAsia"/>
                <w:sz w:val="18"/>
                <w:szCs w:val="18"/>
                <w:highlight w:val="none"/>
              </w:rPr>
              <w:t xml:space="preserve"> powerBoosting-pi2BPSK-QPSK-Modified-r18, then these capabilities are applicable to the activated CC</w:t>
            </w:r>
          </w:p>
        </w:tc>
        <w:tc>
          <w:tcPr>
            <w:tcW w:w="1437" w:type="dxa"/>
            <w:shd w:val="clear" w:color="auto" w:fill="auto"/>
            <w:vAlign w:val="top"/>
          </w:tcPr>
          <w:p w14:paraId="0D521683">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21366A72">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3F9E5C8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394F601C">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based on UL CA configuration even for single activated CC.</w:t>
            </w:r>
          </w:p>
        </w:tc>
        <w:tc>
          <w:tcPr>
            <w:tcW w:w="1224" w:type="dxa"/>
            <w:shd w:val="clear" w:color="auto" w:fill="auto"/>
            <w:vAlign w:val="top"/>
          </w:tcPr>
          <w:p w14:paraId="3526E232">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BC</w:t>
            </w:r>
          </w:p>
        </w:tc>
        <w:tc>
          <w:tcPr>
            <w:tcW w:w="1416" w:type="dxa"/>
            <w:shd w:val="clear" w:color="auto" w:fill="auto"/>
            <w:vAlign w:val="top"/>
          </w:tcPr>
          <w:p w14:paraId="2FC071B4">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No</w:t>
            </w:r>
          </w:p>
        </w:tc>
        <w:tc>
          <w:tcPr>
            <w:tcW w:w="1416" w:type="dxa"/>
            <w:shd w:val="clear" w:color="auto" w:fill="auto"/>
            <w:vAlign w:val="top"/>
          </w:tcPr>
          <w:p w14:paraId="04D6E28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FR1 only</w:t>
            </w:r>
          </w:p>
        </w:tc>
        <w:tc>
          <w:tcPr>
            <w:tcW w:w="1654" w:type="dxa"/>
            <w:vAlign w:val="top"/>
          </w:tcPr>
          <w:p w14:paraId="42BE2519">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13A1FCD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843" w:type="dxa"/>
            <w:shd w:val="clear" w:color="auto" w:fill="auto"/>
            <w:vAlign w:val="top"/>
          </w:tcPr>
          <w:p w14:paraId="486C6B0A">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0" w:type="dxa"/>
            <w:shd w:val="clear" w:color="auto" w:fill="auto"/>
            <w:vAlign w:val="top"/>
          </w:tcPr>
          <w:p w14:paraId="252922CD">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46-2</w:t>
            </w:r>
          </w:p>
        </w:tc>
        <w:tc>
          <w:tcPr>
            <w:tcW w:w="1376" w:type="dxa"/>
            <w:shd w:val="clear" w:color="auto" w:fill="auto"/>
            <w:vAlign w:val="top"/>
          </w:tcPr>
          <w:p w14:paraId="3628CED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FR2 MPR-Improvement Downlink Independent</w:t>
            </w:r>
          </w:p>
        </w:tc>
        <w:tc>
          <w:tcPr>
            <w:tcW w:w="3637" w:type="dxa"/>
            <w:shd w:val="clear" w:color="auto" w:fill="auto"/>
            <w:vAlign w:val="top"/>
          </w:tcPr>
          <w:p w14:paraId="5694DD8F">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by removing dependence on DL CA configuration.</w:t>
            </w:r>
          </w:p>
        </w:tc>
        <w:tc>
          <w:tcPr>
            <w:tcW w:w="1437" w:type="dxa"/>
            <w:shd w:val="clear" w:color="auto" w:fill="auto"/>
            <w:vAlign w:val="top"/>
          </w:tcPr>
          <w:p w14:paraId="280498A8">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53613979">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53E6CBF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582CC4D6">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only supports MPR requirement with dependence of DL CA configuration.</w:t>
            </w:r>
          </w:p>
        </w:tc>
        <w:tc>
          <w:tcPr>
            <w:tcW w:w="1224" w:type="dxa"/>
            <w:shd w:val="clear" w:color="auto" w:fill="auto"/>
            <w:vAlign w:val="top"/>
          </w:tcPr>
          <w:p w14:paraId="48881F5B">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BC</w:t>
            </w:r>
          </w:p>
        </w:tc>
        <w:tc>
          <w:tcPr>
            <w:tcW w:w="1416" w:type="dxa"/>
            <w:shd w:val="clear" w:color="auto" w:fill="auto"/>
            <w:vAlign w:val="top"/>
          </w:tcPr>
          <w:p w14:paraId="2927C931">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Yes</w:t>
            </w:r>
          </w:p>
        </w:tc>
        <w:tc>
          <w:tcPr>
            <w:tcW w:w="1416" w:type="dxa"/>
            <w:shd w:val="clear" w:color="auto" w:fill="auto"/>
            <w:vAlign w:val="top"/>
          </w:tcPr>
          <w:p w14:paraId="765E1C3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FR2 only</w:t>
            </w:r>
          </w:p>
        </w:tc>
        <w:tc>
          <w:tcPr>
            <w:tcW w:w="1654" w:type="dxa"/>
            <w:vAlign w:val="top"/>
          </w:tcPr>
          <w:p w14:paraId="136C50E8">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3D68845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843" w:type="dxa"/>
            <w:shd w:val="clear" w:color="auto" w:fill="auto"/>
            <w:vAlign w:val="top"/>
          </w:tcPr>
          <w:p w14:paraId="6DA8B518">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843" w:type="dxa"/>
            <w:shd w:val="clear" w:color="auto" w:fill="auto"/>
            <w:vAlign w:val="top"/>
          </w:tcPr>
          <w:p w14:paraId="1BA2DADB">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58C7FDA5">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E3B6960">
            <w:pPr>
              <w:snapToGrid w:val="0"/>
              <w:spacing w:after="120" w:afterLines="50"/>
              <w:contextualSpacing/>
              <w:jc w:val="both"/>
              <w:rPr>
                <w:rFonts w:hint="default" w:ascii="Arial" w:hAnsi="Arial" w:cs="Arial" w:eastAsiaTheme="minorEastAsia"/>
                <w:sz w:val="18"/>
                <w:szCs w:val="18"/>
                <w:highlight w:val="none"/>
              </w:rPr>
            </w:pPr>
          </w:p>
          <w:p w14:paraId="184649DC">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6B2B7AA3">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1FB8077F">
            <w:pPr>
              <w:snapToGrid w:val="0"/>
              <w:spacing w:after="120" w:afterLines="50"/>
              <w:contextualSpacing/>
              <w:jc w:val="both"/>
              <w:rPr>
                <w:rFonts w:hint="default" w:ascii="Arial" w:hAnsi="Arial" w:cs="Arial" w:eastAsiaTheme="minorEastAsia"/>
                <w:sz w:val="18"/>
                <w:szCs w:val="18"/>
                <w:highlight w:val="none"/>
              </w:rPr>
            </w:pPr>
          </w:p>
          <w:p w14:paraId="08A164E3">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hint="default" w:ascii="Arial" w:hAnsi="Arial" w:cs="Arial"/>
                <w:bCs/>
                <w:color w:val="000000"/>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vAlign w:val="top"/>
          </w:tcPr>
          <w:p w14:paraId="298C4562">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33A99C03">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5511804C">
            <w:pPr>
              <w:snapToGrid w:val="0"/>
              <w:spacing w:after="120" w:afterLines="50"/>
              <w:contextualSpacing/>
              <w:jc w:val="both"/>
              <w:rPr>
                <w:rFonts w:hint="default" w:ascii="Arial" w:hAnsi="Arial" w:cs="Arial" w:eastAsiaTheme="minorEastAsia"/>
                <w:sz w:val="18"/>
                <w:szCs w:val="18"/>
                <w:highlight w:val="none"/>
              </w:rPr>
            </w:pPr>
          </w:p>
          <w:p w14:paraId="4C5D697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39A07492">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B811043">
            <w:pPr>
              <w:snapToGrid w:val="0"/>
              <w:spacing w:after="120" w:afterLines="50"/>
              <w:contextualSpacing/>
              <w:jc w:val="both"/>
              <w:rPr>
                <w:rFonts w:hint="default" w:ascii="Arial" w:hAnsi="Arial" w:cs="Arial" w:eastAsiaTheme="minorEastAsia"/>
                <w:sz w:val="18"/>
                <w:szCs w:val="18"/>
                <w:highlight w:val="none"/>
              </w:rPr>
            </w:pPr>
          </w:p>
          <w:p w14:paraId="3FADDC14">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hint="default" w:ascii="Arial" w:hAnsi="Arial" w:cs="Arial"/>
                <w:bCs/>
                <w:color w:val="000000"/>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vAlign w:val="top"/>
          </w:tcPr>
          <w:p w14:paraId="10599139">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0" w:type="dxa"/>
            <w:shd w:val="clear" w:color="auto" w:fill="auto"/>
            <w:vAlign w:val="top"/>
          </w:tcPr>
          <w:p w14:paraId="7F773EA7">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46-6</w:t>
            </w:r>
          </w:p>
        </w:tc>
        <w:tc>
          <w:tcPr>
            <w:tcW w:w="1376" w:type="dxa"/>
            <w:shd w:val="clear" w:color="auto" w:fill="auto"/>
            <w:vAlign w:val="top"/>
          </w:tcPr>
          <w:p w14:paraId="1CAB9796">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 maximum 6 MIMO layers for DL reception</w:t>
            </w:r>
          </w:p>
        </w:tc>
        <w:tc>
          <w:tcPr>
            <w:tcW w:w="3637" w:type="dxa"/>
            <w:shd w:val="clear" w:color="auto" w:fill="auto"/>
            <w:vAlign w:val="top"/>
          </w:tcPr>
          <w:p w14:paraId="7DE32656">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the UE supports maximum 6 spatial multiplexing layers for DL reception for FWA.</w:t>
            </w:r>
          </w:p>
        </w:tc>
        <w:tc>
          <w:tcPr>
            <w:tcW w:w="1437" w:type="dxa"/>
            <w:shd w:val="clear" w:color="auto" w:fill="auto"/>
            <w:vAlign w:val="top"/>
          </w:tcPr>
          <w:p w14:paraId="0E42B113">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119" w:type="dxa"/>
            <w:shd w:val="clear" w:color="auto" w:fill="auto"/>
            <w:vAlign w:val="top"/>
          </w:tcPr>
          <w:p w14:paraId="2F8FD4E2">
            <w:pPr>
              <w:keepNext/>
              <w:keepLines/>
              <w:overflowPunct w:val="0"/>
              <w:autoSpaceDE w:val="0"/>
              <w:autoSpaceDN w:val="0"/>
              <w:adjustRightInd w:val="0"/>
              <w:jc w:val="center"/>
              <w:textAlignment w:val="baseline"/>
              <w:rPr>
                <w:rFonts w:hint="default" w:ascii="Arial" w:hAnsi="Arial" w:cs="Arial"/>
                <w:bCs/>
                <w:color w:val="000000"/>
                <w:sz w:val="18"/>
                <w:szCs w:val="18"/>
                <w:highlight w:val="none"/>
              </w:rPr>
            </w:pPr>
            <w:r>
              <w:rPr>
                <w:rFonts w:hint="default" w:ascii="Arial" w:hAnsi="Arial" w:cs="Arial"/>
                <w:bCs/>
                <w:color w:val="000000"/>
                <w:sz w:val="18"/>
                <w:szCs w:val="18"/>
                <w:highlight w:val="none"/>
              </w:rPr>
              <w:t>Yes</w:t>
            </w:r>
          </w:p>
        </w:tc>
        <w:tc>
          <w:tcPr>
            <w:tcW w:w="1384" w:type="dxa"/>
            <w:shd w:val="clear" w:color="auto" w:fill="auto"/>
            <w:vAlign w:val="top"/>
          </w:tcPr>
          <w:p w14:paraId="3BE6B7AC">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09" w:type="dxa"/>
            <w:vAlign w:val="top"/>
          </w:tcPr>
          <w:p w14:paraId="1D210599">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FWA does not support maximum 6 MIMO layers for DL reception</w:t>
            </w:r>
          </w:p>
        </w:tc>
        <w:tc>
          <w:tcPr>
            <w:tcW w:w="1224" w:type="dxa"/>
            <w:shd w:val="clear" w:color="auto" w:fill="auto"/>
            <w:vAlign w:val="top"/>
          </w:tcPr>
          <w:p w14:paraId="16E07655">
            <w:pPr>
              <w:keepNext/>
              <w:keepLines/>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Per FSPC</w:t>
            </w:r>
          </w:p>
        </w:tc>
        <w:tc>
          <w:tcPr>
            <w:tcW w:w="1416" w:type="dxa"/>
            <w:shd w:val="clear" w:color="auto" w:fill="auto"/>
            <w:vAlign w:val="top"/>
          </w:tcPr>
          <w:p w14:paraId="3C2853C0">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6" w:type="dxa"/>
            <w:shd w:val="clear" w:color="auto" w:fill="auto"/>
            <w:vAlign w:val="top"/>
          </w:tcPr>
          <w:p w14:paraId="7221C16B">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FR1 only</w:t>
            </w:r>
          </w:p>
        </w:tc>
        <w:tc>
          <w:tcPr>
            <w:tcW w:w="1654" w:type="dxa"/>
            <w:vAlign w:val="top"/>
          </w:tcPr>
          <w:p w14:paraId="14060974">
            <w:pPr>
              <w:keepNext/>
              <w:keepLines/>
              <w:jc w:val="center"/>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N/A</w:t>
            </w:r>
          </w:p>
        </w:tc>
        <w:tc>
          <w:tcPr>
            <w:tcW w:w="1411" w:type="dxa"/>
            <w:shd w:val="clear" w:color="auto" w:fill="auto"/>
            <w:vAlign w:val="top"/>
          </w:tcPr>
          <w:p w14:paraId="46A56A0D">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p>
        </w:tc>
        <w:tc>
          <w:tcPr>
            <w:tcW w:w="1843" w:type="dxa"/>
            <w:shd w:val="clear" w:color="auto" w:fill="auto"/>
            <w:vAlign w:val="top"/>
          </w:tcPr>
          <w:p w14:paraId="52E2566E">
            <w:pPr>
              <w:keepNext/>
              <w:keepLines/>
              <w:overflowPunct w:val="0"/>
              <w:autoSpaceDE w:val="0"/>
              <w:autoSpaceDN w:val="0"/>
              <w:adjustRightInd w:val="0"/>
              <w:jc w:val="center"/>
              <w:textAlignment w:val="baseline"/>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Optional with capability signaling</w:t>
            </w:r>
          </w:p>
        </w:tc>
      </w:tr>
    </w:tbl>
    <w:p w14:paraId="341ABA9E">
      <w:pPr>
        <w:rPr>
          <w:rFonts w:hint="eastAsia" w:cs="Batang" w:eastAsiaTheme="minorEastAsia"/>
          <w:sz w:val="22"/>
          <w:szCs w:val="22"/>
        </w:rPr>
      </w:pPr>
    </w:p>
    <w:p w14:paraId="5C1EA95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D96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33971AFB">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4AA3A37">
            <w:pPr>
              <w:keepNext/>
              <w:keepLines/>
              <w:rPr>
                <w:rFonts w:ascii="Arial" w:hAnsi="Arial" w:cs="Arial" w:eastAsiaTheme="minorEastAsia"/>
                <w:sz w:val="18"/>
              </w:rPr>
            </w:pPr>
          </w:p>
        </w:tc>
        <w:tc>
          <w:tcPr>
            <w:tcW w:w="700" w:type="dxa"/>
            <w:shd w:val="clear" w:color="auto" w:fill="auto"/>
          </w:tcPr>
          <w:p w14:paraId="3188046E">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4A1ECF7F">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1B0B0551">
            <w:pPr>
              <w:pStyle w:val="111"/>
              <w:rPr>
                <w:rFonts w:eastAsia="MS Gothic" w:cs="Arial"/>
                <w:szCs w:val="18"/>
                <w:lang w:eastAsia="ja-JP"/>
              </w:rPr>
            </w:pPr>
            <w:r>
              <w:rPr>
                <w:rFonts w:eastAsia="MS Gothic" w:cs="Arial"/>
                <w:szCs w:val="18"/>
                <w:lang w:eastAsia="ja-JP"/>
              </w:rPr>
              <w:t>Indicates the UE supports TDD-TDD intra-band non-collocated NR-CA operation with MTTD/MRTD requirements according to Table [7.5.x.x]/Table [7.6.x-x] in TS 38.133 and UE RF requirements for intra-band non-collocated NR-CA including [7.10A] in TS 38.101-1. And the UE also supports TDD-TDD intra-band NR-CA operation with MRTD according to Table [7.6.x-x] in TS 38.133 and UE RF requirements for intra-band NR-CA except for [7.10A] in TS 38.101-1.</w:t>
            </w:r>
          </w:p>
        </w:tc>
        <w:tc>
          <w:tcPr>
            <w:tcW w:w="1429" w:type="dxa"/>
            <w:shd w:val="clear" w:color="auto" w:fill="auto"/>
          </w:tcPr>
          <w:p w14:paraId="10D7C7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410E2404">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56887A1B">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4CC130AE">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2A75590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72E45460">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C85DEFC">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849FA">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CCAF341">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10E2F323">
            <w:pPr>
              <w:keepNext/>
              <w:keepLines/>
              <w:rPr>
                <w:rFonts w:ascii="Arial" w:hAnsi="Arial" w:cs="Arial"/>
                <w:sz w:val="18"/>
                <w:szCs w:val="18"/>
                <w:lang w:eastAsia="en-GB"/>
              </w:rPr>
            </w:pPr>
            <w:r>
              <w:rPr>
                <w:rFonts w:ascii="Arial" w:hAnsi="Arial" w:cs="Arial"/>
                <w:sz w:val="18"/>
                <w:szCs w:val="18"/>
              </w:rPr>
              <w:t>Optional with capability signaling</w:t>
            </w:r>
          </w:p>
        </w:tc>
      </w:tr>
      <w:tr w14:paraId="7C76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36A9E3A6">
            <w:pPr>
              <w:keepNext/>
              <w:keepLines/>
              <w:rPr>
                <w:rFonts w:ascii="Arial" w:hAnsi="Arial" w:cs="Arial" w:eastAsiaTheme="minorEastAsia"/>
                <w:sz w:val="18"/>
              </w:rPr>
            </w:pPr>
          </w:p>
        </w:tc>
        <w:tc>
          <w:tcPr>
            <w:tcW w:w="700" w:type="dxa"/>
            <w:shd w:val="clear" w:color="auto" w:fill="auto"/>
          </w:tcPr>
          <w:p w14:paraId="2E8F15DF">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4246D930">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3306E3B9">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[7.5.x.x]/Table [7.6.x-x] in TS 38.133 and UE RF requirements for i</w:t>
            </w:r>
            <w:r>
              <w:t>nter-band non-contiguous EN-DC with overlapping or partially overlapping bands</w:t>
            </w:r>
            <w:r>
              <w:rPr>
                <w:rFonts w:eastAsia="MS Gothic" w:cs="Arial"/>
                <w:szCs w:val="18"/>
                <w:lang w:eastAsia="ja-JP"/>
              </w:rPr>
              <w:t xml:space="preserve"> including [7.10B] in TS 38.101-3. And the UE also supports i</w:t>
            </w:r>
            <w:r>
              <w:t>nter-band non-contiguous EN-DC with overlapping or partially overlapping bands operation</w:t>
            </w:r>
            <w:r>
              <w:rPr>
                <w:rFonts w:eastAsia="MS Gothic" w:cs="Arial"/>
                <w:szCs w:val="18"/>
                <w:lang w:eastAsia="ja-JP"/>
              </w:rPr>
              <w:t xml:space="preserve"> with MRTD according to Table [7.6.x-x] in TS 38.133 and UE RF requirements for i</w:t>
            </w:r>
            <w:r>
              <w:t>nter-band non-contiguous EN-DC with overlapping or partially overlapping bands</w:t>
            </w:r>
            <w:r>
              <w:rPr>
                <w:rFonts w:eastAsia="MS Gothic" w:cs="Arial"/>
                <w:szCs w:val="18"/>
                <w:lang w:eastAsia="ja-JP"/>
              </w:rPr>
              <w:t xml:space="preserve"> except for [7.10B] in TS 38.101-3.</w:t>
            </w:r>
          </w:p>
        </w:tc>
        <w:tc>
          <w:tcPr>
            <w:tcW w:w="1429" w:type="dxa"/>
            <w:shd w:val="clear" w:color="auto" w:fill="auto"/>
          </w:tcPr>
          <w:p w14:paraId="2A5B0F84">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026F1698">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7AC27E50">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274ACA4">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210FD770">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77C89E94">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66788B20">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397E321A">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3954E35E">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08A35169">
            <w:pPr>
              <w:keepNext/>
              <w:keepLines/>
              <w:rPr>
                <w:rFonts w:ascii="Arial" w:hAnsi="Arial" w:cs="Arial"/>
                <w:sz w:val="18"/>
                <w:szCs w:val="18"/>
                <w:lang w:eastAsia="en-GB"/>
              </w:rPr>
            </w:pPr>
            <w:r>
              <w:rPr>
                <w:rFonts w:ascii="Arial" w:hAnsi="Arial" w:cs="Arial"/>
                <w:sz w:val="18"/>
                <w:szCs w:val="18"/>
              </w:rPr>
              <w:t>Optional with capability signaling</w:t>
            </w:r>
          </w:p>
        </w:tc>
      </w:tr>
    </w:tbl>
    <w:p w14:paraId="5B0E8F08">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vAlign w:val="top"/>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vAlign w:val="top"/>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vAlign w:val="top"/>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vAlign w:val="top"/>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vAlign w:val="top"/>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vAlign w:val="top"/>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vAlign w:val="top"/>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vAlign w:val="top"/>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vAlign w:val="top"/>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vAlign w:val="top"/>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vAlign w:val="top"/>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 xml:space="preserve">5.2J.1A.2 in </w:t>
            </w:r>
            <w:r>
              <w:rPr>
                <w:rFonts w:hint="eastAsia" w:ascii="Arial" w:hAnsi="Arial" w:cs="Arial"/>
                <w:sz w:val="18"/>
              </w:rPr>
              <w:t>TS 38.101-1.</w:t>
            </w:r>
          </w:p>
        </w:tc>
        <w:tc>
          <w:tcPr>
            <w:tcW w:w="1906" w:type="dxa"/>
            <w:shd w:val="clear" w:color="auto" w:fill="auto"/>
            <w:vAlign w:val="top"/>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787CDE10">
      <w:pPr>
        <w:pStyle w:val="25"/>
      </w:pPr>
    </w:p>
    <w:p w14:paraId="4F723C86">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99B7AC5">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20E94EBB">
            <w:pPr>
              <w:keepNext/>
              <w:keepLines/>
              <w:rPr>
                <w:rFonts w:hint="default" w:ascii="Arial" w:hAnsi="Arial" w:cs="Arial"/>
                <w:sz w:val="18"/>
                <w:szCs w:val="18"/>
                <w:lang w:val="en-US" w:eastAsia="zh-CN"/>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42B87A3F">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31F98128">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hint="default" w:ascii="Arial" w:hAnsi="Arial" w:cs="Arial"/>
                <w:sz w:val="18"/>
                <w:szCs w:val="18"/>
                <w:lang w:val="en-US" w:eastAsia="zh-CN"/>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hint="default" w:ascii="Arial" w:hAnsi="Arial" w:cs="Arial"/>
                <w:sz w:val="18"/>
                <w:szCs w:val="18"/>
                <w:lang w:val="en-US" w:eastAsia="zh-CN"/>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hint="default" w:ascii="Arial" w:hAnsi="Arial" w:cs="Arial"/>
                <w:sz w:val="18"/>
                <w:szCs w:val="18"/>
                <w:lang w:val="en-US" w:eastAsia="zh-CN"/>
              </w:rPr>
            </w:pPr>
          </w:p>
        </w:tc>
        <w:tc>
          <w:tcPr>
            <w:tcW w:w="1410" w:type="dxa"/>
            <w:tcBorders>
              <w:top w:val="single" w:color="auto" w:sz="4" w:space="0"/>
              <w:left w:val="single" w:color="auto" w:sz="4" w:space="0"/>
              <w:bottom w:val="single" w:color="auto" w:sz="4" w:space="0"/>
              <w:right w:val="single" w:color="auto" w:sz="4" w:space="0"/>
            </w:tcBorders>
            <w:vAlign w:val="top"/>
          </w:tcPr>
          <w:p w14:paraId="65DF51B3">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0B0E9C7E">
            <w:pPr>
              <w:keepNext/>
              <w:keepLines/>
              <w:rPr>
                <w:rFonts w:hint="default" w:ascii="Arial" w:hAnsi="Arial" w:cs="Arial"/>
                <w:sz w:val="18"/>
                <w:szCs w:val="18"/>
                <w:lang w:val="en-US" w:eastAsia="zh-CN"/>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hint="default" w:ascii="Arial" w:hAnsi="Arial" w:cs="Arial"/>
                <w:sz w:val="18"/>
                <w:szCs w:val="18"/>
                <w:lang w:val="en-US" w:eastAsia="zh-CN"/>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hint="default" w:ascii="Arial" w:hAnsi="Arial" w:cs="Arial"/>
                <w:sz w:val="18"/>
                <w:szCs w:val="18"/>
                <w:lang w:val="en-US" w:eastAsia="zh-CN"/>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hint="default" w:ascii="Arial" w:hAnsi="Arial" w:cs="Arial"/>
                <w:sz w:val="18"/>
                <w:szCs w:val="18"/>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hint="default" w:ascii="Arial" w:hAnsi="Arial" w:cs="Arial"/>
                <w:sz w:val="18"/>
                <w:szCs w:val="18"/>
                <w:lang w:val="en-US" w:eastAsia="zh-CN"/>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hint="default" w:ascii="Arial" w:hAnsi="Arial" w:cs="Arial"/>
                <w:sz w:val="18"/>
                <w:szCs w:val="18"/>
                <w:lang w:val="en-US" w:eastAsia="zh-CN"/>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cs="Arial"/>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19ECD6DA">
            <w:pPr>
              <w:keepNext/>
              <w:keepLines/>
              <w:rPr>
                <w:rFonts w:hint="eastAsia" w:ascii="Arial" w:hAnsi="Arial" w:cs="Arial"/>
                <w:sz w:val="18"/>
                <w:szCs w:val="18"/>
              </w:rPr>
            </w:pPr>
            <w:r>
              <w:rPr>
                <w:rFonts w:hint="default" w:ascii="Arial" w:hAnsi="Arial" w:cs="Arial"/>
                <w:sz w:val="18"/>
                <w:szCs w:val="18"/>
                <w:lang w:val="en-US" w:eastAsia="zh-CN"/>
              </w:rPr>
              <w:t>N/A</w:t>
            </w:r>
          </w:p>
          <w:p w14:paraId="56374A9C">
            <w:pPr>
              <w:keepNext/>
              <w:keepLines/>
              <w:rPr>
                <w:rFonts w:ascii="Arial" w:hAnsi="Arial" w:cs="Arial"/>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tcPr>
          <w:p w14:paraId="3C05273B">
            <w:pPr>
              <w:keepNext/>
              <w:keepLines/>
              <w:rPr>
                <w:rFonts w:ascii="Arial" w:hAnsi="Arial" w:cs="Arial"/>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tcPr>
          <w:p w14:paraId="396F1AF7">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0C74E971">
            <w:pPr>
              <w:keepNext/>
              <w:keepLines/>
              <w:rPr>
                <w:rFonts w:hint="eastAsia" w:ascii="Arial" w:hAnsi="Arial" w:cs="Arial"/>
                <w:sz w:val="18"/>
                <w:szCs w:val="18"/>
              </w:rPr>
            </w:pPr>
            <w:r>
              <w:rPr>
                <w:rFonts w:hint="default" w:ascii="Arial" w:hAnsi="Arial" w:cs="Arial"/>
                <w:sz w:val="18"/>
                <w:szCs w:val="18"/>
                <w:lang w:val="en-US" w:eastAsia="zh-CN"/>
              </w:rPr>
              <w:t> </w:t>
            </w:r>
          </w:p>
          <w:p w14:paraId="72A32CFB">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tcPr>
          <w:p w14:paraId="3179D694">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sz w:val="18"/>
              </w:rPr>
              <w:t>Optional 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hint="default" w:ascii="Arial" w:hAnsi="Arial" w:cs="Arial"/>
                <w:sz w:val="18"/>
                <w:szCs w:val="18"/>
                <w:lang w:val="en-US" w:eastAsia="zh-CN"/>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hint="default" w:ascii="Arial" w:hAnsi="Arial" w:cs="Arial"/>
                <w:sz w:val="18"/>
                <w:szCs w:val="18"/>
                <w:lang w:val="en-US" w:eastAsia="zh-CN"/>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hint="default" w:ascii="Arial" w:hAnsi="Arial" w:cs="Arial"/>
                <w:sz w:val="18"/>
                <w:szCs w:val="18"/>
                <w:lang w:val="en-US" w:eastAsia="zh-CN"/>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hint="default" w:ascii="Arial" w:hAnsi="Arial" w:cs="Arial"/>
                <w:sz w:val="18"/>
                <w:szCs w:val="18"/>
                <w:lang w:val="en-US" w:eastAsia="zh-CN"/>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896CCD9">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70BB2B26">
            <w:pPr>
              <w:keepNext/>
              <w:keepLines/>
              <w:rPr>
                <w:rFonts w:hint="default" w:ascii="Arial" w:hAnsi="Arial" w:cs="Arial"/>
                <w:sz w:val="18"/>
                <w:szCs w:val="18"/>
                <w:lang w:val="en-US" w:eastAsia="zh-CN"/>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hint="default" w:ascii="Arial" w:hAnsi="Arial" w:cs="Arial"/>
                <w:sz w:val="18"/>
                <w:szCs w:val="18"/>
                <w:lang w:val="en-US" w:eastAsia="zh-CN"/>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hint="default" w:ascii="Arial" w:hAnsi="Arial" w:cs="Arial"/>
                <w:sz w:val="18"/>
                <w:szCs w:val="18"/>
                <w:lang w:val="en-US" w:eastAsia="zh-CN"/>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hint="default" w:ascii="Arial" w:hAnsi="Arial" w:cs="Arial"/>
                <w:sz w:val="18"/>
                <w:szCs w:val="18"/>
                <w:lang w:val="en-US" w:eastAsia="zh-CN"/>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hint="default" w:ascii="Arial" w:hAnsi="Arial" w:cs="Arial"/>
                <w:sz w:val="18"/>
                <w:szCs w:val="18"/>
                <w:lang w:val="en-US" w:eastAsia="zh-CN"/>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hint="default" w:ascii="Arial" w:hAnsi="Arial" w:cs="Arial"/>
                <w:sz w:val="18"/>
                <w:szCs w:val="18"/>
                <w:lang w:val="en-US" w:eastAsia="zh-CN"/>
              </w:rPr>
            </w:pPr>
            <w:r>
              <w:rPr>
                <w:rFonts w:hint="default" w:ascii="Arial" w:hAnsi="Arial" w:cs="Arial"/>
                <w:sz w:val="18"/>
                <w:szCs w:val="18"/>
                <w:lang w:val="en-US" w:eastAsia="zh-CN"/>
              </w:rPr>
              <w:t>Optional with capability signaling</w:t>
            </w:r>
          </w:p>
        </w:tc>
      </w:tr>
    </w:tbl>
    <w:p w14:paraId="1C5D5EC3">
      <w:pPr>
        <w:rPr>
          <w:rFonts w:ascii="Arial" w:hAnsi="Arial" w:cs="Arial" w:eastAsiaTheme="minorEastAsia"/>
          <w:sz w:val="28"/>
          <w:szCs w:val="28"/>
        </w:rPr>
      </w:pPr>
    </w:p>
    <w:p w14:paraId="6C52CAF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highlight w:val="none"/>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3EA471B5">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759BFBBF">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E783C0C">
            <w:pPr>
              <w:keepNext/>
              <w:keepLines/>
              <w:overflowPunct w:val="0"/>
              <w:autoSpaceDE w:val="0"/>
              <w:autoSpaceDN w:val="0"/>
              <w:adjustRightInd w:val="0"/>
              <w:textAlignment w:val="baseline"/>
              <w:rPr>
                <w:rFonts w:ascii="Arial" w:hAnsi="Arial" w:cs="Arial"/>
                <w:sz w:val="18"/>
                <w:highlight w:val="none"/>
              </w:rPr>
            </w:pPr>
          </w:p>
          <w:p w14:paraId="008FED9B">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493A3052">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6ECF5506">
            <w:pPr>
              <w:pStyle w:val="92"/>
              <w:keepNext/>
              <w:keepLines/>
              <w:overflowPunct w:val="0"/>
              <w:autoSpaceDE w:val="0"/>
              <w:autoSpaceDN w:val="0"/>
              <w:adjustRightInd w:val="0"/>
              <w:ind w:left="425" w:leftChars="0"/>
              <w:textAlignment w:val="baseline"/>
              <w:rPr>
                <w:rFonts w:ascii="Arial" w:hAnsi="Arial" w:cs="Arial"/>
                <w:sz w:val="18"/>
                <w:highlight w:val="none"/>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highlight w:val="none"/>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highlight w:val="none"/>
              </w:rPr>
            </w:pPr>
            <w:r>
              <w:rPr>
                <w:rFonts w:ascii="Arial" w:hAnsi="Arial" w:cs="Arial"/>
                <w:sz w:val="18"/>
                <w:highlight w:val="none"/>
              </w:rPr>
              <w:t>n/a</w:t>
            </w:r>
          </w:p>
        </w:tc>
        <w:tc>
          <w:tcPr>
            <w:tcW w:w="1410" w:type="dxa"/>
            <w:vAlign w:val="top"/>
          </w:tcPr>
          <w:p w14:paraId="7439564B">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2650D8BB">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E823DC4">
            <w:pPr>
              <w:keepNext/>
              <w:keepLines/>
              <w:rPr>
                <w:rFonts w:ascii="Arial" w:hAnsi="Arial" w:cs="Arial"/>
                <w:sz w:val="18"/>
                <w:highlight w:val="none"/>
              </w:rPr>
            </w:pPr>
          </w:p>
        </w:tc>
        <w:tc>
          <w:tcPr>
            <w:tcW w:w="1232" w:type="dxa"/>
            <w:shd w:val="clear" w:color="auto" w:fill="auto"/>
            <w:vAlign w:val="top"/>
          </w:tcPr>
          <w:p w14:paraId="62535CD7">
            <w:pPr>
              <w:keepNext/>
              <w:keepLines/>
              <w:rPr>
                <w:rFonts w:ascii="Arial" w:hAnsi="Arial" w:cs="Arial"/>
                <w:sz w:val="18"/>
                <w:highlight w:val="none"/>
              </w:rPr>
            </w:pPr>
            <w:r>
              <w:rPr>
                <w:rFonts w:ascii="Arial" w:hAnsi="Arial" w:cs="Arial"/>
                <w:sz w:val="18"/>
                <w:highlight w:val="none"/>
              </w:rPr>
              <w:t>Per band</w:t>
            </w:r>
          </w:p>
          <w:p w14:paraId="06B5C2CD">
            <w:pPr>
              <w:keepNext/>
              <w:keepLines/>
              <w:rPr>
                <w:rFonts w:ascii="Arial" w:hAnsi="Arial" w:cs="Arial"/>
                <w:sz w:val="18"/>
                <w:highlight w:val="none"/>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highlight w:val="none"/>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highlight w:val="none"/>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ascii="Arial" w:hAnsi="Arial" w:cs="Arial"/>
                <w:sz w:val="18"/>
                <w:highlight w:val="none"/>
              </w:rPr>
              <w:t>n/a</w:t>
            </w:r>
          </w:p>
        </w:tc>
        <w:tc>
          <w:tcPr>
            <w:tcW w:w="1432" w:type="dxa"/>
            <w:shd w:val="clear" w:color="auto" w:fill="auto"/>
            <w:vAlign w:val="top"/>
          </w:tcPr>
          <w:p w14:paraId="4CF77585">
            <w:pPr>
              <w:keepNext/>
              <w:keepLines/>
              <w:overflowPunct w:val="0"/>
              <w:autoSpaceDE w:val="0"/>
              <w:autoSpaceDN w:val="0"/>
              <w:adjustRightInd w:val="0"/>
              <w:jc w:val="center"/>
              <w:textAlignment w:val="baseline"/>
              <w:rPr>
                <w:rFonts w:ascii="Arial" w:hAnsi="Arial" w:cs="Arial"/>
                <w:sz w:val="18"/>
                <w:highlight w:val="none"/>
              </w:rPr>
            </w:pPr>
            <w:r>
              <w:rPr>
                <w:rFonts w:ascii="Arial" w:hAnsi="Arial" w:cs="Arial"/>
                <w:sz w:val="18"/>
                <w:highlight w:val="none"/>
              </w:rPr>
              <w:t>Note 1: Default value of additional processing time is 5 ms</w:t>
            </w:r>
          </w:p>
          <w:p w14:paraId="283C039F">
            <w:pPr>
              <w:keepNext/>
              <w:keepLines/>
              <w:overflowPunct w:val="0"/>
              <w:autoSpaceDE w:val="0"/>
              <w:autoSpaceDN w:val="0"/>
              <w:adjustRightInd w:val="0"/>
              <w:jc w:val="center"/>
              <w:textAlignment w:val="baseline"/>
              <w:rPr>
                <w:rFonts w:ascii="Arial" w:hAnsi="Arial" w:cs="Arial"/>
                <w:sz w:val="18"/>
                <w:highlight w:val="none"/>
              </w:rPr>
            </w:pPr>
          </w:p>
          <w:p w14:paraId="2FAA2C6B">
            <w:pPr>
              <w:keepNext/>
              <w:keepLines/>
              <w:overflowPunct w:val="0"/>
              <w:autoSpaceDE w:val="0"/>
              <w:autoSpaceDN w:val="0"/>
              <w:adjustRightInd w:val="0"/>
              <w:jc w:val="center"/>
              <w:textAlignment w:val="baseline"/>
              <w:rPr>
                <w:rFonts w:ascii="Arial" w:hAnsi="Arial" w:cs="Arial"/>
                <w:sz w:val="18"/>
                <w:highlight w:val="none"/>
              </w:rPr>
            </w:pPr>
          </w:p>
          <w:p w14:paraId="56B22F34">
            <w:pPr>
              <w:pStyle w:val="111"/>
              <w:rPr>
                <w:rFonts w:ascii="Arial" w:hAnsi="Arial" w:eastAsia="Times New Roman" w:cs="Arial"/>
                <w:b/>
                <w:sz w:val="18"/>
                <w:highlight w:val="none"/>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highlight w:val="none"/>
              </w:rPr>
            </w:pPr>
            <w:r>
              <w:rPr>
                <w:rFonts w:ascii="Arial" w:hAnsi="Arial" w:cs="Arial"/>
                <w:sz w:val="18"/>
                <w:highlight w:val="none"/>
              </w:rPr>
              <w:t>Optional with capability signaling</w:t>
            </w:r>
          </w:p>
        </w:tc>
      </w:tr>
    </w:tbl>
    <w:p w14:paraId="73D6F8CD">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29"/>
      <w:bookmarkStart w:id="6" w:name="OLE_LINK30"/>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9"/>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D79E5A">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21E29A98">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0D51800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AA958F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1DC7066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74E3F6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FE2B739">
            <w:pPr>
              <w:keepNext/>
              <w:keepLines/>
              <w:rPr>
                <w:rFonts w:ascii="Arial" w:hAnsi="Arial" w:cs="Arial"/>
                <w:b/>
                <w:sz w:val="18"/>
              </w:rPr>
            </w:pPr>
            <w:r>
              <w:rPr>
                <w:rFonts w:ascii="Arial" w:hAnsi="Arial" w:cs="Arial"/>
                <w:b/>
                <w:sz w:val="18"/>
              </w:rPr>
              <w:t>Type</w:t>
            </w:r>
          </w:p>
          <w:p w14:paraId="079BBBB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771" w:type="dxa"/>
          </w:tcPr>
          <w:p w14:paraId="6AC4387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5</w:t>
            </w:r>
            <w:r>
              <w:rPr>
                <w:rFonts w:hint="eastAsia" w:ascii="Arial" w:hAnsi="Arial" w:cs="Arial" w:eastAsiaTheme="minorEastAsia"/>
                <w:sz w:val="18"/>
              </w:rPr>
              <w:t>2</w:t>
            </w:r>
            <w:r>
              <w:rPr>
                <w:rFonts w:ascii="Arial" w:hAnsi="Arial" w:cs="Arial" w:eastAsiaTheme="minorEastAsia"/>
                <w:sz w:val="18"/>
              </w:rPr>
              <w:t>-1</w:t>
            </w:r>
          </w:p>
        </w:tc>
        <w:tc>
          <w:tcPr>
            <w:tcW w:w="1327" w:type="dxa"/>
            <w:shd w:val="clear" w:color="auto" w:fill="auto"/>
          </w:tcPr>
          <w:p w14:paraId="20FFA74B">
            <w:pPr>
              <w:keepNext/>
              <w:keepLines/>
              <w:overflowPunct w:val="0"/>
              <w:autoSpaceDE w:val="0"/>
              <w:autoSpaceDN w:val="0"/>
              <w:adjustRightInd w:val="0"/>
              <w:textAlignment w:val="baseline"/>
              <w:rPr>
                <w:rFonts w:ascii="Arial" w:hAnsi="Arial" w:cs="Arial"/>
                <w:sz w:val="18"/>
              </w:rPr>
            </w:pPr>
            <w:r>
              <w:rPr>
                <w:rFonts w:ascii="Arial" w:hAnsi="Arial" w:cs="Arial"/>
                <w:bCs/>
                <w:sz w:val="18"/>
              </w:rPr>
              <w:t>Number of CSI-RS resources for L1-RSRP measurement within a slot</w:t>
            </w:r>
          </w:p>
        </w:tc>
        <w:tc>
          <w:tcPr>
            <w:tcW w:w="3835" w:type="dxa"/>
            <w:shd w:val="clear" w:color="auto" w:fill="auto"/>
          </w:tcPr>
          <w:p w14:paraId="0AC1AE4F">
            <w:pPr>
              <w:pStyle w:val="92"/>
              <w:numPr>
                <w:ilvl w:val="0"/>
                <w:numId w:val="10"/>
              </w:numPr>
              <w:overflowPunct w:val="0"/>
              <w:autoSpaceDE w:val="0"/>
              <w:autoSpaceDN w:val="0"/>
              <w:adjustRightInd w:val="0"/>
              <w:ind w:left="351" w:leftChars="0"/>
              <w:textAlignment w:val="baseline"/>
              <w:rPr>
                <w:rFonts w:ascii="Arial" w:hAnsi="Arial" w:cs="Arial"/>
                <w:sz w:val="18"/>
              </w:rPr>
            </w:pPr>
            <w:bookmarkStart w:id="9" w:name="_Hlk158040982"/>
            <w:r>
              <w:rPr>
                <w:rFonts w:ascii="Arial" w:hAnsi="Arial" w:eastAsia="Yu Mincho" w:cs="Arial"/>
                <w:iCs/>
                <w:sz w:val="18"/>
                <w:szCs w:val="18"/>
              </w:rPr>
              <w:t>The max number of CSI-RS resources for L1-RSRP measurement that UE can measure within a slot [across candidate cells</w:t>
            </w:r>
            <w:r>
              <w:rPr>
                <w:rFonts w:ascii="Arial" w:hAnsi="Arial" w:eastAsia="Yu Mincho" w:cs="Arial"/>
                <w:bCs/>
                <w:iCs/>
                <w:sz w:val="18"/>
                <w:szCs w:val="18"/>
              </w:rPr>
              <w:t>]</w:t>
            </w:r>
            <w:r>
              <w:rPr>
                <w:rFonts w:ascii="Arial" w:hAnsi="Arial" w:eastAsia="Yu Mincho" w:cs="Arial"/>
                <w:iCs/>
                <w:sz w:val="18"/>
                <w:szCs w:val="18"/>
              </w:rPr>
              <w:t xml:space="preserve"> </w:t>
            </w:r>
            <w:r>
              <w:rPr>
                <w:rFonts w:ascii="Arial" w:hAnsi="Arial" w:eastAsia="Yu Mincho" w:cs="Arial"/>
                <w:bCs/>
                <w:iCs/>
                <w:sz w:val="18"/>
                <w:szCs w:val="18"/>
              </w:rPr>
              <w:t>for L1-RSRP measurement</w:t>
            </w:r>
            <w:bookmarkEnd w:id="9"/>
          </w:p>
        </w:tc>
        <w:tc>
          <w:tcPr>
            <w:tcW w:w="1458" w:type="dxa"/>
            <w:shd w:val="clear" w:color="auto" w:fill="auto"/>
          </w:tcPr>
          <w:p w14:paraId="4348B9CE">
            <w:pPr>
              <w:keepNext/>
              <w:keepLines/>
              <w:overflowPunct w:val="0"/>
              <w:autoSpaceDE w:val="0"/>
              <w:autoSpaceDN w:val="0"/>
              <w:adjustRightInd w:val="0"/>
              <w:jc w:val="center"/>
              <w:textAlignment w:val="baseline"/>
              <w:rPr>
                <w:rFonts w:ascii="Arial" w:hAnsi="Arial" w:cs="Arial"/>
                <w:bCs/>
                <w:sz w:val="18"/>
              </w:rPr>
            </w:pPr>
            <w:r>
              <w:rPr>
                <w:rFonts w:ascii="Arial" w:hAnsi="Arial" w:cs="Arial"/>
                <w:bCs/>
                <w:sz w:val="18"/>
              </w:rPr>
              <w:t>[RAN1 feature of CSI-RS based L1 RSRP measurement on LTM candidate cell]</w:t>
            </w:r>
          </w:p>
        </w:tc>
        <w:tc>
          <w:tcPr>
            <w:tcW w:w="1121" w:type="dxa"/>
            <w:shd w:val="clear" w:color="auto" w:fill="auto"/>
          </w:tcPr>
          <w:p w14:paraId="580CFB03">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Yes</w:t>
            </w:r>
          </w:p>
        </w:tc>
        <w:tc>
          <w:tcPr>
            <w:tcW w:w="1414" w:type="dxa"/>
            <w:shd w:val="clear" w:color="auto" w:fill="auto"/>
          </w:tcPr>
          <w:p w14:paraId="05068081">
            <w:pPr>
              <w:keepNext/>
              <w:keepLines/>
              <w:overflowPunct w:val="0"/>
              <w:autoSpaceDE w:val="0"/>
              <w:autoSpaceDN w:val="0"/>
              <w:adjustRightInd w:val="0"/>
              <w:jc w:val="center"/>
              <w:textAlignment w:val="baseline"/>
              <w:rPr>
                <w:rFonts w:ascii="Arial" w:hAnsi="Arial" w:eastAsia="Gulim" w:cs="Arial"/>
                <w:bCs/>
                <w:sz w:val="18"/>
              </w:rPr>
            </w:pPr>
            <w:r>
              <w:rPr>
                <w:rFonts w:ascii="Arial" w:hAnsi="Arial" w:cs="Arial"/>
                <w:bCs/>
                <w:sz w:val="18"/>
              </w:rPr>
              <w:t>No</w:t>
            </w:r>
          </w:p>
        </w:tc>
        <w:tc>
          <w:tcPr>
            <w:tcW w:w="1410" w:type="dxa"/>
          </w:tcPr>
          <w:p w14:paraId="657C833E">
            <w:pPr>
              <w:keepNext/>
              <w:keepLines/>
              <w:rPr>
                <w:rFonts w:ascii="Arial" w:hAnsi="Arial" w:cs="Arial"/>
                <w:sz w:val="18"/>
              </w:rPr>
            </w:pPr>
            <w:r>
              <w:rPr>
                <w:rFonts w:ascii="Arial" w:hAnsi="Arial" w:cs="Arial"/>
                <w:bCs/>
                <w:sz w:val="18"/>
              </w:rPr>
              <w:t>There is no limitation on the number of CSI-RS resources for L1 measurement within a slot.</w:t>
            </w:r>
          </w:p>
        </w:tc>
        <w:tc>
          <w:tcPr>
            <w:tcW w:w="1232" w:type="dxa"/>
            <w:shd w:val="clear" w:color="auto" w:fill="auto"/>
          </w:tcPr>
          <w:p w14:paraId="74C3CC12">
            <w:pPr>
              <w:keepNext/>
              <w:keepLines/>
              <w:rPr>
                <w:rFonts w:ascii="Arial" w:hAnsi="Arial" w:cs="Arial"/>
                <w:sz w:val="18"/>
              </w:rPr>
            </w:pPr>
            <w:r>
              <w:rPr>
                <w:rFonts w:ascii="Arial" w:hAnsi="Arial" w:cs="Arial"/>
                <w:bCs/>
                <w:sz w:val="18"/>
              </w:rPr>
              <w:t>Per BC</w:t>
            </w:r>
          </w:p>
        </w:tc>
        <w:tc>
          <w:tcPr>
            <w:tcW w:w="1416" w:type="dxa"/>
            <w:shd w:val="clear" w:color="auto" w:fill="auto"/>
          </w:tcPr>
          <w:p w14:paraId="1678B39F">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No</w:t>
            </w:r>
          </w:p>
        </w:tc>
        <w:tc>
          <w:tcPr>
            <w:tcW w:w="1416" w:type="dxa"/>
            <w:shd w:val="clear" w:color="auto" w:fill="auto"/>
          </w:tcPr>
          <w:p w14:paraId="2F8F8F96">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No</w:t>
            </w:r>
          </w:p>
        </w:tc>
        <w:tc>
          <w:tcPr>
            <w:tcW w:w="771" w:type="dxa"/>
          </w:tcPr>
          <w:p w14:paraId="31844981">
            <w:pPr>
              <w:keepNext/>
              <w:keepLines/>
              <w:overflowPunct w:val="0"/>
              <w:autoSpaceDE w:val="0"/>
              <w:autoSpaceDN w:val="0"/>
              <w:adjustRightInd w:val="0"/>
              <w:jc w:val="center"/>
              <w:textAlignment w:val="baseline"/>
              <w:rPr>
                <w:rFonts w:ascii="Arial" w:hAnsi="Arial" w:eastAsia="Times New Roman" w:cs="Arial"/>
                <w:bCs/>
                <w:sz w:val="18"/>
              </w:rPr>
            </w:pPr>
            <w:r>
              <w:rPr>
                <w:rFonts w:ascii="Arial" w:hAnsi="Arial" w:cs="Arial"/>
                <w:bCs/>
                <w:sz w:val="18"/>
              </w:rPr>
              <w:t>N/A</w:t>
            </w:r>
          </w:p>
        </w:tc>
        <w:tc>
          <w:tcPr>
            <w:tcW w:w="3261" w:type="dxa"/>
            <w:shd w:val="clear" w:color="auto" w:fill="auto"/>
          </w:tcPr>
          <w:p w14:paraId="02C65DF4">
            <w:pPr>
              <w:keepNext/>
              <w:keepLines/>
              <w:jc w:val="center"/>
              <w:rPr>
                <w:rFonts w:ascii="Arial" w:hAnsi="Arial" w:cs="Arial"/>
                <w:sz w:val="18"/>
                <w:szCs w:val="18"/>
              </w:rPr>
            </w:pPr>
            <w:r>
              <w:rPr>
                <w:rFonts w:ascii="Arial" w:hAnsi="Arial" w:cs="Arial"/>
                <w:sz w:val="18"/>
                <w:szCs w:val="18"/>
              </w:rPr>
              <w:t>Candidate value: {1,2,3,4,5,6,7,8,16,32, 48,64}</w:t>
            </w:r>
          </w:p>
          <w:p w14:paraId="3B04B5CD">
            <w:pPr>
              <w:pStyle w:val="92"/>
              <w:numPr>
                <w:ilvl w:val="0"/>
                <w:numId w:val="11"/>
              </w:numPr>
              <w:overflowPunct w:val="0"/>
              <w:autoSpaceDE w:val="0"/>
              <w:autoSpaceDN w:val="0"/>
              <w:adjustRightInd w:val="0"/>
              <w:ind w:leftChars="0"/>
              <w:textAlignment w:val="baseline"/>
              <w:rPr>
                <w:rFonts w:asciiTheme="majorHAnsi" w:hAnsiTheme="majorHAnsi" w:cstheme="majorHAnsi"/>
                <w:sz w:val="18"/>
                <w:szCs w:val="18"/>
              </w:rPr>
            </w:pPr>
            <w:r>
              <w:rPr>
                <w:rFonts w:ascii="Arial" w:hAnsi="Arial" w:cs="Arial"/>
                <w:color w:val="000000" w:themeColor="text1"/>
                <w:sz w:val="18"/>
                <w:szCs w:val="18"/>
                <w14:textFill>
                  <w14:solidFill>
                    <w14:schemeClr w14:val="tx1"/>
                  </w14:solidFill>
                </w14:textFill>
              </w:rPr>
              <w:t>[Note: FFS It is also counted in FG 2-24]</w:t>
            </w:r>
          </w:p>
        </w:tc>
        <w:tc>
          <w:tcPr>
            <w:tcW w:w="992" w:type="dxa"/>
            <w:shd w:val="clear" w:color="auto" w:fill="auto"/>
          </w:tcPr>
          <w:p w14:paraId="3EBF4E71">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5</w:t>
            </w:r>
            <w:r>
              <w:rPr>
                <w:rFonts w:hint="eastAsia" w:ascii="Arial" w:hAnsi="Arial" w:cs="Arial" w:eastAsiaTheme="minorEastAsia"/>
                <w:sz w:val="18"/>
              </w:rPr>
              <w:t>2</w:t>
            </w:r>
            <w:r>
              <w:rPr>
                <w:rFonts w:ascii="Arial" w:hAnsi="Arial" w:cs="Arial" w:eastAsiaTheme="minorEastAsia"/>
                <w:sz w:val="18"/>
              </w:rPr>
              <w:t>-2</w:t>
            </w:r>
          </w:p>
        </w:tc>
        <w:tc>
          <w:tcPr>
            <w:tcW w:w="1327" w:type="dxa"/>
            <w:shd w:val="clear" w:color="auto" w:fill="auto"/>
          </w:tcPr>
          <w:p w14:paraId="23ECDD2A">
            <w:pPr>
              <w:keepNext/>
              <w:keepLines/>
              <w:overflowPunct w:val="0"/>
              <w:autoSpaceDE w:val="0"/>
              <w:autoSpaceDN w:val="0"/>
              <w:adjustRightInd w:val="0"/>
              <w:textAlignment w:val="baseline"/>
              <w:rPr>
                <w:rFonts w:ascii="Arial" w:hAnsi="Arial" w:cs="Arial"/>
                <w:sz w:val="18"/>
              </w:rPr>
            </w:pPr>
            <w:r>
              <w:rPr>
                <w:rFonts w:ascii="Arial" w:hAnsi="Arial" w:cs="Arial"/>
                <w:bCs/>
                <w:sz w:val="18"/>
              </w:rPr>
              <w:t>Number of total CSI-RS resources to be measured</w:t>
            </w:r>
          </w:p>
        </w:tc>
        <w:tc>
          <w:tcPr>
            <w:tcW w:w="3835" w:type="dxa"/>
            <w:shd w:val="clear" w:color="auto" w:fill="auto"/>
          </w:tcPr>
          <w:p w14:paraId="50ED6BA0">
            <w:pPr>
              <w:pStyle w:val="92"/>
              <w:numPr>
                <w:ilvl w:val="0"/>
                <w:numId w:val="10"/>
              </w:numPr>
              <w:overflowPunct w:val="0"/>
              <w:autoSpaceDE w:val="0"/>
              <w:autoSpaceDN w:val="0"/>
              <w:adjustRightInd w:val="0"/>
              <w:ind w:left="351" w:leftChars="0"/>
              <w:textAlignment w:val="baseline"/>
              <w:rPr>
                <w:rFonts w:ascii="Arial" w:hAnsi="Arial" w:cs="Arial"/>
                <w:sz w:val="18"/>
              </w:rPr>
            </w:pPr>
            <w:r>
              <w:rPr>
                <w:rFonts w:ascii="Arial" w:hAnsi="Arial" w:cs="Arial"/>
                <w:bCs/>
                <w:sz w:val="18"/>
              </w:rPr>
              <w:t xml:space="preserve">The max number of total CSI-RS resources of serving cells and [candidate cells] [across all CCs] for L1 measurement. </w:t>
            </w:r>
            <w:r>
              <w:rPr>
                <w:rFonts w:ascii="Arial" w:hAnsi="Arial" w:cs="Arial"/>
                <w:bCs/>
                <w:color w:val="000000" w:themeColor="text1"/>
                <w:sz w:val="18"/>
                <w14:textFill>
                  <w14:solidFill>
                    <w14:schemeClr w14:val="tx1"/>
                  </w14:solidFill>
                </w14:textFill>
              </w:rPr>
              <w:t>Both LTM candidate cell(s) and serving cells for CSI-RS based L1-RSRP measurement are counted, regardless of whether CSI-RS based L1-RSRP measurement on serving cell is configured in [LTM-CSI-ResourceConfig-r18] or not.</w:t>
            </w:r>
          </w:p>
        </w:tc>
        <w:tc>
          <w:tcPr>
            <w:tcW w:w="1458" w:type="dxa"/>
            <w:shd w:val="clear" w:color="auto" w:fill="auto"/>
          </w:tcPr>
          <w:p w14:paraId="3F46AB06">
            <w:pPr>
              <w:keepNext/>
              <w:keepLines/>
              <w:overflowPunct w:val="0"/>
              <w:autoSpaceDE w:val="0"/>
              <w:autoSpaceDN w:val="0"/>
              <w:adjustRightInd w:val="0"/>
              <w:jc w:val="center"/>
              <w:textAlignment w:val="baseline"/>
              <w:rPr>
                <w:rFonts w:ascii="Arial" w:hAnsi="Arial" w:cs="Arial"/>
                <w:bCs/>
                <w:sz w:val="18"/>
              </w:rPr>
            </w:pPr>
            <w:r>
              <w:rPr>
                <w:rFonts w:ascii="Arial" w:hAnsi="Arial" w:cs="Arial"/>
                <w:bCs/>
                <w:sz w:val="18"/>
              </w:rPr>
              <w:t>[RAN1 feature of CSI-RS based L1 RSRP measurement on LTM candidate cell]</w:t>
            </w:r>
          </w:p>
        </w:tc>
        <w:tc>
          <w:tcPr>
            <w:tcW w:w="1121" w:type="dxa"/>
            <w:shd w:val="clear" w:color="auto" w:fill="auto"/>
          </w:tcPr>
          <w:p w14:paraId="151BCD1D">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66989365">
            <w:pPr>
              <w:keepNext/>
              <w:keepLines/>
              <w:overflowPunct w:val="0"/>
              <w:autoSpaceDE w:val="0"/>
              <w:autoSpaceDN w:val="0"/>
              <w:adjustRightInd w:val="0"/>
              <w:jc w:val="center"/>
              <w:textAlignment w:val="baseline"/>
              <w:rPr>
                <w:rFonts w:ascii="Arial" w:hAnsi="Arial" w:eastAsia="Gulim" w:cs="Arial"/>
                <w:bCs/>
                <w:sz w:val="18"/>
              </w:rPr>
            </w:pPr>
            <w:r>
              <w:rPr>
                <w:rFonts w:ascii="Arial" w:hAnsi="Arial" w:cs="Arial"/>
                <w:bCs/>
                <w:sz w:val="18"/>
              </w:rPr>
              <w:t>No</w:t>
            </w:r>
          </w:p>
        </w:tc>
        <w:tc>
          <w:tcPr>
            <w:tcW w:w="1410" w:type="dxa"/>
          </w:tcPr>
          <w:p w14:paraId="065B7CEF">
            <w:pPr>
              <w:keepNext/>
              <w:keepLines/>
              <w:rPr>
                <w:rFonts w:ascii="Arial" w:hAnsi="Arial" w:cs="Arial"/>
                <w:sz w:val="18"/>
              </w:rPr>
            </w:pPr>
            <w:r>
              <w:rPr>
                <w:rFonts w:ascii="Arial" w:hAnsi="Arial" w:cs="Arial"/>
                <w:bCs/>
                <w:sz w:val="18"/>
              </w:rPr>
              <w:t>There is no limitation on the total number of CSI-RS resources of serving cells and neighbouring cells across all CCs for L1 measurement.</w:t>
            </w:r>
          </w:p>
        </w:tc>
        <w:tc>
          <w:tcPr>
            <w:tcW w:w="1232" w:type="dxa"/>
            <w:shd w:val="clear" w:color="auto" w:fill="auto"/>
          </w:tcPr>
          <w:p w14:paraId="7ED49E3C">
            <w:pPr>
              <w:keepNext/>
              <w:keepLines/>
              <w:rPr>
                <w:rFonts w:ascii="Arial" w:hAnsi="Arial" w:cs="Arial"/>
                <w:sz w:val="18"/>
              </w:rPr>
            </w:pPr>
            <w:r>
              <w:rPr>
                <w:rFonts w:ascii="Arial" w:hAnsi="Arial" w:cs="Arial"/>
                <w:bCs/>
                <w:sz w:val="18"/>
              </w:rPr>
              <w:t>Per BC</w:t>
            </w:r>
          </w:p>
        </w:tc>
        <w:tc>
          <w:tcPr>
            <w:tcW w:w="1416" w:type="dxa"/>
            <w:shd w:val="clear" w:color="auto" w:fill="auto"/>
          </w:tcPr>
          <w:p w14:paraId="3DC75397">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No</w:t>
            </w:r>
          </w:p>
        </w:tc>
        <w:tc>
          <w:tcPr>
            <w:tcW w:w="1416" w:type="dxa"/>
            <w:shd w:val="clear" w:color="auto" w:fill="auto"/>
          </w:tcPr>
          <w:p w14:paraId="22DEA1FF">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No</w:t>
            </w:r>
          </w:p>
        </w:tc>
        <w:tc>
          <w:tcPr>
            <w:tcW w:w="771" w:type="dxa"/>
          </w:tcPr>
          <w:p w14:paraId="51F97AD1">
            <w:pPr>
              <w:keepNext/>
              <w:keepLines/>
              <w:overflowPunct w:val="0"/>
              <w:autoSpaceDE w:val="0"/>
              <w:autoSpaceDN w:val="0"/>
              <w:adjustRightInd w:val="0"/>
              <w:jc w:val="center"/>
              <w:textAlignment w:val="baseline"/>
              <w:rPr>
                <w:rFonts w:ascii="Arial" w:hAnsi="Arial" w:eastAsia="Times New Roman" w:cs="Arial"/>
                <w:bCs/>
                <w:sz w:val="18"/>
              </w:rPr>
            </w:pPr>
            <w:r>
              <w:rPr>
                <w:rFonts w:ascii="Arial" w:hAnsi="Arial" w:cs="Arial"/>
                <w:bCs/>
                <w:sz w:val="18"/>
              </w:rPr>
              <w:t>N/A</w:t>
            </w:r>
          </w:p>
        </w:tc>
        <w:tc>
          <w:tcPr>
            <w:tcW w:w="3261" w:type="dxa"/>
            <w:shd w:val="clear" w:color="auto" w:fill="auto"/>
          </w:tcPr>
          <w:p w14:paraId="72FC73DD">
            <w:pPr>
              <w:keepNext/>
              <w:keepLines/>
              <w:jc w:val="center"/>
              <w:rPr>
                <w:rFonts w:ascii="Arial" w:hAnsi="Arial" w:cs="Arial"/>
                <w:bCs/>
                <w:sz w:val="18"/>
              </w:rPr>
            </w:pPr>
            <w:r>
              <w:rPr>
                <w:rFonts w:ascii="Arial" w:hAnsi="Arial" w:cs="Arial"/>
                <w:bCs/>
                <w:sz w:val="18"/>
              </w:rPr>
              <w:t>Candidate values:</w:t>
            </w:r>
          </w:p>
          <w:p w14:paraId="59F5D7B3">
            <w:pPr>
              <w:keepNext/>
              <w:keepLines/>
              <w:overflowPunct w:val="0"/>
              <w:autoSpaceDE w:val="0"/>
              <w:autoSpaceDN w:val="0"/>
              <w:adjustRightInd w:val="0"/>
              <w:textAlignment w:val="baseline"/>
              <w:rPr>
                <w:rFonts w:ascii="Arial" w:hAnsi="Arial" w:cs="Arial"/>
                <w:sz w:val="18"/>
                <w:szCs w:val="18"/>
              </w:rPr>
            </w:pPr>
            <w:r>
              <w:rPr>
                <w:rFonts w:ascii="Arial" w:hAnsi="Arial" w:eastAsia="Times New Roman" w:cs="Arial"/>
                <w:sz w:val="18"/>
                <w:szCs w:val="18"/>
                <w:lang w:eastAsia="en-GB"/>
              </w:rPr>
              <w:t>[{2,4,8,12,16,32,64}]</w:t>
            </w:r>
          </w:p>
          <w:p w14:paraId="6AE99331">
            <w:pPr>
              <w:pStyle w:val="92"/>
              <w:numPr>
                <w:ilvl w:val="0"/>
                <w:numId w:val="11"/>
              </w:numPr>
              <w:overflowPunct w:val="0"/>
              <w:autoSpaceDE w:val="0"/>
              <w:autoSpaceDN w:val="0"/>
              <w:adjustRightInd w:val="0"/>
              <w:ind w:leftChars="0"/>
              <w:textAlignment w:val="baseline"/>
              <w:rPr>
                <w:rFonts w:asciiTheme="majorHAnsi" w:hAnsiTheme="majorHAnsi" w:cstheme="majorHAnsi"/>
                <w:sz w:val="18"/>
                <w:szCs w:val="18"/>
              </w:rPr>
            </w:pPr>
            <w:r>
              <w:rPr>
                <w:rFonts w:ascii="Arial" w:hAnsi="Arial" w:eastAsia="Times New Roman" w:cs="Arial"/>
                <w:sz w:val="18"/>
                <w:szCs w:val="18"/>
                <w:lang w:eastAsia="en-GB"/>
              </w:rPr>
              <w:t>Note: the value should be not smaller than UE capability of beamManagementSSB-CSI-RS (Component 2 of 2-24)</w:t>
            </w:r>
          </w:p>
        </w:tc>
        <w:tc>
          <w:tcPr>
            <w:tcW w:w="992" w:type="dxa"/>
            <w:shd w:val="clear" w:color="auto" w:fill="auto"/>
          </w:tcPr>
          <w:p w14:paraId="1DC0B4E4">
            <w:pPr>
              <w:keepNext/>
              <w:keepLines/>
              <w:overflowPunct w:val="0"/>
              <w:autoSpaceDE w:val="0"/>
              <w:autoSpaceDN w:val="0"/>
              <w:adjustRightInd w:val="0"/>
              <w:jc w:val="center"/>
              <w:textAlignment w:val="baseline"/>
              <w:rPr>
                <w:rFonts w:ascii="Arial" w:hAnsi="Arial" w:cs="Arial"/>
                <w:sz w:val="18"/>
              </w:rPr>
            </w:pPr>
            <w:r>
              <w:rPr>
                <w:rFonts w:ascii="Arial" w:hAnsi="Arial" w:cs="Arial"/>
                <w:bCs/>
                <w:sz w:val="18"/>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5</w:t>
            </w:r>
            <w:r>
              <w:rPr>
                <w:rFonts w:hint="eastAsia" w:ascii="Arial" w:hAnsi="Arial" w:cs="Arial" w:eastAsiaTheme="minorEastAsia"/>
                <w:sz w:val="18"/>
              </w:rPr>
              <w:t>2</w:t>
            </w:r>
            <w:r>
              <w:rPr>
                <w:rFonts w:ascii="Arial" w:hAnsi="Arial" w:cs="Arial" w:eastAsiaTheme="minorEastAsia"/>
                <w:sz w:val="18"/>
              </w:rPr>
              <w:t>-3</w:t>
            </w:r>
          </w:p>
        </w:tc>
        <w:tc>
          <w:tcPr>
            <w:tcW w:w="1327" w:type="dxa"/>
            <w:shd w:val="clear" w:color="auto" w:fill="auto"/>
          </w:tcPr>
          <w:p w14:paraId="2C599475">
            <w:pPr>
              <w:keepNext/>
              <w:keepLines/>
              <w:overflowPunct w:val="0"/>
              <w:autoSpaceDE w:val="0"/>
              <w:autoSpaceDN w:val="0"/>
              <w:adjustRightInd w:val="0"/>
              <w:textAlignment w:val="baseline"/>
              <w:rPr>
                <w:rFonts w:ascii="Arial" w:hAnsi="Arial" w:cs="Arial"/>
                <w:sz w:val="18"/>
              </w:rPr>
            </w:pPr>
            <w:r>
              <w:rPr>
                <w:rFonts w:asciiTheme="majorHAnsi" w:hAnsiTheme="majorHAnsi" w:cstheme="majorHAnsi"/>
                <w:sz w:val="18"/>
              </w:rPr>
              <w:t>Skip SSB based L1-RSRP measurement for [neighboring or candidate] cell CSI-RS-based L1-RSRP measurement</w:t>
            </w:r>
          </w:p>
        </w:tc>
        <w:tc>
          <w:tcPr>
            <w:tcW w:w="3835" w:type="dxa"/>
            <w:shd w:val="clear" w:color="auto" w:fill="auto"/>
          </w:tcPr>
          <w:p w14:paraId="6F9FF64F">
            <w:pPr>
              <w:pStyle w:val="92"/>
              <w:numPr>
                <w:ilvl w:val="0"/>
                <w:numId w:val="10"/>
              </w:numPr>
              <w:overflowPunct w:val="0"/>
              <w:autoSpaceDE w:val="0"/>
              <w:autoSpaceDN w:val="0"/>
              <w:adjustRightInd w:val="0"/>
              <w:ind w:left="351" w:leftChars="0"/>
              <w:textAlignment w:val="baseline"/>
              <w:rPr>
                <w:rFonts w:asciiTheme="majorHAnsi" w:hAnsiTheme="majorHAnsi" w:cstheme="majorHAnsi"/>
                <w:sz w:val="18"/>
                <w:szCs w:val="18"/>
              </w:rPr>
            </w:pPr>
            <w:r>
              <w:rPr>
                <w:rFonts w:asciiTheme="majorHAnsi" w:hAnsiTheme="majorHAnsi" w:cstheme="majorHAnsi"/>
                <w:sz w:val="18"/>
                <w:lang w:val="en-US"/>
              </w:rPr>
              <w:t xml:space="preserve">Indicates support for skipping SSB-based L1-RSRP during [neighboring or candidate] cell CSI-RS-based L1-RSRP measurement. </w:t>
            </w:r>
          </w:p>
          <w:p w14:paraId="03A11C02">
            <w:pPr>
              <w:pStyle w:val="92"/>
              <w:numPr>
                <w:ilvl w:val="0"/>
                <w:numId w:val="10"/>
              </w:numPr>
              <w:overflowPunct w:val="0"/>
              <w:autoSpaceDE w:val="0"/>
              <w:autoSpaceDN w:val="0"/>
              <w:adjustRightInd w:val="0"/>
              <w:ind w:left="351" w:leftChars="0"/>
              <w:textAlignment w:val="baseline"/>
              <w:rPr>
                <w:rFonts w:ascii="Arial" w:hAnsi="Arial" w:cs="Arial"/>
                <w:sz w:val="18"/>
              </w:rPr>
            </w:pPr>
          </w:p>
        </w:tc>
        <w:tc>
          <w:tcPr>
            <w:tcW w:w="1458" w:type="dxa"/>
            <w:shd w:val="clear" w:color="auto" w:fill="auto"/>
          </w:tcPr>
          <w:p w14:paraId="56BC217D">
            <w:pPr>
              <w:keepNext/>
              <w:keepLines/>
              <w:overflowPunct w:val="0"/>
              <w:autoSpaceDE w:val="0"/>
              <w:autoSpaceDN w:val="0"/>
              <w:adjustRightInd w:val="0"/>
              <w:jc w:val="center"/>
              <w:textAlignment w:val="baseline"/>
              <w:rPr>
                <w:rFonts w:ascii="Arial" w:hAnsi="Arial" w:cs="Arial"/>
                <w:bCs/>
                <w:sz w:val="18"/>
              </w:rPr>
            </w:pPr>
            <w:r>
              <w:rPr>
                <w:rFonts w:ascii="Arial" w:hAnsi="Arial" w:cs="Arial"/>
                <w:bCs/>
                <w:sz w:val="18"/>
              </w:rPr>
              <w:t>[RAN1 feature of CSI-RS based L1 RSRP measurement on LTM candidate cell]</w:t>
            </w:r>
          </w:p>
        </w:tc>
        <w:tc>
          <w:tcPr>
            <w:tcW w:w="1121" w:type="dxa"/>
            <w:shd w:val="clear" w:color="auto" w:fill="auto"/>
          </w:tcPr>
          <w:p w14:paraId="0A5D8B0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2F16D1E7">
            <w:pPr>
              <w:keepNext/>
              <w:keepLines/>
              <w:overflowPunct w:val="0"/>
              <w:autoSpaceDE w:val="0"/>
              <w:autoSpaceDN w:val="0"/>
              <w:adjustRightInd w:val="0"/>
              <w:jc w:val="center"/>
              <w:textAlignment w:val="baseline"/>
              <w:rPr>
                <w:rFonts w:ascii="Arial" w:hAnsi="Arial" w:eastAsia="Gulim" w:cs="Arial"/>
                <w:bCs/>
                <w:sz w:val="18"/>
              </w:rPr>
            </w:pPr>
            <w:r>
              <w:rPr>
                <w:rFonts w:ascii="Arial" w:hAnsi="Arial" w:eastAsia="Gulim" w:cs="Arial"/>
                <w:bCs/>
                <w:sz w:val="18"/>
              </w:rPr>
              <w:t>N/A</w:t>
            </w:r>
          </w:p>
          <w:p w14:paraId="41AC7F56">
            <w:pPr>
              <w:keepNext/>
              <w:keepLines/>
              <w:overflowPunct w:val="0"/>
              <w:autoSpaceDE w:val="0"/>
              <w:autoSpaceDN w:val="0"/>
              <w:adjustRightInd w:val="0"/>
              <w:jc w:val="center"/>
              <w:textAlignment w:val="baseline"/>
              <w:rPr>
                <w:rFonts w:ascii="Arial" w:hAnsi="Arial" w:eastAsia="Gulim" w:cs="Arial"/>
                <w:bCs/>
                <w:sz w:val="18"/>
              </w:rPr>
            </w:pPr>
          </w:p>
        </w:tc>
        <w:tc>
          <w:tcPr>
            <w:tcW w:w="1410" w:type="dxa"/>
          </w:tcPr>
          <w:p w14:paraId="119DEBA0">
            <w:pPr>
              <w:keepNext/>
              <w:keepLines/>
              <w:rPr>
                <w:rFonts w:ascii="Arial" w:hAnsi="Arial" w:cs="Arial"/>
                <w:sz w:val="18"/>
              </w:rPr>
            </w:pPr>
            <w:r>
              <w:rPr>
                <w:rFonts w:asciiTheme="majorHAnsi" w:hAnsiTheme="majorHAnsi" w:cstheme="majorHAnsi"/>
                <w:sz w:val="18"/>
              </w:rPr>
              <w:t>SSB based L1-RSRP cannot skipped while performing CSI-RS based L1-RSRP</w:t>
            </w:r>
          </w:p>
        </w:tc>
        <w:tc>
          <w:tcPr>
            <w:tcW w:w="1232" w:type="dxa"/>
            <w:shd w:val="clear" w:color="auto" w:fill="auto"/>
          </w:tcPr>
          <w:p w14:paraId="72650362">
            <w:pPr>
              <w:keepNext/>
              <w:keepLines/>
              <w:rPr>
                <w:rFonts w:ascii="Arial" w:hAnsi="Arial" w:cs="Arial"/>
                <w:sz w:val="18"/>
              </w:rPr>
            </w:pPr>
            <w:r>
              <w:rPr>
                <w:rFonts w:ascii="Arial" w:hAnsi="Arial" w:cs="Arial"/>
                <w:sz w:val="18"/>
              </w:rPr>
              <w:t>Per UE</w:t>
            </w:r>
          </w:p>
        </w:tc>
        <w:tc>
          <w:tcPr>
            <w:tcW w:w="1416" w:type="dxa"/>
            <w:shd w:val="clear" w:color="auto" w:fill="auto"/>
          </w:tcPr>
          <w:p w14:paraId="283FB18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no</w:t>
            </w:r>
          </w:p>
        </w:tc>
        <w:tc>
          <w:tcPr>
            <w:tcW w:w="1416" w:type="dxa"/>
            <w:shd w:val="clear" w:color="auto" w:fill="auto"/>
          </w:tcPr>
          <w:p w14:paraId="2E8A43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FR2-1 only</w:t>
            </w:r>
          </w:p>
        </w:tc>
        <w:tc>
          <w:tcPr>
            <w:tcW w:w="771" w:type="dxa"/>
          </w:tcPr>
          <w:p w14:paraId="0945218B">
            <w:pPr>
              <w:keepNext/>
              <w:keepLines/>
              <w:overflowPunct w:val="0"/>
              <w:autoSpaceDE w:val="0"/>
              <w:autoSpaceDN w:val="0"/>
              <w:adjustRightInd w:val="0"/>
              <w:jc w:val="center"/>
              <w:textAlignment w:val="baseline"/>
              <w:rPr>
                <w:rFonts w:ascii="Arial" w:hAnsi="Arial" w:eastAsia="Times New Roman" w:cs="Arial"/>
                <w:bCs/>
                <w:sz w:val="18"/>
              </w:rPr>
            </w:pPr>
            <w:r>
              <w:rPr>
                <w:rFonts w:ascii="Arial" w:hAnsi="Arial" w:eastAsia="Times New Roman" w:cs="Arial"/>
                <w:bCs/>
                <w:sz w:val="18"/>
              </w:rPr>
              <w:t>N/A</w:t>
            </w:r>
          </w:p>
        </w:tc>
        <w:tc>
          <w:tcPr>
            <w:tcW w:w="3261" w:type="dxa"/>
            <w:shd w:val="clear" w:color="auto" w:fill="auto"/>
          </w:tcPr>
          <w:p w14:paraId="3C247DEE">
            <w:pPr>
              <w:pStyle w:val="92"/>
              <w:numPr>
                <w:ilvl w:val="0"/>
                <w:numId w:val="11"/>
              </w:numPr>
              <w:overflowPunct w:val="0"/>
              <w:autoSpaceDE w:val="0"/>
              <w:autoSpaceDN w:val="0"/>
              <w:adjustRightInd w:val="0"/>
              <w:ind w:leftChars="0"/>
              <w:textAlignment w:val="baseline"/>
              <w:rPr>
                <w:rFonts w:asciiTheme="majorHAnsi" w:hAnsiTheme="majorHAnsi" w:cstheme="majorHAnsi"/>
                <w:sz w:val="18"/>
                <w:szCs w:val="18"/>
              </w:rPr>
            </w:pPr>
          </w:p>
        </w:tc>
        <w:tc>
          <w:tcPr>
            <w:tcW w:w="992" w:type="dxa"/>
            <w:shd w:val="clear" w:color="auto" w:fill="auto"/>
          </w:tcPr>
          <w:p w14:paraId="5EFFE24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06034D05">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57.NR_XR_Ph3</w:t>
            </w:r>
          </w:p>
        </w:tc>
        <w:tc>
          <w:tcPr>
            <w:tcW w:w="702" w:type="dxa"/>
            <w:shd w:val="clear" w:color="auto" w:fill="auto"/>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hint="eastAsia" w:ascii="Arial" w:hAnsi="Arial" w:cs="Arial" w:eastAsiaTheme="minorEastAsia"/>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hint="eastAsia" w:ascii="Arial" w:hAnsi="Arial" w:cs="Arial" w:eastAsiaTheme="minorEastAsia"/>
                <w:sz w:val="18"/>
              </w:rPr>
            </w:pPr>
          </w:p>
        </w:tc>
        <w:tc>
          <w:tcPr>
            <w:tcW w:w="1906" w:type="dxa"/>
            <w:shd w:val="clear" w:color="auto" w:fill="auto"/>
            <w:vAlign w:val="top"/>
          </w:tcPr>
          <w:p w14:paraId="6A2316C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0027C109">
            <w:pPr>
              <w:keepNext/>
              <w:keepLines/>
              <w:overflowPunct w:val="0"/>
              <w:autoSpaceDE w:val="0"/>
              <w:autoSpaceDN w:val="0"/>
              <w:adjustRightInd w:val="0"/>
              <w:jc w:val="center"/>
              <w:textAlignment w:val="baseline"/>
              <w:rPr>
                <w:rFonts w:hint="eastAsia" w:ascii="Arial" w:hAnsi="Arial" w:cs="Arial" w:eastAsiaTheme="minorEastAsia"/>
                <w:sz w:val="18"/>
              </w:rPr>
            </w:pPr>
          </w:p>
        </w:tc>
      </w:tr>
    </w:tbl>
    <w:p w14:paraId="751EF3EC">
      <w:pPr>
        <w:rPr>
          <w:rFonts w:ascii="Arial" w:hAnsi="Arial" w:cs="Arial" w:eastAsiaTheme="minorEastAsia"/>
          <w:sz w:val="28"/>
          <w:szCs w:val="28"/>
        </w:rPr>
      </w:pPr>
    </w:p>
    <w:p w14:paraId="09BECE87">
      <w:pPr>
        <w:rPr>
          <w:rFonts w:hint="eastAsia"/>
          <w:lang w:val="en-GB"/>
        </w:rPr>
      </w:pPr>
      <w:bookmarkStart w:id="11" w:name="_GoBack"/>
      <w:bookmarkEnd w:id="11"/>
    </w:p>
    <w:p w14:paraId="1BD14411">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0"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6"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tcBorders>
              <w:top w:val="single" w:color="auto" w:sz="4" w:space="0"/>
              <w:left w:val="single" w:color="auto" w:sz="4" w:space="0"/>
              <w:bottom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0"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6"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ascii="Arial" w:hAnsi="Arial" w:cs="Arial"/>
                <w:color w:val="000000"/>
                <w:sz w:val="18"/>
                <w:szCs w:val="18"/>
                <w:highlight w:val="none"/>
                <w:lang w:eastAsia="en-US"/>
              </w:rPr>
            </w:pPr>
            <w:r>
              <w:rPr>
                <w:rFonts w:ascii="Arial" w:hAnsi="Arial" w:cs="Arial"/>
                <w:color w:val="000000"/>
                <w:sz w:val="18"/>
                <w:szCs w:val="18"/>
                <w:highlight w:val="none"/>
                <w:lang w:eastAsia="en-US"/>
              </w:rPr>
              <w:t>UE to indicate support of LB-LB carrier aggregation via switching between an FDD band (case 1) and SDL band (case 2)</w:t>
            </w:r>
            <w:r>
              <w:rPr>
                <w:rFonts w:ascii="Arial" w:hAnsi="Arial" w:cs="Arial"/>
                <w:color w:val="000000"/>
                <w:sz w:val="18"/>
                <w:szCs w:val="18"/>
                <w:highlight w:val="none"/>
              </w:rPr>
              <w:t>:</w:t>
            </w:r>
          </w:p>
          <w:p w14:paraId="2B164F7F">
            <w:pPr>
              <w:pStyle w:val="67"/>
              <w:ind w:left="150" w:leftChars="-56"/>
              <w:rPr>
                <w:rFonts w:ascii="Arial" w:hAnsi="Arial" w:cs="Arial"/>
                <w:sz w:val="18"/>
                <w:szCs w:val="18"/>
                <w:highlight w:val="none"/>
              </w:rPr>
            </w:pPr>
            <w:r>
              <w:rPr>
                <w:rFonts w:ascii="Arial" w:hAnsi="Arial" w:cs="Arial"/>
                <w:sz w:val="18"/>
                <w:szCs w:val="18"/>
                <w:highlight w:val="none"/>
              </w:rPr>
              <w:tab/>
            </w:r>
            <w:r>
              <w:rPr>
                <w:rFonts w:ascii="Arial" w:hAnsi="Arial" w:cs="Arial"/>
                <w:sz w:val="18"/>
                <w:szCs w:val="18"/>
                <w:highlight w:val="none"/>
              </w:rPr>
              <w:t>Case 1: Tx/Rx on FDD carrier 1 and no Rx on SDL carrier 2</w:t>
            </w:r>
          </w:p>
          <w:p w14:paraId="6848327C">
            <w:pPr>
              <w:pStyle w:val="67"/>
              <w:ind w:left="150" w:leftChars="-56"/>
              <w:rPr>
                <w:rFonts w:ascii="Arial" w:hAnsi="Arial" w:cs="Arial"/>
                <w:color w:val="000000"/>
                <w:sz w:val="18"/>
                <w:szCs w:val="18"/>
                <w:highlight w:val="none"/>
                <w:lang w:eastAsia="en-US"/>
              </w:rPr>
            </w:pPr>
            <w:r>
              <w:rPr>
                <w:rFonts w:ascii="Arial" w:hAnsi="Arial" w:cs="Arial"/>
                <w:sz w:val="18"/>
                <w:szCs w:val="18"/>
                <w:highlight w:val="none"/>
              </w:rPr>
              <w:t>-</w:t>
            </w:r>
            <w:r>
              <w:rPr>
                <w:rFonts w:ascii="Arial" w:hAnsi="Arial" w:cs="Arial"/>
                <w:sz w:val="18"/>
                <w:szCs w:val="18"/>
                <w:highlight w:val="none"/>
              </w:rPr>
              <w:tab/>
            </w:r>
            <w:r>
              <w:rPr>
                <w:rFonts w:ascii="Arial" w:hAnsi="Arial" w:cs="Arial"/>
                <w:sz w:val="18"/>
                <w:szCs w:val="18"/>
                <w:highlight w:val="none"/>
              </w:rPr>
              <w:t>Case 2: Rx on SDL carrier 2 and no Tx/Rx on FDD carrier 1</w:t>
            </w:r>
          </w:p>
          <w:p w14:paraId="7E170F97">
            <w:pPr>
              <w:keepNext/>
              <w:keepLines/>
              <w:rPr>
                <w:rFonts w:ascii="Arial" w:hAnsi="Arial" w:cs="Arial"/>
                <w:color w:val="000000"/>
                <w:sz w:val="18"/>
                <w:szCs w:val="18"/>
                <w:highlight w:val="none"/>
                <w:lang w:eastAsia="en-US"/>
              </w:rPr>
            </w:pPr>
          </w:p>
          <w:p w14:paraId="0A16B335">
            <w:pPr>
              <w:contextualSpacing/>
              <w:rPr>
                <w:rFonts w:ascii="Arial" w:hAnsi="Arial" w:cs="Arial"/>
                <w:color w:val="000000"/>
                <w:sz w:val="18"/>
                <w:szCs w:val="18"/>
                <w:highlight w:val="none"/>
                <w:lang w:eastAsia="en-US"/>
              </w:rPr>
            </w:pPr>
            <w:r>
              <w:rPr>
                <w:rFonts w:ascii="Arial" w:hAnsi="Arial" w:cs="Arial"/>
                <w:i/>
                <w:color w:val="000000"/>
                <w:sz w:val="18"/>
                <w:szCs w:val="18"/>
                <w:highlight w:val="none"/>
                <w:lang w:eastAsia="en-US"/>
              </w:rPr>
              <w:t>switchingPeriodForFDD-SDL</w:t>
            </w:r>
            <w:r>
              <w:rPr>
                <w:rFonts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47C6987A">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bl>
    <w:p w14:paraId="17304858">
      <w:pPr>
        <w:rPr>
          <w:rFonts w:hint="eastAsia"/>
        </w:rPr>
      </w:pPr>
    </w:p>
    <w:p w14:paraId="3CE8F7F2">
      <w:pPr>
        <w:rPr>
          <w:rFonts w:hint="eastAsia"/>
        </w:rPr>
      </w:pPr>
    </w:p>
    <w:p w14:paraId="2D7F769A">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Others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3CC934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176A0E2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AAEB2AE">
            <w:pPr>
              <w:keepNext/>
              <w:keepLines/>
              <w:rPr>
                <w:rFonts w:ascii="Arial" w:hAnsi="Arial" w:cs="Arial"/>
                <w:b/>
                <w:sz w:val="18"/>
              </w:rPr>
            </w:pPr>
            <w:r>
              <w:rPr>
                <w:rFonts w:ascii="Arial" w:hAnsi="Arial" w:cs="Arial"/>
                <w:b/>
                <w:sz w:val="18"/>
              </w:rPr>
              <w:t>Type</w:t>
            </w:r>
          </w:p>
          <w:p w14:paraId="7B09B15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vAlign w:val="top"/>
          </w:tcPr>
          <w:p w14:paraId="35BAEF64">
            <w:pPr>
              <w:keepNext/>
              <w:keepLines/>
              <w:overflowPunct w:val="0"/>
              <w:autoSpaceDE w:val="0"/>
              <w:autoSpaceDN w:val="0"/>
              <w:adjustRightInd w:val="0"/>
              <w:textAlignment w:val="baseline"/>
              <w:rPr>
                <w:rFonts w:ascii="Arial" w:hAnsi="Arial" w:cs="Arial" w:eastAsiaTheme="minorEastAsia"/>
                <w:sz w:val="18"/>
                <w:szCs w:val="18"/>
                <w:highlight w:val="none"/>
              </w:rPr>
            </w:pPr>
            <w:r>
              <w:rPr>
                <w:rFonts w:hint="eastAsia" w:ascii="Arial" w:hAnsi="Arial" w:cs="Arial" w:eastAsiaTheme="minorEastAsia"/>
                <w:sz w:val="18"/>
                <w:szCs w:val="18"/>
                <w:highlight w:val="none"/>
                <w:lang w:val="en-US" w:eastAsia="zh-CN"/>
              </w:rPr>
              <w:t>57</w:t>
            </w:r>
            <w:r>
              <w:rPr>
                <w:rFonts w:hint="eastAsia" w:ascii="Arial" w:hAnsi="Arial" w:cs="Arial" w:eastAsiaTheme="minorEastAsia"/>
                <w:sz w:val="18"/>
                <w:szCs w:val="18"/>
                <w:highlight w:val="none"/>
              </w:rPr>
              <w:t>.3Tx UL switching</w:t>
            </w:r>
          </w:p>
        </w:tc>
        <w:tc>
          <w:tcPr>
            <w:tcW w:w="702" w:type="dxa"/>
            <w:shd w:val="clear" w:color="auto" w:fill="auto"/>
            <w:vAlign w:val="top"/>
          </w:tcPr>
          <w:p w14:paraId="5F7E8ECA">
            <w:pPr>
              <w:keepNext/>
              <w:keepLines/>
              <w:rPr>
                <w:rFonts w:ascii="Arial" w:hAnsi="Arial" w:cs="Arial" w:eastAsiaTheme="minorEastAsia"/>
                <w:sz w:val="18"/>
                <w:highlight w:val="none"/>
              </w:rPr>
            </w:pPr>
            <w:r>
              <w:rPr>
                <w:rFonts w:ascii="Arial" w:hAnsi="Arial" w:cs="Arial" w:eastAsiaTheme="minorEastAsia"/>
                <w:color w:val="000000"/>
                <w:sz w:val="16"/>
                <w:szCs w:val="18"/>
                <w:highlight w:val="none"/>
                <w:lang w:eastAsia="zh-CN"/>
              </w:rPr>
              <w:t>5</w:t>
            </w:r>
            <w:r>
              <w:rPr>
                <w:rFonts w:hint="eastAsia" w:ascii="Arial" w:hAnsi="Arial" w:cs="Arial" w:eastAsiaTheme="minorEastAsia"/>
                <w:color w:val="000000"/>
                <w:sz w:val="16"/>
                <w:szCs w:val="18"/>
                <w:highlight w:val="none"/>
                <w:lang w:val="en-US" w:eastAsia="zh-CN"/>
              </w:rPr>
              <w:t>7</w:t>
            </w:r>
            <w:r>
              <w:rPr>
                <w:rFonts w:ascii="Arial" w:hAnsi="Arial" w:cs="Arial"/>
                <w:color w:val="000000"/>
                <w:sz w:val="16"/>
                <w:szCs w:val="18"/>
                <w:highlight w:val="none"/>
              </w:rPr>
              <w:t>-1</w:t>
            </w:r>
          </w:p>
        </w:tc>
        <w:tc>
          <w:tcPr>
            <w:tcW w:w="1327" w:type="dxa"/>
            <w:shd w:val="clear" w:color="auto" w:fill="auto"/>
            <w:vAlign w:val="top"/>
          </w:tcPr>
          <w:p w14:paraId="1538D5D2">
            <w:pPr>
              <w:keepNext/>
              <w:keepLines/>
              <w:rPr>
                <w:rFonts w:ascii="Arial" w:hAnsi="Arial" w:cs="Arial"/>
                <w:sz w:val="18"/>
                <w:highlight w:val="none"/>
              </w:rPr>
            </w:pPr>
            <w:r>
              <w:rPr>
                <w:rFonts w:ascii="Arial" w:hAnsi="Arial" w:cs="Arial"/>
                <w:sz w:val="16"/>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ascii="Arial" w:hAnsi="Arial" w:cs="Arial"/>
                <w:sz w:val="18"/>
                <w:highlight w:val="none"/>
              </w:rPr>
            </w:pPr>
            <w:r>
              <w:rPr>
                <w:rFonts w:ascii="Arial" w:hAnsi="Arial" w:cs="Arial"/>
                <w:sz w:val="16"/>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ascii="Arial" w:hAnsi="Arial" w:eastAsia="Times New Roman" w:cs="Arial"/>
                <w:b/>
                <w:sz w:val="18"/>
                <w:highlight w:val="none"/>
              </w:rPr>
            </w:pPr>
            <w:r>
              <w:rPr>
                <w:rFonts w:ascii="Arial" w:hAnsi="Arial" w:cs="Arial"/>
                <w:sz w:val="16"/>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ascii="Arial" w:hAnsi="Arial" w:cs="Arial"/>
                <w:sz w:val="18"/>
                <w:highlight w:val="none"/>
              </w:rPr>
            </w:pPr>
            <w:r>
              <w:rPr>
                <w:rFonts w:ascii="Arial" w:hAnsi="Arial" w:cs="Arial"/>
                <w:sz w:val="16"/>
                <w:szCs w:val="18"/>
                <w:highlight w:val="none"/>
              </w:rPr>
              <w:t>Yes</w:t>
            </w:r>
          </w:p>
        </w:tc>
        <w:tc>
          <w:tcPr>
            <w:tcW w:w="1414" w:type="dxa"/>
            <w:shd w:val="clear" w:color="auto" w:fill="auto"/>
            <w:vAlign w:val="top"/>
          </w:tcPr>
          <w:p w14:paraId="237826C0">
            <w:pPr>
              <w:keepNext/>
              <w:keepLines/>
              <w:rPr>
                <w:rFonts w:ascii="Arial" w:hAnsi="Arial" w:eastAsia="Gulim" w:cs="Arial"/>
                <w:b/>
                <w:sz w:val="18"/>
                <w:highlight w:val="none"/>
              </w:rPr>
            </w:pPr>
            <w:r>
              <w:rPr>
                <w:rFonts w:ascii="Arial" w:hAnsi="Arial" w:cs="Arial"/>
                <w:sz w:val="16"/>
                <w:szCs w:val="18"/>
                <w:highlight w:val="none"/>
              </w:rPr>
              <w:t>N/A</w:t>
            </w:r>
          </w:p>
        </w:tc>
        <w:tc>
          <w:tcPr>
            <w:tcW w:w="1410" w:type="dxa"/>
            <w:vAlign w:val="top"/>
          </w:tcPr>
          <w:p w14:paraId="53734713">
            <w:pPr>
              <w:keepNext/>
              <w:keepLines/>
              <w:rPr>
                <w:rFonts w:ascii="Arial" w:hAnsi="Arial" w:cs="Arial"/>
                <w:sz w:val="18"/>
                <w:highlight w:val="none"/>
              </w:rPr>
            </w:pPr>
            <w:r>
              <w:rPr>
                <w:rFonts w:ascii="Arial" w:hAnsi="Arial" w:cs="Arial"/>
                <w:sz w:val="16"/>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ascii="Arial" w:hAnsi="Arial" w:cs="Arial"/>
                <w:sz w:val="18"/>
                <w:highlight w:val="none"/>
              </w:rPr>
            </w:pPr>
            <w:r>
              <w:rPr>
                <w:rFonts w:cs="Arial"/>
                <w:color w:val="000000"/>
                <w:sz w:val="16"/>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ascii="Arial" w:hAnsi="Arial" w:cs="Arial"/>
                <w:sz w:val="18"/>
                <w:highlight w:val="none"/>
              </w:rPr>
            </w:pPr>
            <w:r>
              <w:rPr>
                <w:rFonts w:ascii="Arial" w:hAnsi="Arial" w:cs="Arial"/>
                <w:color w:val="000000"/>
                <w:sz w:val="16"/>
                <w:szCs w:val="18"/>
                <w:highlight w:val="none"/>
              </w:rPr>
              <w:t>No need</w:t>
            </w:r>
          </w:p>
        </w:tc>
        <w:tc>
          <w:tcPr>
            <w:tcW w:w="1416" w:type="dxa"/>
            <w:shd w:val="clear" w:color="auto" w:fill="auto"/>
            <w:vAlign w:val="top"/>
          </w:tcPr>
          <w:p w14:paraId="6D484F53">
            <w:pPr>
              <w:keepNext/>
              <w:keepLines/>
              <w:rPr>
                <w:rFonts w:ascii="Arial" w:hAnsi="Arial" w:cs="Arial"/>
                <w:sz w:val="18"/>
                <w:highlight w:val="none"/>
              </w:rPr>
            </w:pPr>
            <w:r>
              <w:rPr>
                <w:rFonts w:ascii="Arial" w:hAnsi="Arial" w:cs="Arial"/>
                <w:color w:val="000000"/>
                <w:sz w:val="16"/>
                <w:szCs w:val="18"/>
                <w:highlight w:val="none"/>
              </w:rPr>
              <w:t>FR1 only</w:t>
            </w:r>
          </w:p>
        </w:tc>
        <w:tc>
          <w:tcPr>
            <w:tcW w:w="1686" w:type="dxa"/>
            <w:vAlign w:val="top"/>
          </w:tcPr>
          <w:p w14:paraId="0A181C51">
            <w:pPr>
              <w:keepNext/>
              <w:keepLines/>
              <w:rPr>
                <w:rFonts w:ascii="Arial" w:hAnsi="Arial" w:eastAsia="Times New Roman" w:cs="Arial"/>
                <w:b/>
                <w:sz w:val="18"/>
                <w:highlight w:val="none"/>
              </w:rPr>
            </w:pPr>
            <w:r>
              <w:rPr>
                <w:rFonts w:ascii="Arial" w:hAnsi="Arial" w:cs="Arial"/>
                <w:color w:val="000000"/>
                <w:sz w:val="16"/>
                <w:szCs w:val="18"/>
                <w:highlight w:val="none"/>
              </w:rPr>
              <w:t>Support mixture of FDD/TDD</w:t>
            </w:r>
          </w:p>
        </w:tc>
        <w:tc>
          <w:tcPr>
            <w:tcW w:w="1432" w:type="dxa"/>
            <w:shd w:val="clear" w:color="auto" w:fill="auto"/>
            <w:vAlign w:val="top"/>
          </w:tcPr>
          <w:p w14:paraId="1C256208">
            <w:pPr>
              <w:pStyle w:val="111"/>
              <w:rPr>
                <w:rFonts w:cs="Arial"/>
                <w:color w:val="000000"/>
                <w:sz w:val="16"/>
                <w:szCs w:val="18"/>
                <w:highlight w:val="none"/>
                <w:lang w:eastAsia="ja-JP"/>
              </w:rPr>
            </w:pPr>
            <w:r>
              <w:rPr>
                <w:rFonts w:cs="Arial"/>
                <w:color w:val="000000"/>
                <w:sz w:val="16"/>
                <w:szCs w:val="18"/>
                <w:highlight w:val="none"/>
                <w:lang w:eastAsia="ja-JP"/>
              </w:rPr>
              <w:t>Candidate value set: {35us, 140 us, 210us}</w:t>
            </w:r>
          </w:p>
          <w:p w14:paraId="21CE08F2">
            <w:pPr>
              <w:keepNext/>
              <w:keepLines/>
              <w:rPr>
                <w:rFonts w:ascii="Arial" w:hAnsi="Arial" w:cs="Arial" w:eastAsiaTheme="minorEastAsia"/>
                <w:color w:val="000000"/>
                <w:sz w:val="16"/>
                <w:szCs w:val="18"/>
                <w:highlight w:val="none"/>
              </w:rPr>
            </w:pPr>
          </w:p>
          <w:p w14:paraId="43CCBFFE">
            <w:pPr>
              <w:keepNext/>
              <w:keepLines/>
              <w:rPr>
                <w:rFonts w:ascii="Arial" w:hAnsi="Arial" w:eastAsia="Times New Roman" w:cs="Arial"/>
                <w:b/>
                <w:sz w:val="18"/>
                <w:highlight w:val="none"/>
              </w:rPr>
            </w:pPr>
            <w:r>
              <w:rPr>
                <w:rFonts w:ascii="Arial" w:hAnsi="Arial" w:eastAsia="PMingLiU" w:cs="Arial"/>
                <w:color w:val="000000"/>
                <w:sz w:val="16"/>
                <w:szCs w:val="18"/>
                <w:highlight w:val="none"/>
                <w:lang w:eastAsia="zh-TW"/>
              </w:rPr>
              <w:t xml:space="preserve">UE is mandatory to support dualUL when supporting this feature </w:t>
            </w:r>
          </w:p>
        </w:tc>
        <w:tc>
          <w:tcPr>
            <w:tcW w:w="1906" w:type="dxa"/>
            <w:shd w:val="clear" w:color="auto" w:fill="auto"/>
            <w:vAlign w:val="top"/>
          </w:tcPr>
          <w:p w14:paraId="0D297EEB">
            <w:pPr>
              <w:pStyle w:val="111"/>
              <w:rPr>
                <w:rFonts w:cs="Arial"/>
                <w:color w:val="000000"/>
                <w:sz w:val="16"/>
                <w:szCs w:val="18"/>
                <w:highlight w:val="none"/>
                <w:lang w:eastAsia="ja-JP"/>
              </w:rPr>
            </w:pPr>
            <w:r>
              <w:rPr>
                <w:rFonts w:cs="Arial"/>
                <w:color w:val="000000"/>
                <w:sz w:val="16"/>
                <w:szCs w:val="18"/>
                <w:highlight w:val="none"/>
                <w:lang w:eastAsia="ja-JP"/>
              </w:rPr>
              <w:t>Optional with capability signalling</w:t>
            </w:r>
          </w:p>
          <w:p w14:paraId="2E8FAB73">
            <w:pPr>
              <w:keepNext/>
              <w:keepLines/>
              <w:rPr>
                <w:rFonts w:ascii="Arial" w:hAnsi="Arial" w:cs="Arial"/>
                <w:sz w:val="18"/>
                <w:highlight w:val="none"/>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vAlign w:val="top"/>
          </w:tcPr>
          <w:p w14:paraId="4CA76A41">
            <w:pPr>
              <w:keepNext/>
              <w:keepLines/>
              <w:overflowPunct w:val="0"/>
              <w:autoSpaceDE w:val="0"/>
              <w:autoSpaceDN w:val="0"/>
              <w:adjustRightInd w:val="0"/>
              <w:textAlignment w:val="baseline"/>
              <w:rPr>
                <w:rFonts w:ascii="Arial" w:hAnsi="Arial" w:cs="Arial" w:eastAsiaTheme="minorEastAsia"/>
                <w:sz w:val="18"/>
                <w:szCs w:val="18"/>
                <w:highlight w:val="none"/>
              </w:rPr>
            </w:pPr>
          </w:p>
        </w:tc>
        <w:tc>
          <w:tcPr>
            <w:tcW w:w="702" w:type="dxa"/>
            <w:shd w:val="clear" w:color="auto" w:fill="auto"/>
            <w:vAlign w:val="top"/>
          </w:tcPr>
          <w:p w14:paraId="4DA41495">
            <w:pPr>
              <w:keepNext/>
              <w:keepLines/>
              <w:rPr>
                <w:rFonts w:ascii="Arial" w:hAnsi="Arial" w:cs="Arial" w:eastAsiaTheme="minorEastAsia"/>
                <w:sz w:val="18"/>
                <w:highlight w:val="none"/>
              </w:rPr>
            </w:pPr>
            <w:r>
              <w:rPr>
                <w:rFonts w:ascii="Arial" w:hAnsi="Arial" w:cs="Arial" w:eastAsiaTheme="minorEastAsia"/>
                <w:sz w:val="16"/>
                <w:szCs w:val="18"/>
                <w:highlight w:val="none"/>
                <w:lang w:eastAsia="zh-CN"/>
              </w:rPr>
              <w:t>5</w:t>
            </w:r>
            <w:r>
              <w:rPr>
                <w:rFonts w:hint="eastAsia" w:ascii="Arial" w:hAnsi="Arial" w:cs="Arial" w:eastAsiaTheme="minorEastAsia"/>
                <w:sz w:val="16"/>
                <w:szCs w:val="18"/>
                <w:highlight w:val="none"/>
                <w:lang w:val="en-US" w:eastAsia="zh-CN"/>
              </w:rPr>
              <w:t>7</w:t>
            </w:r>
            <w:r>
              <w:rPr>
                <w:rFonts w:ascii="Arial" w:hAnsi="Arial" w:cs="Arial" w:eastAsiaTheme="minorEastAsia"/>
                <w:sz w:val="16"/>
                <w:szCs w:val="18"/>
                <w:highlight w:val="none"/>
                <w:lang w:eastAsia="zh-CN"/>
              </w:rPr>
              <w:t>-2</w:t>
            </w:r>
          </w:p>
        </w:tc>
        <w:tc>
          <w:tcPr>
            <w:tcW w:w="1327" w:type="dxa"/>
            <w:shd w:val="clear" w:color="auto" w:fill="auto"/>
            <w:vAlign w:val="top"/>
          </w:tcPr>
          <w:p w14:paraId="2AB67138">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 xml:space="preserve">Application of DL interruptions due to </w:t>
            </w:r>
            <w:r>
              <w:rPr>
                <w:rFonts w:ascii="Arial" w:hAnsi="Arial" w:cs="Arial"/>
                <w:sz w:val="16"/>
                <w:szCs w:val="18"/>
                <w:highlight w:val="none"/>
              </w:rPr>
              <w:t>dynamic UL Tx switching between 2 bands for 3Tx UE with up to 2Tx per band</w:t>
            </w:r>
            <w:r>
              <w:rPr>
                <w:rFonts w:ascii="Arial" w:hAnsi="Arial" w:eastAsia="Yu Mincho" w:cs="Arial"/>
                <w:sz w:val="16"/>
                <w:szCs w:val="18"/>
                <w:highlight w:val="none"/>
                <w:lang w:eastAsia="zh-CN"/>
              </w:rPr>
              <w:t xml:space="preserve"> </w:t>
            </w:r>
          </w:p>
        </w:tc>
        <w:tc>
          <w:tcPr>
            <w:tcW w:w="3835" w:type="dxa"/>
            <w:shd w:val="clear" w:color="auto" w:fill="auto"/>
            <w:vAlign w:val="top"/>
          </w:tcPr>
          <w:p w14:paraId="34224A0F">
            <w:pPr>
              <w:snapToGrid w:val="0"/>
              <w:contextualSpacing/>
              <w:rPr>
                <w:rFonts w:ascii="Arial" w:hAnsi="Arial" w:cs="Arial"/>
                <w:sz w:val="18"/>
                <w:highlight w:val="none"/>
              </w:rPr>
            </w:pPr>
            <w:r>
              <w:rPr>
                <w:rFonts w:ascii="Arial" w:hAnsi="Arial" w:eastAsia="Yu Mincho" w:cs="Arial"/>
                <w:sz w:val="16"/>
                <w:szCs w:val="18"/>
                <w:highlight w:val="none"/>
                <w:lang w:eastAsia="zh-CN"/>
              </w:rPr>
              <w:t xml:space="preserve">Capability to indicate that for the band where DL interruption is needed due to </w:t>
            </w:r>
            <w:r>
              <w:rPr>
                <w:rFonts w:ascii="Arial" w:hAnsi="Arial" w:cs="Arial"/>
                <w:sz w:val="16"/>
                <w:szCs w:val="18"/>
                <w:highlight w:val="none"/>
              </w:rPr>
              <w:t>dynamic UL Tx switching between 2 band for 3Tx UE with up to 2Tx per band</w:t>
            </w:r>
          </w:p>
        </w:tc>
        <w:tc>
          <w:tcPr>
            <w:tcW w:w="1458" w:type="dxa"/>
            <w:shd w:val="clear" w:color="auto" w:fill="auto"/>
            <w:vAlign w:val="top"/>
          </w:tcPr>
          <w:p w14:paraId="227FFDB0">
            <w:pPr>
              <w:keepNext/>
              <w:keepLines/>
              <w:rPr>
                <w:rFonts w:ascii="Arial" w:hAnsi="Arial" w:eastAsia="Times New Roman" w:cs="Arial"/>
                <w:b/>
                <w:sz w:val="18"/>
                <w:highlight w:val="none"/>
              </w:rPr>
            </w:pPr>
            <w:r>
              <w:rPr>
                <w:rFonts w:ascii="Arial" w:hAnsi="Arial" w:cs="Arial" w:eastAsiaTheme="minorEastAsia"/>
                <w:sz w:val="16"/>
                <w:szCs w:val="18"/>
                <w:highlight w:val="none"/>
                <w:lang w:eastAsia="zh-CN"/>
              </w:rPr>
              <w:t>5</w:t>
            </w:r>
            <w:r>
              <w:rPr>
                <w:rFonts w:hint="eastAsia" w:ascii="Arial" w:hAnsi="Arial" w:cs="Arial" w:eastAsiaTheme="minorEastAsia"/>
                <w:sz w:val="16"/>
                <w:szCs w:val="18"/>
                <w:highlight w:val="none"/>
                <w:lang w:val="en-US" w:eastAsia="zh-CN"/>
              </w:rPr>
              <w:t>7</w:t>
            </w:r>
            <w:r>
              <w:rPr>
                <w:rFonts w:ascii="Arial" w:hAnsi="Arial" w:cs="Arial" w:eastAsiaTheme="minorEastAsia"/>
                <w:sz w:val="16"/>
                <w:szCs w:val="18"/>
                <w:highlight w:val="none"/>
                <w:lang w:eastAsia="zh-CN"/>
              </w:rPr>
              <w:t>-1</w:t>
            </w:r>
          </w:p>
        </w:tc>
        <w:tc>
          <w:tcPr>
            <w:tcW w:w="1121" w:type="dxa"/>
            <w:shd w:val="clear" w:color="auto" w:fill="auto"/>
            <w:vAlign w:val="top"/>
          </w:tcPr>
          <w:p w14:paraId="2334136B">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Yes</w:t>
            </w:r>
          </w:p>
        </w:tc>
        <w:tc>
          <w:tcPr>
            <w:tcW w:w="1414" w:type="dxa"/>
            <w:shd w:val="clear" w:color="auto" w:fill="auto"/>
            <w:vAlign w:val="top"/>
          </w:tcPr>
          <w:p w14:paraId="1FD9B87B">
            <w:pPr>
              <w:keepNext/>
              <w:keepLines/>
              <w:rPr>
                <w:rFonts w:ascii="Arial" w:hAnsi="Arial" w:cs="Arial" w:eastAsiaTheme="minorEastAsia"/>
                <w:b/>
                <w:sz w:val="18"/>
                <w:highlight w:val="none"/>
              </w:rPr>
            </w:pPr>
            <w:r>
              <w:rPr>
                <w:rFonts w:ascii="Arial" w:hAnsi="Arial" w:eastAsia="Yu Mincho" w:cs="Arial"/>
                <w:sz w:val="16"/>
                <w:szCs w:val="18"/>
                <w:highlight w:val="none"/>
                <w:lang w:eastAsia="zh-CN"/>
              </w:rPr>
              <w:t>N/A</w:t>
            </w:r>
          </w:p>
        </w:tc>
        <w:tc>
          <w:tcPr>
            <w:tcW w:w="1410" w:type="dxa"/>
            <w:vAlign w:val="top"/>
          </w:tcPr>
          <w:p w14:paraId="7E86FA88">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No need</w:t>
            </w:r>
          </w:p>
        </w:tc>
        <w:tc>
          <w:tcPr>
            <w:tcW w:w="1416" w:type="dxa"/>
            <w:shd w:val="clear" w:color="auto" w:fill="auto"/>
            <w:vAlign w:val="top"/>
          </w:tcPr>
          <w:p w14:paraId="6E8B9748">
            <w:pPr>
              <w:keepNext/>
              <w:keepLines/>
              <w:rPr>
                <w:rFonts w:ascii="Arial" w:hAnsi="Arial" w:cs="Arial"/>
                <w:sz w:val="18"/>
                <w:highlight w:val="none"/>
              </w:rPr>
            </w:pPr>
            <w:r>
              <w:rPr>
                <w:rFonts w:ascii="Arial" w:hAnsi="Arial" w:cs="Arial"/>
                <w:color w:val="000000"/>
                <w:sz w:val="16"/>
                <w:szCs w:val="18"/>
                <w:highlight w:val="none"/>
              </w:rPr>
              <w:t>FR1 only</w:t>
            </w:r>
          </w:p>
        </w:tc>
        <w:tc>
          <w:tcPr>
            <w:tcW w:w="1686" w:type="dxa"/>
            <w:vAlign w:val="top"/>
          </w:tcPr>
          <w:p w14:paraId="7C37A80D">
            <w:pPr>
              <w:keepNext/>
              <w:keepLines/>
              <w:rPr>
                <w:rFonts w:ascii="Arial" w:hAnsi="Arial" w:cs="Arial" w:eastAsiaTheme="minorEastAsia"/>
                <w:b/>
                <w:sz w:val="18"/>
                <w:highlight w:val="none"/>
              </w:rPr>
            </w:pPr>
            <w:r>
              <w:rPr>
                <w:rFonts w:ascii="Arial" w:hAnsi="Arial" w:eastAsia="Yu Mincho" w:cs="Arial"/>
                <w:sz w:val="16"/>
                <w:szCs w:val="18"/>
                <w:highlight w:val="none"/>
                <w:lang w:eastAsia="zh-CN"/>
              </w:rPr>
              <w:t>Support mixture of FDD/TDD</w:t>
            </w:r>
          </w:p>
        </w:tc>
        <w:tc>
          <w:tcPr>
            <w:tcW w:w="1432" w:type="dxa"/>
            <w:shd w:val="clear" w:color="auto" w:fill="auto"/>
            <w:vAlign w:val="top"/>
          </w:tcPr>
          <w:p w14:paraId="2028121F">
            <w:pPr>
              <w:keepNext/>
              <w:keepLines/>
              <w:rPr>
                <w:rFonts w:ascii="Arial" w:hAnsi="Arial" w:eastAsia="Times New Roman" w:cs="Arial"/>
                <w:b/>
                <w:sz w:val="18"/>
                <w:highlight w:val="none"/>
              </w:rPr>
            </w:pPr>
          </w:p>
        </w:tc>
        <w:tc>
          <w:tcPr>
            <w:tcW w:w="1906" w:type="dxa"/>
            <w:shd w:val="clear" w:color="auto" w:fill="auto"/>
            <w:vAlign w:val="top"/>
          </w:tcPr>
          <w:p w14:paraId="3C78817A">
            <w:pPr>
              <w:pStyle w:val="111"/>
              <w:rPr>
                <w:rFonts w:eastAsia="Yu Mincho" w:cs="Arial"/>
                <w:sz w:val="16"/>
                <w:szCs w:val="18"/>
                <w:highlight w:val="none"/>
                <w:lang w:eastAsia="zh-CN"/>
              </w:rPr>
            </w:pPr>
            <w:r>
              <w:rPr>
                <w:rFonts w:eastAsia="Yu Mincho" w:cs="Arial"/>
                <w:sz w:val="16"/>
                <w:szCs w:val="18"/>
                <w:highlight w:val="none"/>
                <w:lang w:eastAsia="zh-CN"/>
              </w:rPr>
              <w:t>Optional with capability signalling</w:t>
            </w:r>
          </w:p>
          <w:p w14:paraId="51CFC50F">
            <w:pPr>
              <w:pStyle w:val="111"/>
              <w:rPr>
                <w:rFonts w:eastAsia="Yu Mincho" w:cs="Arial"/>
                <w:sz w:val="16"/>
                <w:szCs w:val="18"/>
                <w:highlight w:val="none"/>
                <w:lang w:eastAsia="zh-CN"/>
              </w:rPr>
            </w:pPr>
          </w:p>
          <w:p w14:paraId="5C40D215">
            <w:pPr>
              <w:keepNext/>
              <w:keepLines/>
              <w:rPr>
                <w:rFonts w:ascii="Arial" w:hAnsi="Arial" w:cs="Arial"/>
                <w:sz w:val="18"/>
                <w:highlight w:val="none"/>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vAlign w:val="top"/>
          </w:tcPr>
          <w:p w14:paraId="78D84D9C">
            <w:pPr>
              <w:keepNext/>
              <w:keepLines/>
              <w:overflowPunct w:val="0"/>
              <w:autoSpaceDE w:val="0"/>
              <w:autoSpaceDN w:val="0"/>
              <w:adjustRightInd w:val="0"/>
              <w:textAlignment w:val="baseline"/>
              <w:rPr>
                <w:rFonts w:ascii="Arial" w:hAnsi="Arial" w:cs="Arial" w:eastAsiaTheme="minorEastAsia"/>
                <w:sz w:val="18"/>
                <w:szCs w:val="18"/>
                <w:highlight w:val="none"/>
              </w:rPr>
            </w:pPr>
          </w:p>
        </w:tc>
        <w:tc>
          <w:tcPr>
            <w:tcW w:w="702" w:type="dxa"/>
            <w:shd w:val="clear" w:color="auto" w:fill="auto"/>
            <w:vAlign w:val="top"/>
          </w:tcPr>
          <w:p w14:paraId="1D2663FE">
            <w:pPr>
              <w:keepNext/>
              <w:keepLines/>
              <w:rPr>
                <w:rFonts w:ascii="Arial" w:hAnsi="Arial" w:cs="Arial" w:eastAsiaTheme="minorEastAsia"/>
                <w:sz w:val="18"/>
                <w:highlight w:val="none"/>
              </w:rPr>
            </w:pPr>
            <w:r>
              <w:rPr>
                <w:rFonts w:ascii="Arial" w:hAnsi="Arial" w:cs="Arial" w:eastAsiaTheme="minorEastAsia"/>
                <w:sz w:val="16"/>
                <w:szCs w:val="18"/>
                <w:highlight w:val="none"/>
                <w:lang w:eastAsia="zh-CN"/>
              </w:rPr>
              <w:t>5</w:t>
            </w:r>
            <w:r>
              <w:rPr>
                <w:rFonts w:hint="eastAsia" w:ascii="Arial" w:hAnsi="Arial" w:cs="Arial" w:eastAsiaTheme="minorEastAsia"/>
                <w:sz w:val="16"/>
                <w:szCs w:val="18"/>
                <w:highlight w:val="none"/>
                <w:lang w:val="en-US" w:eastAsia="zh-CN"/>
              </w:rPr>
              <w:t>7</w:t>
            </w:r>
            <w:r>
              <w:rPr>
                <w:rFonts w:ascii="Arial" w:hAnsi="Arial" w:cs="Arial" w:eastAsiaTheme="minorEastAsia"/>
                <w:sz w:val="16"/>
                <w:szCs w:val="18"/>
                <w:highlight w:val="none"/>
                <w:lang w:eastAsia="zh-CN"/>
              </w:rPr>
              <w:t>-3</w:t>
            </w:r>
          </w:p>
        </w:tc>
        <w:tc>
          <w:tcPr>
            <w:tcW w:w="1327" w:type="dxa"/>
            <w:shd w:val="clear" w:color="auto" w:fill="auto"/>
            <w:vAlign w:val="top"/>
          </w:tcPr>
          <w:p w14:paraId="64D6C6BC">
            <w:pPr>
              <w:keepNext/>
              <w:keepLines/>
              <w:rPr>
                <w:rFonts w:ascii="Arial" w:hAnsi="Arial" w:cs="Arial"/>
                <w:sz w:val="18"/>
                <w:highlight w:val="none"/>
              </w:rPr>
            </w:pPr>
            <w:r>
              <w:rPr>
                <w:rFonts w:ascii="Arial" w:hAnsi="Arial" w:eastAsia="Yu Mincho" w:cs="Arial"/>
                <w:sz w:val="16"/>
                <w:szCs w:val="18"/>
                <w:highlight w:val="none"/>
                <w:lang w:eastAsia="zh-CN"/>
              </w:rPr>
              <w:t xml:space="preserve">UL-MIMO coherence capability for </w:t>
            </w:r>
            <w:r>
              <w:rPr>
                <w:rFonts w:ascii="Arial" w:hAnsi="Arial" w:cs="Arial"/>
                <w:sz w:val="16"/>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ascii="Arial" w:hAnsi="Arial" w:cs="Arial" w:eastAsiaTheme="minorEastAsia"/>
                <w:sz w:val="18"/>
                <w:highlight w:val="none"/>
              </w:rPr>
            </w:pPr>
            <w:r>
              <w:rPr>
                <w:rFonts w:ascii="Arial" w:hAnsi="Arial" w:eastAsia="Yu Mincho" w:cs="Arial"/>
                <w:sz w:val="16"/>
                <w:szCs w:val="18"/>
                <w:highlight w:val="none"/>
                <w:lang w:eastAsia="zh-CN"/>
              </w:rPr>
              <w:t xml:space="preserve">Capability to indicate whether UL-MIMO coherence is supported when </w:t>
            </w:r>
            <w:r>
              <w:rPr>
                <w:rFonts w:ascii="Arial" w:hAnsi="Arial" w:cs="Arial"/>
                <w:sz w:val="16"/>
                <w:szCs w:val="18"/>
                <w:highlight w:val="none"/>
              </w:rPr>
              <w:t>dynamic UL Tx switching between 2 bands for 3Tx UE with up to 2Tx per band</w:t>
            </w:r>
            <w:r>
              <w:rPr>
                <w:rFonts w:ascii="Arial" w:hAnsi="Arial" w:eastAsia="Yu Mincho" w:cs="Arial"/>
                <w:sz w:val="16"/>
                <w:szCs w:val="18"/>
                <w:highlight w:val="none"/>
                <w:lang w:eastAsia="zh-CN"/>
              </w:rPr>
              <w:t xml:space="preserve"> is conducted. </w:t>
            </w:r>
          </w:p>
        </w:tc>
        <w:tc>
          <w:tcPr>
            <w:tcW w:w="1458" w:type="dxa"/>
            <w:shd w:val="clear" w:color="auto" w:fill="auto"/>
            <w:vAlign w:val="top"/>
          </w:tcPr>
          <w:p w14:paraId="0B8F1C22">
            <w:pPr>
              <w:keepNext/>
              <w:keepLines/>
              <w:rPr>
                <w:rFonts w:ascii="Arial" w:hAnsi="Arial" w:eastAsia="Times New Roman" w:cs="Arial"/>
                <w:b/>
                <w:sz w:val="18"/>
                <w:highlight w:val="none"/>
              </w:rPr>
            </w:pPr>
            <w:r>
              <w:rPr>
                <w:rFonts w:ascii="Arial" w:hAnsi="Arial" w:cs="Arial" w:eastAsiaTheme="minorEastAsia"/>
                <w:sz w:val="16"/>
                <w:szCs w:val="18"/>
                <w:highlight w:val="none"/>
                <w:lang w:eastAsia="zh-CN"/>
              </w:rPr>
              <w:t>5</w:t>
            </w:r>
            <w:r>
              <w:rPr>
                <w:rFonts w:hint="eastAsia" w:ascii="Arial" w:hAnsi="Arial" w:cs="Arial" w:eastAsiaTheme="minorEastAsia"/>
                <w:sz w:val="16"/>
                <w:szCs w:val="18"/>
                <w:highlight w:val="none"/>
                <w:lang w:val="en-US" w:eastAsia="zh-CN"/>
              </w:rPr>
              <w:t>7</w:t>
            </w:r>
            <w:r>
              <w:rPr>
                <w:rFonts w:ascii="Arial" w:hAnsi="Arial" w:cs="Arial" w:eastAsiaTheme="minorEastAsia"/>
                <w:sz w:val="16"/>
                <w:szCs w:val="18"/>
                <w:highlight w:val="none"/>
                <w:lang w:eastAsia="zh-CN"/>
              </w:rPr>
              <w:t>-1</w:t>
            </w:r>
          </w:p>
        </w:tc>
        <w:tc>
          <w:tcPr>
            <w:tcW w:w="1121" w:type="dxa"/>
            <w:shd w:val="clear" w:color="auto" w:fill="auto"/>
            <w:vAlign w:val="top"/>
          </w:tcPr>
          <w:p w14:paraId="0C3701CC">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Yes</w:t>
            </w:r>
          </w:p>
        </w:tc>
        <w:tc>
          <w:tcPr>
            <w:tcW w:w="1414" w:type="dxa"/>
            <w:shd w:val="clear" w:color="auto" w:fill="auto"/>
            <w:vAlign w:val="top"/>
          </w:tcPr>
          <w:p w14:paraId="354CA07D">
            <w:pPr>
              <w:keepNext/>
              <w:keepLines/>
              <w:rPr>
                <w:rFonts w:ascii="Arial" w:hAnsi="Arial" w:cs="Arial" w:eastAsiaTheme="minorEastAsia"/>
                <w:b/>
                <w:sz w:val="18"/>
                <w:highlight w:val="none"/>
              </w:rPr>
            </w:pPr>
            <w:r>
              <w:rPr>
                <w:rFonts w:ascii="Arial" w:hAnsi="Arial" w:eastAsia="Yu Mincho" w:cs="Arial"/>
                <w:sz w:val="16"/>
                <w:szCs w:val="18"/>
                <w:highlight w:val="none"/>
                <w:lang w:eastAsia="zh-CN"/>
              </w:rPr>
              <w:t>N/A</w:t>
            </w:r>
          </w:p>
        </w:tc>
        <w:tc>
          <w:tcPr>
            <w:tcW w:w="1410" w:type="dxa"/>
            <w:vAlign w:val="top"/>
          </w:tcPr>
          <w:p w14:paraId="57B5A9C9">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 xml:space="preserve">Rel-15 per band capability </w:t>
            </w:r>
            <w:r>
              <w:rPr>
                <w:rFonts w:ascii="Arial" w:hAnsi="Arial" w:eastAsia="Yu Mincho" w:cs="Arial"/>
                <w:i/>
                <w:sz w:val="16"/>
                <w:szCs w:val="18"/>
                <w:highlight w:val="none"/>
                <w:lang w:eastAsia="zh-CN"/>
              </w:rPr>
              <w:t>pusch-TransCoherence</w:t>
            </w:r>
            <w:r>
              <w:rPr>
                <w:rFonts w:ascii="Arial" w:hAnsi="Arial" w:eastAsia="Yu Mincho" w:cs="Arial"/>
                <w:sz w:val="16"/>
                <w:szCs w:val="18"/>
                <w:highlight w:val="none"/>
                <w:lang w:eastAsia="zh-CN"/>
              </w:rPr>
              <w:t xml:space="preserve"> is applicable</w:t>
            </w:r>
          </w:p>
        </w:tc>
        <w:tc>
          <w:tcPr>
            <w:tcW w:w="1232" w:type="dxa"/>
            <w:shd w:val="clear" w:color="auto" w:fill="auto"/>
            <w:vAlign w:val="top"/>
          </w:tcPr>
          <w:p w14:paraId="6F3F5DB5">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Per band per BC</w:t>
            </w:r>
          </w:p>
        </w:tc>
        <w:tc>
          <w:tcPr>
            <w:tcW w:w="1416" w:type="dxa"/>
            <w:shd w:val="clear" w:color="auto" w:fill="auto"/>
            <w:vAlign w:val="top"/>
          </w:tcPr>
          <w:p w14:paraId="6CFAD2DA">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No need</w:t>
            </w:r>
          </w:p>
        </w:tc>
        <w:tc>
          <w:tcPr>
            <w:tcW w:w="1416" w:type="dxa"/>
            <w:shd w:val="clear" w:color="auto" w:fill="auto"/>
            <w:vAlign w:val="top"/>
          </w:tcPr>
          <w:p w14:paraId="6D77D6D3">
            <w:pPr>
              <w:keepNext/>
              <w:keepLines/>
              <w:rPr>
                <w:rFonts w:ascii="Arial" w:hAnsi="Arial" w:cs="Arial"/>
                <w:sz w:val="18"/>
                <w:highlight w:val="none"/>
              </w:rPr>
            </w:pPr>
            <w:r>
              <w:rPr>
                <w:rFonts w:ascii="Arial" w:hAnsi="Arial" w:cs="Arial"/>
                <w:color w:val="000000"/>
                <w:sz w:val="16"/>
                <w:szCs w:val="18"/>
                <w:highlight w:val="none"/>
              </w:rPr>
              <w:t>FR1 only</w:t>
            </w:r>
          </w:p>
        </w:tc>
        <w:tc>
          <w:tcPr>
            <w:tcW w:w="1686" w:type="dxa"/>
            <w:vAlign w:val="top"/>
          </w:tcPr>
          <w:p w14:paraId="29795091">
            <w:pPr>
              <w:keepNext/>
              <w:keepLines/>
              <w:rPr>
                <w:rFonts w:ascii="Arial" w:hAnsi="Arial" w:cs="Arial" w:eastAsiaTheme="minorEastAsia"/>
                <w:b/>
                <w:sz w:val="18"/>
                <w:highlight w:val="none"/>
              </w:rPr>
            </w:pPr>
            <w:r>
              <w:rPr>
                <w:rFonts w:ascii="Arial" w:hAnsi="Arial" w:eastAsia="Yu Mincho" w:cs="Arial"/>
                <w:sz w:val="16"/>
                <w:szCs w:val="18"/>
                <w:highlight w:val="none"/>
                <w:lang w:eastAsia="zh-CN"/>
              </w:rPr>
              <w:t>Support mixture of FDD/TDD</w:t>
            </w:r>
          </w:p>
        </w:tc>
        <w:tc>
          <w:tcPr>
            <w:tcW w:w="1432" w:type="dxa"/>
            <w:shd w:val="clear" w:color="auto" w:fill="auto"/>
            <w:vAlign w:val="top"/>
          </w:tcPr>
          <w:p w14:paraId="2E14A484">
            <w:pPr>
              <w:keepNext/>
              <w:keepLines/>
              <w:rPr>
                <w:rFonts w:ascii="Arial" w:hAnsi="Arial" w:eastAsia="Times New Roman" w:cs="Arial"/>
                <w:b/>
                <w:sz w:val="18"/>
                <w:highlight w:val="none"/>
              </w:rPr>
            </w:pPr>
            <w:r>
              <w:rPr>
                <w:rFonts w:ascii="Arial" w:hAnsi="Arial" w:eastAsia="PMingLiU" w:cs="Arial"/>
                <w:color w:val="000000"/>
                <w:sz w:val="16"/>
                <w:szCs w:val="18"/>
                <w:highlight w:val="none"/>
                <w:lang w:eastAsia="zh-TW"/>
              </w:rPr>
              <w:t>Candidate values set: {</w:t>
            </w:r>
            <w:r>
              <w:rPr>
                <w:highlight w:val="none"/>
              </w:rPr>
              <w:t xml:space="preserve"> </w:t>
            </w:r>
            <w:r>
              <w:rPr>
                <w:rFonts w:ascii="Arial" w:hAnsi="Arial" w:eastAsia="PMingLiU" w:cs="Arial"/>
                <w:color w:val="000000"/>
                <w:sz w:val="16"/>
                <w:szCs w:val="18"/>
                <w:highlight w:val="none"/>
                <w:lang w:eastAsia="zh-TW"/>
              </w:rPr>
              <w:t>nonCoherent, fullCoherent }</w:t>
            </w:r>
          </w:p>
        </w:tc>
        <w:tc>
          <w:tcPr>
            <w:tcW w:w="1906" w:type="dxa"/>
            <w:shd w:val="clear" w:color="auto" w:fill="auto"/>
            <w:vAlign w:val="top"/>
          </w:tcPr>
          <w:p w14:paraId="68F82D9F">
            <w:pPr>
              <w:keepNext/>
              <w:keepLines/>
              <w:rPr>
                <w:rFonts w:ascii="Arial" w:hAnsi="Arial" w:cs="Arial" w:eastAsiaTheme="minorEastAsia"/>
                <w:sz w:val="18"/>
                <w:highlight w:val="none"/>
              </w:rPr>
            </w:pPr>
            <w:r>
              <w:rPr>
                <w:rFonts w:ascii="Arial" w:hAnsi="Arial" w:eastAsia="Yu Mincho" w:cs="Arial"/>
                <w:sz w:val="16"/>
                <w:szCs w:val="18"/>
                <w:highlight w:val="none"/>
                <w:lang w:eastAsia="zh-CN"/>
              </w:rPr>
              <w:t>Optional with capability signalling</w:t>
            </w:r>
          </w:p>
        </w:tc>
      </w:tr>
    </w:tbl>
    <w:p w14:paraId="127246C5">
      <w:pPr>
        <w:rPr>
          <w:rFonts w:ascii="Arial" w:hAnsi="Arial" w:cs="Arial" w:eastAsiaTheme="minorEastAsia"/>
          <w:sz w:val="28"/>
          <w:szCs w:val="28"/>
        </w:rPr>
      </w:pPr>
    </w:p>
    <w:p w14:paraId="79B7E9DE">
      <w:pPr>
        <w:rPr>
          <w:rFonts w:ascii="Arial" w:hAnsi="Arial" w:cs="Arial" w:eastAsiaTheme="minorEastAsia"/>
          <w:sz w:val="28"/>
          <w:szCs w:val="28"/>
        </w:rPr>
      </w:pPr>
    </w:p>
    <w:p w14:paraId="39FF5E8C">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44409F4C">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12123401">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11EA71D">
            <w:pPr>
              <w:keepNext/>
              <w:keepLines/>
              <w:rPr>
                <w:rFonts w:ascii="Arial" w:hAnsi="Arial" w:cs="Arial"/>
                <w:b/>
                <w:sz w:val="18"/>
              </w:rPr>
            </w:pPr>
            <w:r>
              <w:rPr>
                <w:rFonts w:ascii="Arial" w:hAnsi="Arial" w:cs="Arial"/>
                <w:b/>
                <w:sz w:val="18"/>
              </w:rPr>
              <w:t>Type</w:t>
            </w:r>
          </w:p>
          <w:p w14:paraId="0CE5E546">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numPr>
                <w:ilvl w:val="0"/>
                <w:numId w:val="13"/>
              </w:numPr>
              <w:rPr>
                <w:rFonts w:ascii="Arial" w:hAnsi="Arial" w:eastAsia="Times New Roman" w:cs="Arial"/>
                <w:b/>
                <w:sz w:val="18"/>
                <w:highlight w:val="none"/>
              </w:rPr>
            </w:pPr>
            <w:r>
              <w:rPr>
                <w:rFonts w:hint="default" w:ascii="Arial" w:hAnsi="Arial" w:cs="Arial" w:eastAsiaTheme="minorEastAsia"/>
                <w:color w:val="000000"/>
                <w:sz w:val="16"/>
                <w:szCs w:val="18"/>
                <w:highlight w:val="none"/>
                <w:lang w:val="en-US" w:eastAsia="zh-CN"/>
              </w:rPr>
              <w:t>NR_IoT_NTN_req_test_enh</w:t>
            </w:r>
          </w:p>
        </w:tc>
        <w:tc>
          <w:tcPr>
            <w:tcW w:w="702" w:type="dxa"/>
            <w:shd w:val="clear" w:color="auto" w:fill="auto"/>
            <w:vAlign w:val="top"/>
          </w:tcPr>
          <w:p w14:paraId="4203CA2E">
            <w:pPr>
              <w:keepNext/>
              <w:keepLines/>
              <w:rPr>
                <w:rFonts w:ascii="Arial" w:hAnsi="Arial" w:eastAsia="Times New Roman" w:cs="Arial"/>
                <w:b/>
                <w:sz w:val="18"/>
                <w:highlight w:val="none"/>
              </w:rPr>
            </w:pPr>
            <w:r>
              <w:rPr>
                <w:rFonts w:hint="eastAsia" w:ascii="Arial" w:hAnsi="Arial" w:cs="Arial" w:eastAsiaTheme="minorEastAsia"/>
                <w:color w:val="000000"/>
                <w:sz w:val="16"/>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default" w:ascii="Arial" w:hAnsi="Arial" w:eastAsia="宋体" w:cs="Arial"/>
                <w:i w:val="0"/>
                <w:iCs w:val="0"/>
                <w:caps w:val="0"/>
                <w:color w:val="000000"/>
                <w:spacing w:val="0"/>
                <w:kern w:val="0"/>
                <w:sz w:val="16"/>
                <w:szCs w:val="16"/>
                <w:highlight w:val="none"/>
                <w:lang w:val="en-US" w:eastAsia="zh-CN" w:bidi="ar"/>
              </w:rPr>
              <w:t>Tx PC2 output power boosting for NTN NB-IoT UL</w:t>
            </w:r>
          </w:p>
          <w:p w14:paraId="1994840C">
            <w:pPr>
              <w:keepNext/>
              <w:keepLines/>
              <w:rPr>
                <w:rFonts w:ascii="Arial" w:hAnsi="Arial" w:eastAsia="Times New Roman" w:cs="Arial"/>
                <w:b/>
                <w:sz w:val="18"/>
                <w:highlight w:val="none"/>
              </w:rPr>
            </w:pPr>
          </w:p>
        </w:tc>
        <w:tc>
          <w:tcPr>
            <w:tcW w:w="3835" w:type="dxa"/>
            <w:shd w:val="clear" w:color="auto" w:fill="auto"/>
            <w:vAlign w:val="top"/>
          </w:tcPr>
          <w:p w14:paraId="1E69ED7B">
            <w:pPr>
              <w:keepNext/>
              <w:keepLines/>
              <w:rPr>
                <w:rFonts w:ascii="Arial" w:hAnsi="Arial"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NB IoT based IoT-NTN</w:t>
            </w:r>
          </w:p>
        </w:tc>
        <w:tc>
          <w:tcPr>
            <w:tcW w:w="1121" w:type="dxa"/>
            <w:shd w:val="clear" w:color="auto" w:fill="auto"/>
            <w:vAlign w:val="top"/>
          </w:tcPr>
          <w:p w14:paraId="2D35FAFB">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Yes</w:t>
            </w:r>
          </w:p>
        </w:tc>
        <w:tc>
          <w:tcPr>
            <w:tcW w:w="1414" w:type="dxa"/>
            <w:shd w:val="clear" w:color="auto" w:fill="auto"/>
            <w:vAlign w:val="top"/>
          </w:tcPr>
          <w:p w14:paraId="003A5F0C">
            <w:pPr>
              <w:keepNext/>
              <w:keepLines/>
              <w:rPr>
                <w:rFonts w:ascii="Arial" w:hAnsi="Arial" w:eastAsia="Gulim"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N/A</w:t>
            </w:r>
          </w:p>
        </w:tc>
        <w:tc>
          <w:tcPr>
            <w:tcW w:w="1410" w:type="dxa"/>
            <w:vAlign w:val="top"/>
          </w:tcPr>
          <w:p w14:paraId="23BC54B4">
            <w:pPr>
              <w:keepNext/>
              <w:keepLines/>
              <w:rPr>
                <w:rFonts w:ascii="Arial" w:hAnsi="Arial"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6"/>
                <w:szCs w:val="16"/>
                <w:highlight w:val="none"/>
              </w:rPr>
              <w:t>Per (UL) band:UE signals support for power boosting.</w:t>
            </w:r>
          </w:p>
          <w:p w14:paraId="4ED81152">
            <w:pPr>
              <w:keepNext/>
              <w:keepLines/>
              <w:rPr>
                <w:rFonts w:ascii="Arial" w:hAnsi="Arial" w:cs="Arial"/>
                <w:b/>
                <w:sz w:val="18"/>
                <w:highlight w:val="none"/>
              </w:rPr>
            </w:pPr>
          </w:p>
        </w:tc>
        <w:tc>
          <w:tcPr>
            <w:tcW w:w="1416" w:type="dxa"/>
            <w:shd w:val="clear" w:color="auto" w:fill="auto"/>
            <w:vAlign w:val="top"/>
          </w:tcPr>
          <w:p w14:paraId="3734CB55">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N/A</w:t>
            </w:r>
          </w:p>
        </w:tc>
        <w:tc>
          <w:tcPr>
            <w:tcW w:w="1416" w:type="dxa"/>
            <w:shd w:val="clear" w:color="auto" w:fill="auto"/>
            <w:vAlign w:val="top"/>
          </w:tcPr>
          <w:p w14:paraId="1EF622F1">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FR1 only</w:t>
            </w:r>
          </w:p>
        </w:tc>
        <w:tc>
          <w:tcPr>
            <w:tcW w:w="1686" w:type="dxa"/>
            <w:vAlign w:val="top"/>
          </w:tcPr>
          <w:p w14:paraId="6B134DF1">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N/A</w:t>
            </w:r>
          </w:p>
        </w:tc>
        <w:tc>
          <w:tcPr>
            <w:tcW w:w="1432" w:type="dxa"/>
            <w:shd w:val="clear" w:color="auto" w:fill="auto"/>
            <w:vAlign w:val="top"/>
          </w:tcPr>
          <w:p w14:paraId="31917BE2">
            <w:pPr>
              <w:keepNext/>
              <w:keepLines/>
              <w:rPr>
                <w:rFonts w:ascii="Arial" w:hAnsi="Arial" w:eastAsia="Times New Roman" w:cs="Arial"/>
                <w:b/>
                <w:sz w:val="18"/>
                <w:highlight w:val="none"/>
              </w:rPr>
            </w:pPr>
            <w:r>
              <w:rPr>
                <w:rFonts w:hint="default" w:ascii="Arial" w:hAnsi="Arial" w:eastAsia="宋体" w:cs="Arial"/>
                <w:i w:val="0"/>
                <w:iCs w:val="0"/>
                <w:caps w:val="0"/>
                <w:color w:val="000000"/>
                <w:spacing w:val="0"/>
                <w:kern w:val="0"/>
                <w:sz w:val="16"/>
                <w:szCs w:val="16"/>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6"/>
                <w:szCs w:val="16"/>
                <w:highlight w:val="none"/>
              </w:rPr>
              <w:t>Optional with capability signalling</w:t>
            </w:r>
          </w:p>
          <w:p w14:paraId="0A1C4AC8">
            <w:pPr>
              <w:keepNext/>
              <w:keepLines/>
              <w:rPr>
                <w:rFonts w:ascii="Arial" w:hAnsi="Arial" w:eastAsia="Times New Roman" w:cs="Arial"/>
                <w:b/>
                <w:sz w:val="18"/>
                <w:highlight w:val="none"/>
              </w:rPr>
            </w:pPr>
          </w:p>
        </w:tc>
      </w:tr>
    </w:tbl>
    <w:p w14:paraId="6EEFB613">
      <w:pPr>
        <w:rPr>
          <w:rFonts w:ascii="Arial" w:hAnsi="Arial" w:cs="Arial" w:eastAsiaTheme="minorEastAsia"/>
          <w:sz w:val="28"/>
          <w:szCs w:val="28"/>
        </w:rPr>
      </w:pPr>
    </w:p>
    <w:p w14:paraId="434C7F52">
      <w:pPr>
        <w:rPr>
          <w:rFonts w:ascii="Arial" w:hAnsi="Arial" w:cs="Arial" w:eastAsiaTheme="minorEastAsia"/>
          <w:sz w:val="28"/>
          <w:szCs w:val="28"/>
        </w:rPr>
      </w:pPr>
    </w:p>
    <w:p w14:paraId="08FE136D">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33A94B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5C482C2B">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7F0B031E">
            <w:pPr>
              <w:keepNext/>
              <w:keepLines/>
              <w:rPr>
                <w:rFonts w:ascii="Arial" w:hAnsi="Arial" w:cs="Arial"/>
                <w:b/>
                <w:sz w:val="18"/>
              </w:rPr>
            </w:pPr>
            <w:r>
              <w:rPr>
                <w:rFonts w:ascii="Arial" w:hAnsi="Arial" w:cs="Arial"/>
                <w:b/>
                <w:sz w:val="18"/>
              </w:rPr>
              <w:t>Type</w:t>
            </w:r>
          </w:p>
          <w:p w14:paraId="0EC3D02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C32F1CD">
            <w:pPr>
              <w:keepNext/>
              <w:keepLines/>
              <w:overflowPunct w:val="0"/>
              <w:autoSpaceDE w:val="0"/>
              <w:autoSpaceDN w:val="0"/>
              <w:adjustRightInd w:val="0"/>
              <w:jc w:val="center"/>
              <w:textAlignment w:val="baseline"/>
              <w:rPr>
                <w:rFonts w:ascii="Arial" w:hAnsi="Arial" w:eastAsia="Times New Roman" w:cs="Arial"/>
                <w:b/>
                <w:sz w:val="18"/>
              </w:rPr>
            </w:pPr>
          </w:p>
        </w:tc>
        <w:tc>
          <w:tcPr>
            <w:tcW w:w="702" w:type="dxa"/>
            <w:shd w:val="clear" w:color="auto" w:fill="auto"/>
          </w:tcPr>
          <w:p w14:paraId="717E2044">
            <w:pPr>
              <w:keepNext/>
              <w:keepLines/>
              <w:overflowPunct w:val="0"/>
              <w:autoSpaceDE w:val="0"/>
              <w:autoSpaceDN w:val="0"/>
              <w:adjustRightInd w:val="0"/>
              <w:jc w:val="center"/>
              <w:textAlignment w:val="baseline"/>
              <w:rPr>
                <w:rFonts w:ascii="Arial" w:hAnsi="Arial" w:eastAsia="Times New Roman" w:cs="Arial"/>
                <w:b/>
                <w:sz w:val="18"/>
              </w:rPr>
            </w:pPr>
          </w:p>
        </w:tc>
        <w:tc>
          <w:tcPr>
            <w:tcW w:w="1327" w:type="dxa"/>
            <w:shd w:val="clear" w:color="auto" w:fill="auto"/>
          </w:tcPr>
          <w:p w14:paraId="67FE6C85">
            <w:pPr>
              <w:keepNext/>
              <w:keepLines/>
              <w:overflowPunct w:val="0"/>
              <w:autoSpaceDE w:val="0"/>
              <w:autoSpaceDN w:val="0"/>
              <w:adjustRightInd w:val="0"/>
              <w:jc w:val="center"/>
              <w:textAlignment w:val="baseline"/>
              <w:rPr>
                <w:rFonts w:ascii="Arial" w:hAnsi="Arial" w:eastAsia="Times New Roman" w:cs="Arial"/>
                <w:b/>
                <w:sz w:val="18"/>
              </w:rPr>
            </w:pPr>
          </w:p>
        </w:tc>
        <w:tc>
          <w:tcPr>
            <w:tcW w:w="3835" w:type="dxa"/>
            <w:shd w:val="clear" w:color="auto" w:fill="auto"/>
          </w:tcPr>
          <w:p w14:paraId="03B9722C">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6796D6">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374C6484">
            <w:pPr>
              <w:keepNext/>
              <w:keepLines/>
              <w:overflowPunct w:val="0"/>
              <w:autoSpaceDE w:val="0"/>
              <w:autoSpaceDN w:val="0"/>
              <w:adjustRightInd w:val="0"/>
              <w:jc w:val="center"/>
              <w:textAlignment w:val="baseline"/>
              <w:rPr>
                <w:rFonts w:ascii="Arial" w:hAnsi="Arial" w:eastAsia="Times New Roman" w:cs="Arial"/>
                <w:b/>
                <w:sz w:val="18"/>
              </w:rPr>
            </w:pPr>
          </w:p>
        </w:tc>
        <w:tc>
          <w:tcPr>
            <w:tcW w:w="1414" w:type="dxa"/>
            <w:shd w:val="clear" w:color="auto" w:fill="auto"/>
          </w:tcPr>
          <w:p w14:paraId="0155E8F6">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17019ACD">
            <w:pPr>
              <w:keepNext/>
              <w:keepLines/>
              <w:rPr>
                <w:rFonts w:ascii="Arial" w:hAnsi="Arial" w:cs="Arial"/>
                <w:b/>
                <w:sz w:val="18"/>
              </w:rPr>
            </w:pPr>
          </w:p>
        </w:tc>
        <w:tc>
          <w:tcPr>
            <w:tcW w:w="1232" w:type="dxa"/>
            <w:shd w:val="clear" w:color="auto" w:fill="auto"/>
          </w:tcPr>
          <w:p w14:paraId="5BE22D9C">
            <w:pPr>
              <w:keepNext/>
              <w:keepLines/>
              <w:rPr>
                <w:rFonts w:ascii="Arial" w:hAnsi="Arial" w:cs="Arial"/>
                <w:b/>
                <w:sz w:val="18"/>
              </w:rPr>
            </w:pPr>
          </w:p>
        </w:tc>
        <w:tc>
          <w:tcPr>
            <w:tcW w:w="1416" w:type="dxa"/>
            <w:shd w:val="clear" w:color="auto" w:fill="auto"/>
          </w:tcPr>
          <w:p w14:paraId="02A7C397">
            <w:pPr>
              <w:keepNext/>
              <w:keepLines/>
              <w:overflowPunct w:val="0"/>
              <w:autoSpaceDE w:val="0"/>
              <w:autoSpaceDN w:val="0"/>
              <w:adjustRightInd w:val="0"/>
              <w:jc w:val="center"/>
              <w:textAlignment w:val="baseline"/>
              <w:rPr>
                <w:rFonts w:ascii="Arial" w:hAnsi="Arial" w:eastAsia="Times New Roman" w:cs="Arial"/>
                <w:b/>
                <w:sz w:val="18"/>
              </w:rPr>
            </w:pPr>
          </w:p>
        </w:tc>
        <w:tc>
          <w:tcPr>
            <w:tcW w:w="1416" w:type="dxa"/>
            <w:shd w:val="clear" w:color="auto" w:fill="auto"/>
          </w:tcPr>
          <w:p w14:paraId="0B0E6469">
            <w:pPr>
              <w:keepNext/>
              <w:keepLines/>
              <w:overflowPunct w:val="0"/>
              <w:autoSpaceDE w:val="0"/>
              <w:autoSpaceDN w:val="0"/>
              <w:adjustRightInd w:val="0"/>
              <w:jc w:val="center"/>
              <w:textAlignment w:val="baseline"/>
              <w:rPr>
                <w:rFonts w:ascii="Arial" w:hAnsi="Arial" w:eastAsia="Times New Roman" w:cs="Arial"/>
                <w:b/>
                <w:sz w:val="18"/>
              </w:rPr>
            </w:pPr>
          </w:p>
        </w:tc>
        <w:tc>
          <w:tcPr>
            <w:tcW w:w="1686" w:type="dxa"/>
          </w:tcPr>
          <w:p w14:paraId="7070ED3D">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DE2D569">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3EC4D6E">
            <w:pPr>
              <w:keepNext/>
              <w:keepLines/>
              <w:overflowPunct w:val="0"/>
              <w:autoSpaceDE w:val="0"/>
              <w:autoSpaceDN w:val="0"/>
              <w:adjustRightInd w:val="0"/>
              <w:jc w:val="center"/>
              <w:textAlignment w:val="baseline"/>
              <w:rPr>
                <w:rFonts w:ascii="Arial" w:hAnsi="Arial" w:eastAsia="Times New Roman" w:cs="Arial"/>
                <w:b/>
                <w:sz w:val="18"/>
              </w:rPr>
            </w:pPr>
          </w:p>
        </w:tc>
      </w:tr>
    </w:tbl>
    <w:p w14:paraId="42D8162E">
      <w:pPr>
        <w:rPr>
          <w:rFonts w:ascii="Arial" w:hAnsi="Arial" w:cs="Arial" w:eastAsiaTheme="minorEastAsia"/>
          <w:sz w:val="28"/>
          <w:szCs w:val="28"/>
        </w:rPr>
      </w:pPr>
    </w:p>
    <w:p w14:paraId="157433A2">
      <w:pPr>
        <w:rPr>
          <w:rFonts w:ascii="Arial" w:hAnsi="Arial" w:cs="Arial" w:eastAsiaTheme="minorEastAsia"/>
          <w:sz w:val="28"/>
          <w:szCs w:val="28"/>
        </w:rPr>
      </w:pPr>
    </w:p>
    <w:p w14:paraId="437913AB">
      <w:pPr>
        <w:rPr>
          <w:rFonts w:ascii="Arial" w:hAnsi="Arial" w:cs="Arial" w:eastAsiaTheme="minorEastAsia"/>
          <w:sz w:val="28"/>
          <w:szCs w:val="28"/>
        </w:rPr>
      </w:pPr>
    </w:p>
    <w:p w14:paraId="208399FE">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21FFEA1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0F45D1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B4EA982">
            <w:pPr>
              <w:keepNext/>
              <w:keepLines/>
              <w:rPr>
                <w:rFonts w:ascii="Arial" w:hAnsi="Arial" w:cs="Arial"/>
                <w:b/>
                <w:sz w:val="18"/>
              </w:rPr>
            </w:pPr>
            <w:r>
              <w:rPr>
                <w:rFonts w:ascii="Arial" w:hAnsi="Arial" w:cs="Arial"/>
                <w:b/>
                <w:sz w:val="18"/>
              </w:rPr>
              <w:t>Type</w:t>
            </w:r>
          </w:p>
          <w:p w14:paraId="3BB6753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ascii="Arial" w:hAnsi="Arial" w:cs="Arial"/>
                <w:sz w:val="18"/>
                <w:szCs w:val="18"/>
                <w:highlight w:val="none"/>
              </w:rPr>
            </w:pPr>
            <w:r>
              <w:rPr>
                <w:rFonts w:hint="eastAsia" w:ascii="Arial" w:hAnsi="Arial" w:cs="Arial"/>
                <w:sz w:val="18"/>
                <w:szCs w:val="18"/>
                <w:highlight w:val="none"/>
                <w:lang w:eastAsia="zh-TW"/>
              </w:rPr>
              <w:t>60</w:t>
            </w:r>
            <w:r>
              <w:rPr>
                <w:rFonts w:hint="eastAsia" w:ascii="Arial" w:hAnsi="Arial" w:cs="Arial"/>
                <w:sz w:val="18"/>
                <w:szCs w:val="18"/>
                <w:highlight w:val="none"/>
              </w:rPr>
              <w:t xml:space="preserve">. </w:t>
            </w:r>
            <w:r>
              <w:rPr>
                <w:rFonts w:ascii="Arial" w:hAnsi="Arial" w:cs="Arial"/>
                <w:sz w:val="18"/>
                <w:szCs w:val="18"/>
                <w:highlight w:val="none"/>
              </w:rPr>
              <w:t>NR_NTN_Ku_bands</w:t>
            </w:r>
          </w:p>
          <w:p w14:paraId="389DE42A">
            <w:pPr>
              <w:keepNext/>
              <w:keepLines/>
              <w:overflowPunct w:val="0"/>
              <w:autoSpaceDE w:val="0"/>
              <w:autoSpaceDN w:val="0"/>
              <w:adjustRightInd w:val="0"/>
              <w:textAlignment w:val="baseline"/>
              <w:rPr>
                <w:rFonts w:ascii="Arial" w:hAnsi="Arial" w:eastAsia="Times New Roman" w:cs="Arial"/>
                <w:b/>
                <w:sz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eastAsia="zh-TW"/>
              </w:rPr>
              <w:t>60</w:t>
            </w:r>
            <w:r>
              <w:rPr>
                <w:rFonts w:hint="eastAsia" w:ascii="Arial" w:hAnsi="Arial" w:cs="Arial"/>
                <w:sz w:val="18"/>
                <w:highlight w:val="none"/>
              </w:rPr>
              <w:t>-1</w:t>
            </w:r>
          </w:p>
        </w:tc>
        <w:tc>
          <w:tcPr>
            <w:tcW w:w="1327" w:type="dxa"/>
            <w:shd w:val="clear" w:color="auto" w:fill="auto"/>
            <w:vAlign w:val="top"/>
          </w:tcPr>
          <w:p w14:paraId="2B5391BC">
            <w:pPr>
              <w:pStyle w:val="111"/>
              <w:rPr>
                <w:rFonts w:ascii="Arial" w:hAnsi="Arial" w:eastAsia="Times New Roman" w:cs="Arial"/>
                <w:b/>
                <w:sz w:val="18"/>
                <w:highlight w:val="none"/>
              </w:rPr>
            </w:pPr>
            <w:r>
              <w:rPr>
                <w:bCs/>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ascii="Arial" w:hAnsi="Arial" w:cs="Arial"/>
                <w:sz w:val="18"/>
                <w:highlight w:val="none"/>
              </w:rPr>
            </w:pPr>
            <w:r>
              <w:rPr>
                <w:rFonts w:ascii="Arial" w:hAnsi="Arial" w:cs="Arial"/>
                <w:sz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ascii="Arial" w:hAnsi="Arial" w:cs="Arial"/>
                <w:sz w:val="18"/>
                <w:highlight w:val="none"/>
              </w:rPr>
            </w:pPr>
            <w:r>
              <w:rPr>
                <w:rFonts w:ascii="Arial" w:hAnsi="Arial" w:cs="Arial"/>
                <w:sz w:val="18"/>
                <w:highlight w:val="none"/>
              </w:rPr>
              <w:t xml:space="preserve">a) Type </w:t>
            </w:r>
            <w:r>
              <w:rPr>
                <w:rFonts w:hint="eastAsia" w:ascii="Arial" w:hAnsi="Arial" w:cs="Arial"/>
                <w:sz w:val="18"/>
                <w:highlight w:val="none"/>
                <w:lang w:eastAsia="zh-TW"/>
              </w:rPr>
              <w:t>a</w:t>
            </w:r>
            <w:r>
              <w:rPr>
                <w:rFonts w:ascii="Arial" w:hAnsi="Arial" w:cs="Arial"/>
                <w:sz w:val="18"/>
                <w:highlight w:val="none"/>
              </w:rPr>
              <w:t>: a fixed VSAT, which can only be fixed.</w:t>
            </w:r>
          </w:p>
          <w:p w14:paraId="208E79C5">
            <w:pPr>
              <w:keepNext/>
              <w:keepLines/>
              <w:overflowPunct w:val="0"/>
              <w:autoSpaceDE w:val="0"/>
              <w:autoSpaceDN w:val="0"/>
              <w:adjustRightInd w:val="0"/>
              <w:spacing w:after="0"/>
              <w:textAlignment w:val="baseline"/>
              <w:rPr>
                <w:rFonts w:ascii="Arial" w:hAnsi="Arial" w:cs="Arial"/>
                <w:sz w:val="18"/>
                <w:highlight w:val="none"/>
              </w:rPr>
            </w:pPr>
            <w:r>
              <w:rPr>
                <w:rFonts w:ascii="Arial" w:hAnsi="Arial" w:cs="Arial"/>
                <w:sz w:val="18"/>
                <w:highlight w:val="none"/>
              </w:rPr>
              <w:t xml:space="preserve">b) Type </w:t>
            </w:r>
            <w:r>
              <w:rPr>
                <w:rFonts w:hint="eastAsia" w:ascii="Arial" w:hAnsi="Arial" w:cs="Arial"/>
                <w:sz w:val="18"/>
                <w:highlight w:val="none"/>
                <w:lang w:eastAsia="zh-TW"/>
              </w:rPr>
              <w:t>b</w:t>
            </w:r>
            <w:r>
              <w:rPr>
                <w:rFonts w:ascii="Arial" w:hAnsi="Arial" w:cs="Arial"/>
                <w:sz w:val="18"/>
                <w:highlight w:val="none"/>
              </w:rPr>
              <w:t>: a mobile VSAT, which is capable to move.</w:t>
            </w:r>
          </w:p>
          <w:p w14:paraId="215DE06A">
            <w:pPr>
              <w:keepNext/>
              <w:keepLines/>
              <w:overflowPunct w:val="0"/>
              <w:autoSpaceDE w:val="0"/>
              <w:autoSpaceDN w:val="0"/>
              <w:adjustRightInd w:val="0"/>
              <w:spacing w:after="0"/>
              <w:textAlignment w:val="baseline"/>
              <w:rPr>
                <w:rFonts w:ascii="Arial" w:hAnsi="Arial" w:cs="Arial"/>
                <w:b/>
                <w:sz w:val="18"/>
                <w:highlight w:val="none"/>
              </w:rPr>
            </w:pPr>
            <w:r>
              <w:rPr>
                <w:rFonts w:ascii="Arial" w:hAnsi="Arial" w:cs="Arial"/>
                <w:sz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ascii="Arial" w:hAnsi="Arial" w:cs="Arial"/>
                <w:sz w:val="18"/>
                <w:highlight w:val="none"/>
                <w:lang w:eastAsia="zh-TW"/>
              </w:rPr>
            </w:pPr>
            <w:r>
              <w:rPr>
                <w:rFonts w:ascii="Arial" w:hAnsi="Arial" w:eastAsia="等线" w:cs="Arial"/>
                <w:bCs/>
                <w:sz w:val="18"/>
                <w:highlight w:val="none"/>
                <w:lang w:eastAsia="zh-CN"/>
              </w:rPr>
              <w:t xml:space="preserve">R2 </w:t>
            </w:r>
            <w:r>
              <w:rPr>
                <w:rFonts w:ascii="Arial" w:hAnsi="Arial" w:eastAsia="等线" w:cs="Arial"/>
                <w:sz w:val="18"/>
                <w:highlight w:val="none"/>
                <w:lang w:eastAsia="zh-CN"/>
              </w:rPr>
              <w:t>34-</w:t>
            </w:r>
            <w:r>
              <w:rPr>
                <w:rFonts w:hint="eastAsia" w:ascii="Arial" w:hAnsi="Arial" w:cs="Arial"/>
                <w:sz w:val="18"/>
                <w:highlight w:val="none"/>
                <w:lang w:eastAsia="zh-TW"/>
              </w:rPr>
              <w:t>1</w:t>
            </w:r>
          </w:p>
          <w:p w14:paraId="49BFE6FE">
            <w:pPr>
              <w:keepNext/>
              <w:keepLines/>
              <w:overflowPunct w:val="0"/>
              <w:autoSpaceDE w:val="0"/>
              <w:autoSpaceDN w:val="0"/>
              <w:adjustRightInd w:val="0"/>
              <w:spacing w:after="0"/>
              <w:jc w:val="center"/>
              <w:textAlignment w:val="baseline"/>
              <w:rPr>
                <w:rFonts w:ascii="Arial" w:hAnsi="Arial" w:eastAsia="Times New Roman" w:cs="Arial"/>
                <w:b/>
                <w:sz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ascii="Arial" w:hAnsi="Arial" w:eastAsia="Gulim" w:cs="Arial"/>
                <w:b/>
                <w:sz w:val="18"/>
                <w:highlight w:val="none"/>
              </w:rPr>
            </w:pPr>
            <w:r>
              <w:rPr>
                <w:rFonts w:hint="eastAsia" w:ascii="Arial" w:hAnsi="Arial" w:cs="Arial"/>
                <w:sz w:val="18"/>
                <w:highlight w:val="none"/>
                <w:lang w:val="en-US" w:eastAsia="zh-CN"/>
              </w:rPr>
              <w:t>N/A</w:t>
            </w:r>
          </w:p>
        </w:tc>
        <w:tc>
          <w:tcPr>
            <w:tcW w:w="1410" w:type="dxa"/>
            <w:vAlign w:val="top"/>
          </w:tcPr>
          <w:p w14:paraId="505EF6D0">
            <w:pPr>
              <w:keepNext/>
              <w:keepLines/>
              <w:rPr>
                <w:rFonts w:ascii="Arial" w:hAnsi="Arial" w:cs="Arial"/>
                <w:b/>
                <w:sz w:val="18"/>
                <w:highlight w:val="none"/>
              </w:rPr>
            </w:pPr>
            <w:r>
              <w:rPr>
                <w:rFonts w:ascii="Arial" w:hAnsi="Arial" w:cs="Arial"/>
                <w:sz w:val="18"/>
                <w:szCs w:val="18"/>
                <w:highlight w:val="none"/>
              </w:rPr>
              <w:t xml:space="preserve">If UE does not support the capability, network does not know </w:t>
            </w:r>
            <w:r>
              <w:rPr>
                <w:rFonts w:hint="eastAsia" w:ascii="Arial" w:hAnsi="Arial" w:cs="Arial"/>
                <w:sz w:val="18"/>
                <w:szCs w:val="18"/>
                <w:highlight w:val="none"/>
                <w:lang w:eastAsia="zh-TW"/>
              </w:rPr>
              <w:t>VSAT</w:t>
            </w:r>
            <w:r>
              <w:rPr>
                <w:rFonts w:ascii="Arial" w:hAnsi="Arial" w:cs="Arial"/>
                <w:sz w:val="18"/>
                <w:szCs w:val="18"/>
                <w:highlight w:val="none"/>
              </w:rPr>
              <w:t xml:space="preserve"> UE’s </w:t>
            </w:r>
            <w:r>
              <w:rPr>
                <w:rFonts w:hint="eastAsia" w:ascii="Arial" w:hAnsi="Arial" w:cs="Arial"/>
                <w:sz w:val="18"/>
                <w:szCs w:val="18"/>
                <w:highlight w:val="none"/>
                <w:lang w:val="en-US" w:eastAsia="zh-CN"/>
              </w:rPr>
              <w:t>capability</w:t>
            </w:r>
            <w:r>
              <w:rPr>
                <w:rFonts w:ascii="Arial" w:hAnsi="Arial" w:cs="Arial"/>
                <w:sz w:val="18"/>
                <w:szCs w:val="18"/>
                <w:highlight w:val="none"/>
              </w:rPr>
              <w:t>.</w:t>
            </w:r>
          </w:p>
        </w:tc>
        <w:tc>
          <w:tcPr>
            <w:tcW w:w="1232" w:type="dxa"/>
            <w:shd w:val="clear" w:color="auto" w:fill="auto"/>
            <w:vAlign w:val="top"/>
          </w:tcPr>
          <w:p w14:paraId="34828BC6">
            <w:pPr>
              <w:keepNext/>
              <w:keepLines/>
              <w:rPr>
                <w:rFonts w:ascii="Arial" w:hAnsi="Arial" w:cs="Arial"/>
                <w:b/>
                <w:sz w:val="18"/>
                <w:highlight w:val="none"/>
              </w:rPr>
            </w:pPr>
            <w:r>
              <w:rPr>
                <w:rFonts w:hint="eastAsia" w:ascii="Arial" w:hAnsi="Arial" w:cs="Arial"/>
                <w:sz w:val="18"/>
                <w:highlight w:val="none"/>
                <w:lang w:val="en-US" w:eastAsia="zh-CN"/>
              </w:rPr>
              <w:t xml:space="preserve">Per </w:t>
            </w:r>
            <w:r>
              <w:rPr>
                <w:rFonts w:hint="eastAsia" w:ascii="Arial" w:hAnsi="Arial" w:cs="Arial"/>
                <w:sz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ascii="Arial" w:hAnsi="Arial" w:cs="Arial"/>
                <w:sz w:val="18"/>
                <w:highlight w:val="none"/>
                <w:lang w:val="en-US" w:eastAsia="zh-TW"/>
              </w:rPr>
            </w:pPr>
            <w:r>
              <w:rPr>
                <w:rFonts w:hint="eastAsia" w:ascii="Arial" w:hAnsi="Arial" w:cs="Arial"/>
                <w:sz w:val="18"/>
                <w:highlight w:val="none"/>
                <w:lang w:val="en-US" w:eastAsia="zh-CN"/>
              </w:rPr>
              <w:t>N/A</w:t>
            </w:r>
          </w:p>
          <w:p w14:paraId="2E52E1CF">
            <w:pPr>
              <w:keepNext/>
              <w:keepLines/>
              <w:overflowPunct w:val="0"/>
              <w:autoSpaceDE w:val="0"/>
              <w:autoSpaceDN w:val="0"/>
              <w:adjustRightInd w:val="0"/>
              <w:spacing w:after="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(Note that this feature is used for both FR1-NTN (</w:t>
            </w:r>
            <w:r>
              <w:rPr>
                <w:rFonts w:hint="eastAsia" w:ascii="Arial" w:hAnsi="Arial" w:cs="Arial"/>
                <w:sz w:val="18"/>
                <w:highlight w:val="none"/>
                <w:lang w:val="en-US" w:eastAsia="zh-CN"/>
              </w:rPr>
              <w:t>n248 and n247</w:t>
            </w:r>
            <w:r>
              <w:rPr>
                <w:rFonts w:hint="eastAsia" w:ascii="Arial" w:hAnsi="Arial" w:cs="Arial"/>
                <w:sz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ascii="Arial" w:hAnsi="Arial" w:cs="Arial"/>
                <w:sz w:val="18"/>
                <w:highlight w:val="none"/>
                <w:lang w:val="en-US" w:eastAsia="zh-TW"/>
              </w:rPr>
            </w:pPr>
            <w:r>
              <w:rPr>
                <w:rFonts w:hint="eastAsia" w:ascii="Arial" w:hAnsi="Arial" w:cs="Arial"/>
                <w:sz w:val="18"/>
                <w:highlight w:val="none"/>
                <w:lang w:val="en-US" w:eastAsia="zh-TW"/>
              </w:rPr>
              <w:t xml:space="preserve">1. </w:t>
            </w:r>
            <w:r>
              <w:rPr>
                <w:rFonts w:ascii="Arial" w:hAnsi="Arial" w:cs="Arial"/>
                <w:sz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 xml:space="preserve">2. This capability is an extension of Rel.18 UE feature 40-1, which </w:t>
            </w:r>
            <w:r>
              <w:rPr>
                <w:rFonts w:ascii="Arial" w:hAnsi="Arial" w:cs="Arial"/>
                <w:sz w:val="18"/>
                <w:highlight w:val="none"/>
                <w:lang w:val="en-US" w:eastAsia="zh-TW"/>
              </w:rPr>
              <w:t>is currently</w:t>
            </w:r>
            <w:r>
              <w:rPr>
                <w:rFonts w:hint="eastAsia" w:ascii="Arial" w:hAnsi="Arial" w:cs="Arial"/>
                <w:sz w:val="18"/>
                <w:highlight w:val="none"/>
                <w:lang w:val="en-US" w:eastAsia="zh-TW"/>
              </w:rPr>
              <w:t xml:space="preserve">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ascii="Arial" w:hAnsi="Arial" w:cs="Arial"/>
                <w:sz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ascii="Arial" w:hAnsi="Arial" w:cs="Arial"/>
                <w:sz w:val="18"/>
                <w:szCs w:val="18"/>
                <w:highlight w:val="none"/>
              </w:rPr>
            </w:pPr>
            <w:r>
              <w:rPr>
                <w:rFonts w:hint="eastAsia" w:ascii="Arial" w:hAnsi="Arial" w:cs="Arial"/>
                <w:sz w:val="18"/>
                <w:szCs w:val="18"/>
                <w:highlight w:val="none"/>
                <w:lang w:eastAsia="zh-TW"/>
              </w:rPr>
              <w:t>60</w:t>
            </w:r>
            <w:r>
              <w:rPr>
                <w:rFonts w:hint="eastAsia" w:ascii="Arial" w:hAnsi="Arial" w:cs="Arial"/>
                <w:sz w:val="18"/>
                <w:szCs w:val="18"/>
                <w:highlight w:val="none"/>
              </w:rPr>
              <w:t xml:space="preserve">. </w:t>
            </w:r>
            <w:r>
              <w:rPr>
                <w:rFonts w:ascii="Arial" w:hAnsi="Arial" w:cs="Arial"/>
                <w:sz w:val="18"/>
                <w:szCs w:val="18"/>
                <w:highlight w:val="none"/>
              </w:rPr>
              <w:t>NR_NTN_Ku_bands</w:t>
            </w:r>
          </w:p>
          <w:p w14:paraId="51DAF264">
            <w:pPr>
              <w:keepNext/>
              <w:keepLines/>
              <w:overflowPunct w:val="0"/>
              <w:autoSpaceDE w:val="0"/>
              <w:autoSpaceDN w:val="0"/>
              <w:adjustRightInd w:val="0"/>
              <w:textAlignment w:val="baseline"/>
              <w:rPr>
                <w:rFonts w:ascii="Arial" w:hAnsi="Arial" w:eastAsia="Times New Roman" w:cs="Arial"/>
                <w:b/>
                <w:sz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eastAsia="zh-TW"/>
              </w:rPr>
              <w:t>60</w:t>
            </w:r>
            <w:r>
              <w:rPr>
                <w:rFonts w:hint="eastAsia" w:ascii="Arial" w:hAnsi="Arial" w:cs="Arial"/>
                <w:sz w:val="18"/>
                <w:highlight w:val="none"/>
              </w:rPr>
              <w:t>-</w:t>
            </w:r>
            <w:r>
              <w:rPr>
                <w:rFonts w:hint="eastAsia" w:ascii="Arial" w:hAnsi="Arial" w:cs="Arial"/>
                <w:sz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ascii="Arial" w:hAnsi="Arial" w:eastAsia="Times New Roman" w:cs="Arial"/>
                <w:b/>
                <w:sz w:val="18"/>
                <w:highlight w:val="none"/>
              </w:rPr>
            </w:pPr>
            <w:r>
              <w:rPr>
                <w:rFonts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ascii="Arial" w:hAnsi="Arial" w:cs="Arial"/>
                <w:sz w:val="18"/>
                <w:highlight w:val="none"/>
              </w:rPr>
            </w:pPr>
            <w:r>
              <w:rPr>
                <w:rFonts w:ascii="Arial" w:hAnsi="Arial" w:cs="Arial"/>
                <w:sz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ascii="Arial" w:hAnsi="Arial" w:cs="Arial"/>
                <w:sz w:val="18"/>
                <w:highlight w:val="none"/>
              </w:rPr>
            </w:pPr>
            <w:r>
              <w:rPr>
                <w:rFonts w:ascii="Arial" w:hAnsi="Arial" w:cs="Arial"/>
                <w:sz w:val="18"/>
                <w:highlight w:val="none"/>
              </w:rPr>
              <w:t xml:space="preserve">a) Type </w:t>
            </w:r>
            <w:r>
              <w:rPr>
                <w:rFonts w:hint="eastAsia" w:ascii="Arial" w:hAnsi="Arial" w:cs="Arial"/>
                <w:sz w:val="18"/>
                <w:highlight w:val="none"/>
                <w:lang w:eastAsia="zh-TW"/>
              </w:rPr>
              <w:t>a</w:t>
            </w:r>
            <w:r>
              <w:rPr>
                <w:rFonts w:ascii="Arial" w:hAnsi="Arial" w:cs="Arial"/>
                <w:sz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ascii="Arial" w:hAnsi="Arial" w:cs="Arial"/>
                <w:sz w:val="18"/>
                <w:highlight w:val="none"/>
              </w:rPr>
            </w:pPr>
            <w:r>
              <w:rPr>
                <w:rFonts w:ascii="Arial" w:hAnsi="Arial" w:cs="Arial"/>
                <w:sz w:val="18"/>
                <w:highlight w:val="none"/>
              </w:rPr>
              <w:t xml:space="preserve">b) Type </w:t>
            </w:r>
            <w:r>
              <w:rPr>
                <w:rFonts w:hint="eastAsia" w:ascii="Arial" w:hAnsi="Arial" w:cs="Arial"/>
                <w:sz w:val="18"/>
                <w:highlight w:val="none"/>
                <w:lang w:eastAsia="zh-TW"/>
              </w:rPr>
              <w:t>b</w:t>
            </w:r>
            <w:r>
              <w:rPr>
                <w:rFonts w:ascii="Arial" w:hAnsi="Arial" w:cs="Arial"/>
                <w:sz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ascii="Arial" w:hAnsi="Arial" w:cs="Arial"/>
                <w:b/>
                <w:sz w:val="18"/>
                <w:highlight w:val="none"/>
              </w:rPr>
            </w:pPr>
            <w:r>
              <w:rPr>
                <w:rFonts w:ascii="Arial" w:hAnsi="Arial" w:cs="Arial"/>
                <w:sz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ascii="Arial" w:hAnsi="Arial" w:cs="Arial"/>
                <w:sz w:val="18"/>
                <w:highlight w:val="none"/>
                <w:lang w:eastAsia="zh-TW"/>
              </w:rPr>
            </w:pPr>
            <w:r>
              <w:rPr>
                <w:rFonts w:ascii="Arial" w:hAnsi="Arial" w:eastAsia="等线" w:cs="Arial"/>
                <w:bCs/>
                <w:sz w:val="18"/>
                <w:highlight w:val="none"/>
                <w:lang w:eastAsia="zh-CN"/>
              </w:rPr>
              <w:t xml:space="preserve">R2 </w:t>
            </w:r>
            <w:r>
              <w:rPr>
                <w:rFonts w:ascii="Arial" w:hAnsi="Arial" w:eastAsia="等线" w:cs="Arial"/>
                <w:sz w:val="18"/>
                <w:highlight w:val="none"/>
                <w:lang w:eastAsia="zh-CN"/>
              </w:rPr>
              <w:t>34-</w:t>
            </w:r>
            <w:r>
              <w:rPr>
                <w:rFonts w:hint="eastAsia" w:ascii="Arial" w:hAnsi="Arial" w:cs="Arial"/>
                <w:sz w:val="18"/>
                <w:highlight w:val="none"/>
                <w:lang w:eastAsia="zh-TW"/>
              </w:rPr>
              <w:t>1</w:t>
            </w:r>
          </w:p>
          <w:p w14:paraId="36357B04">
            <w:pPr>
              <w:keepNext/>
              <w:keepLines/>
              <w:overflowPunct w:val="0"/>
              <w:autoSpaceDE w:val="0"/>
              <w:autoSpaceDN w:val="0"/>
              <w:adjustRightInd w:val="0"/>
              <w:spacing w:after="0"/>
              <w:jc w:val="center"/>
              <w:textAlignment w:val="baseline"/>
              <w:rPr>
                <w:rFonts w:ascii="Arial" w:hAnsi="Arial" w:eastAsia="Times New Roman" w:cs="Arial"/>
                <w:b/>
                <w:sz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ascii="Arial" w:hAnsi="Arial" w:eastAsia="Gulim" w:cs="Arial"/>
                <w:b/>
                <w:sz w:val="18"/>
                <w:highlight w:val="none"/>
              </w:rPr>
            </w:pPr>
            <w:r>
              <w:rPr>
                <w:rFonts w:hint="eastAsia" w:ascii="Arial" w:hAnsi="Arial" w:cs="Arial"/>
                <w:sz w:val="18"/>
                <w:highlight w:val="none"/>
                <w:lang w:val="en-US" w:eastAsia="zh-CN"/>
              </w:rPr>
              <w:t>N/A</w:t>
            </w:r>
          </w:p>
        </w:tc>
        <w:tc>
          <w:tcPr>
            <w:tcW w:w="1410" w:type="dxa"/>
            <w:vAlign w:val="top"/>
          </w:tcPr>
          <w:p w14:paraId="7151EE9F">
            <w:pPr>
              <w:keepNext/>
              <w:keepLines/>
              <w:rPr>
                <w:rFonts w:ascii="Arial" w:hAnsi="Arial" w:cs="Arial"/>
                <w:b/>
                <w:sz w:val="18"/>
                <w:highlight w:val="none"/>
              </w:rPr>
            </w:pPr>
            <w:r>
              <w:rPr>
                <w:rFonts w:ascii="Arial" w:hAnsi="Arial" w:cs="Arial"/>
                <w:sz w:val="18"/>
                <w:szCs w:val="18"/>
                <w:highlight w:val="none"/>
              </w:rPr>
              <w:t xml:space="preserve">If UE does not support the capability, network does not know </w:t>
            </w:r>
            <w:r>
              <w:rPr>
                <w:rFonts w:hint="eastAsia" w:ascii="Arial" w:hAnsi="Arial" w:cs="Arial"/>
                <w:sz w:val="18"/>
                <w:szCs w:val="18"/>
                <w:highlight w:val="none"/>
                <w:lang w:eastAsia="zh-TW"/>
              </w:rPr>
              <w:t>VSAT</w:t>
            </w:r>
            <w:r>
              <w:rPr>
                <w:rFonts w:ascii="Arial" w:hAnsi="Arial" w:cs="Arial"/>
                <w:sz w:val="18"/>
                <w:szCs w:val="18"/>
                <w:highlight w:val="none"/>
              </w:rPr>
              <w:t xml:space="preserve"> UE’s </w:t>
            </w:r>
            <w:r>
              <w:rPr>
                <w:rFonts w:hint="eastAsia" w:ascii="Arial" w:hAnsi="Arial" w:cs="Arial"/>
                <w:sz w:val="18"/>
                <w:szCs w:val="18"/>
                <w:highlight w:val="none"/>
                <w:lang w:eastAsia="zh-TW"/>
              </w:rPr>
              <w:t xml:space="preserve">beam steering </w:t>
            </w:r>
            <w:r>
              <w:rPr>
                <w:rFonts w:hint="eastAsia" w:ascii="Arial" w:hAnsi="Arial" w:cs="Arial"/>
                <w:sz w:val="18"/>
                <w:szCs w:val="18"/>
                <w:highlight w:val="none"/>
                <w:lang w:val="en-US" w:eastAsia="zh-CN"/>
              </w:rPr>
              <w:t>capability</w:t>
            </w:r>
            <w:r>
              <w:rPr>
                <w:rFonts w:ascii="Arial" w:hAnsi="Arial" w:cs="Arial"/>
                <w:sz w:val="18"/>
                <w:szCs w:val="18"/>
                <w:highlight w:val="none"/>
              </w:rPr>
              <w:t>.</w:t>
            </w:r>
          </w:p>
        </w:tc>
        <w:tc>
          <w:tcPr>
            <w:tcW w:w="1232" w:type="dxa"/>
            <w:shd w:val="clear" w:color="auto" w:fill="auto"/>
            <w:vAlign w:val="top"/>
          </w:tcPr>
          <w:p w14:paraId="7A813F5C">
            <w:pPr>
              <w:keepNext/>
              <w:keepLines/>
              <w:rPr>
                <w:rFonts w:ascii="Arial" w:hAnsi="Arial" w:cs="Arial"/>
                <w:b/>
                <w:sz w:val="18"/>
                <w:highlight w:val="none"/>
              </w:rPr>
            </w:pPr>
            <w:r>
              <w:rPr>
                <w:rFonts w:hint="eastAsia" w:ascii="Arial" w:hAnsi="Arial" w:cs="Arial"/>
                <w:sz w:val="18"/>
                <w:highlight w:val="none"/>
                <w:lang w:val="en-US" w:eastAsia="zh-CN"/>
              </w:rPr>
              <w:t xml:space="preserve">Per </w:t>
            </w:r>
            <w:r>
              <w:rPr>
                <w:rFonts w:hint="eastAsia" w:ascii="Arial" w:hAnsi="Arial" w:cs="Arial"/>
                <w:sz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ascii="Arial" w:hAnsi="Arial" w:cs="Arial"/>
                <w:sz w:val="18"/>
                <w:highlight w:val="none"/>
                <w:lang w:val="en-US" w:eastAsia="zh-TW"/>
              </w:rPr>
            </w:pPr>
            <w:r>
              <w:rPr>
                <w:rFonts w:hint="eastAsia" w:ascii="Arial" w:hAnsi="Arial" w:cs="Arial"/>
                <w:sz w:val="18"/>
                <w:highlight w:val="none"/>
                <w:lang w:val="en-US" w:eastAsia="zh-CN"/>
              </w:rPr>
              <w:t>N/A</w:t>
            </w:r>
          </w:p>
          <w:p w14:paraId="14FAB42F">
            <w:pPr>
              <w:keepNext/>
              <w:keepLines/>
              <w:overflowPunct w:val="0"/>
              <w:autoSpaceDE w:val="0"/>
              <w:autoSpaceDN w:val="0"/>
              <w:adjustRightInd w:val="0"/>
              <w:spacing w:after="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(Note that this feature is used for both FR1-NTN (</w:t>
            </w:r>
            <w:r>
              <w:rPr>
                <w:rFonts w:hint="eastAsia" w:ascii="Arial" w:hAnsi="Arial" w:cs="Arial"/>
                <w:sz w:val="18"/>
                <w:highlight w:val="none"/>
                <w:lang w:val="en-US" w:eastAsia="zh-CN"/>
              </w:rPr>
              <w:t>n248 and n247</w:t>
            </w:r>
            <w:r>
              <w:rPr>
                <w:rFonts w:hint="eastAsia" w:ascii="Arial" w:hAnsi="Arial" w:cs="Arial"/>
                <w:sz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ascii="Arial" w:hAnsi="Arial" w:cs="Arial"/>
                <w:sz w:val="18"/>
                <w:highlight w:val="none"/>
                <w:lang w:val="en-US" w:eastAsia="zh-TW"/>
              </w:rPr>
            </w:pPr>
            <w:r>
              <w:rPr>
                <w:rFonts w:hint="eastAsia" w:ascii="Arial" w:hAnsi="Arial" w:cs="Arial"/>
                <w:sz w:val="18"/>
                <w:highlight w:val="none"/>
                <w:lang w:val="en-US" w:eastAsia="zh-TW"/>
              </w:rPr>
              <w:t xml:space="preserve">1. </w:t>
            </w:r>
            <w:r>
              <w:rPr>
                <w:rFonts w:ascii="Arial" w:hAnsi="Arial" w:cs="Arial"/>
                <w:sz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ascii="Arial" w:hAnsi="Arial" w:eastAsia="Times New Roman" w:cs="Arial"/>
                <w:b/>
                <w:sz w:val="18"/>
                <w:highlight w:val="none"/>
              </w:rPr>
            </w:pPr>
            <w:r>
              <w:rPr>
                <w:rFonts w:hint="eastAsia" w:ascii="Arial" w:hAnsi="Arial" w:cs="Arial"/>
                <w:sz w:val="18"/>
                <w:highlight w:val="none"/>
                <w:lang w:val="en-US" w:eastAsia="zh-TW"/>
              </w:rPr>
              <w:t xml:space="preserve">2. This capability is an extension of Rel.18 UE feature 40-2, which </w:t>
            </w:r>
            <w:r>
              <w:rPr>
                <w:rFonts w:ascii="Arial" w:hAnsi="Arial" w:cs="Arial"/>
                <w:sz w:val="18"/>
                <w:highlight w:val="none"/>
                <w:lang w:val="en-US" w:eastAsia="zh-TW"/>
              </w:rPr>
              <w:t>is currently</w:t>
            </w:r>
            <w:r>
              <w:rPr>
                <w:rFonts w:hint="eastAsia" w:ascii="Arial" w:hAnsi="Arial" w:cs="Arial"/>
                <w:sz w:val="18"/>
                <w:highlight w:val="none"/>
                <w:lang w:val="en-US" w:eastAsia="zh-TW"/>
              </w:rPr>
              <w:t xml:space="preserve">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ascii="Arial" w:hAnsi="Arial" w:eastAsia="Times New Roman" w:cs="Arial"/>
                <w:b/>
                <w:sz w:val="18"/>
                <w:highlight w:val="none"/>
              </w:rPr>
            </w:pPr>
            <w:r>
              <w:rPr>
                <w:rFonts w:ascii="Arial" w:hAnsi="Arial" w:cs="Arial"/>
                <w:sz w:val="18"/>
                <w:highlight w:val="none"/>
              </w:rPr>
              <w:t>Optional with capability signalling</w:t>
            </w:r>
          </w:p>
        </w:tc>
      </w:tr>
    </w:tbl>
    <w:p w14:paraId="6A3C17BB">
      <w:pPr>
        <w:rPr>
          <w:rFonts w:ascii="Arial" w:hAnsi="Arial" w:cs="Arial" w:eastAsiaTheme="minorEastAsia"/>
          <w:sz w:val="28"/>
          <w:szCs w:val="28"/>
        </w:rPr>
      </w:pPr>
    </w:p>
    <w:p w14:paraId="42C0E8C6">
      <w:pPr>
        <w:rPr>
          <w:rFonts w:ascii="Arial" w:hAnsi="Arial" w:cs="Arial" w:eastAsiaTheme="minorEastAsia"/>
          <w:sz w:val="28"/>
          <w:szCs w:val="28"/>
        </w:rPr>
      </w:pPr>
    </w:p>
    <w:p w14:paraId="7870B97B">
      <w:pPr>
        <w:rPr>
          <w:rFonts w:ascii="Arial" w:hAnsi="Arial" w:cs="Arial" w:eastAsiaTheme="minorEastAsia"/>
          <w:sz w:val="28"/>
          <w:szCs w:val="28"/>
        </w:rPr>
      </w:pPr>
    </w:p>
    <w:p w14:paraId="33E68092">
      <w:pPr>
        <w:pStyle w:val="92"/>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hAnsi="Arial" w:cs="Arial" w:eastAsiaTheme="minorEastAsia"/>
          <w:sz w:val="28"/>
          <w:szCs w:val="28"/>
        </w:rPr>
      </w:pPr>
      <w:r>
        <w:rPr>
          <w:rFonts w:hint="eastAsia"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994D68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28582D5">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C2F89AF">
            <w:pPr>
              <w:keepNext/>
              <w:keepLines/>
              <w:rPr>
                <w:rFonts w:ascii="Arial" w:hAnsi="Arial" w:cs="Arial"/>
                <w:b/>
                <w:sz w:val="18"/>
              </w:rPr>
            </w:pPr>
            <w:r>
              <w:rPr>
                <w:rFonts w:ascii="Arial" w:hAnsi="Arial" w:cs="Arial"/>
                <w:b/>
                <w:sz w:val="18"/>
              </w:rPr>
              <w:t>Type</w:t>
            </w:r>
          </w:p>
          <w:p w14:paraId="35E6B780">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lang w:val="en-US" w:eastAsia="zh-CN"/>
              </w:rPr>
            </w:pPr>
            <w:r>
              <w:rPr>
                <w:rFonts w:hint="eastAsia"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eastAsia" w:ascii="Arial" w:hAnsi="Arial" w:eastAsia="宋体" w:cs="Arial"/>
                <w:caps w:val="0"/>
                <w:color w:val="000000"/>
                <w:spacing w:val="0"/>
                <w:kern w:val="0"/>
                <w:sz w:val="18"/>
                <w:szCs w:val="18"/>
                <w:highlight w:val="none"/>
                <w:lang w:val="en-US" w:eastAsia="zh-CN" w:bidi="ar"/>
              </w:rPr>
              <w:t>61</w:t>
            </w:r>
            <w:r>
              <w:rPr>
                <w:rFonts w:hint="default" w:ascii="Arial" w:hAnsi="Arial" w:eastAsia="宋体" w:cs="Arial"/>
                <w:caps w:val="0"/>
                <w:color w:val="000000"/>
                <w:spacing w:val="0"/>
                <w:kern w:val="0"/>
                <w:sz w:val="18"/>
                <w:szCs w:val="18"/>
                <w:highlight w:val="none"/>
                <w:lang w:val="en-US" w:eastAsia="zh-CN" w:bidi="ar"/>
              </w:rPr>
              <w:t>-1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ascii="Arial" w:hAnsi="Arial" w:cs="Arial"/>
                <w:b/>
                <w:sz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 </w:t>
            </w: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ascii="Arial" w:hAnsi="Arial" w:eastAsia="Gulim" w:cs="Arial"/>
                <w:b/>
                <w:sz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ascii="Arial" w:hAnsi="Arial" w:cs="Arial"/>
                <w:b/>
                <w:sz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ascii="Arial" w:hAnsi="Arial" w:cs="Arial"/>
                <w:b/>
                <w:sz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eastAsia" w:ascii="宋体" w:hAnsi="宋体" w:eastAsia="宋体" w:cs="宋体"/>
                <w:sz w:val="24"/>
                <w:szCs w:val="24"/>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ascii="Arial" w:hAnsi="Arial" w:eastAsia="Times New Roman" w:cs="Arial"/>
                <w:b/>
                <w:sz w:val="18"/>
                <w:highlight w:val="none"/>
              </w:rPr>
            </w:pPr>
            <w:r>
              <w:rPr>
                <w:rFonts w:hint="default" w:ascii="Arial" w:hAnsi="Arial" w:eastAsia="宋体" w:cs="Arial"/>
                <w:caps w:val="0"/>
                <w:color w:val="000000"/>
                <w:spacing w:val="0"/>
                <w:kern w:val="0"/>
                <w:sz w:val="18"/>
                <w:szCs w:val="18"/>
                <w:highlight w:val="none"/>
                <w:lang w:val="en-US" w:eastAsia="zh-CN" w:bidi="ar"/>
              </w:rPr>
              <w:t> </w:t>
            </w: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eastAsia"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eastAsia"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eastAsia"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eastAsia"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eastAsia"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eastAsia"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eastAsia"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eastAsia"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ascii="Arial" w:hAnsi="Arial" w:cs="Arial" w:eastAsiaTheme="minorEastAsia"/>
          <w:sz w:val="28"/>
          <w:szCs w:val="28"/>
        </w:rPr>
      </w:pPr>
    </w:p>
    <w:p w14:paraId="058598A5">
      <w:pPr>
        <w:rPr>
          <w:rFonts w:ascii="Arial" w:hAnsi="Arial" w:cs="Arial" w:eastAsiaTheme="minorEastAsia"/>
          <w:sz w:val="28"/>
          <w:szCs w:val="28"/>
        </w:rPr>
      </w:pPr>
    </w:p>
    <w:p w14:paraId="62F22C3C">
      <w:pPr>
        <w:rPr>
          <w:rFonts w:ascii="Arial" w:hAnsi="Arial" w:cs="Arial" w:eastAsiaTheme="minorEastAsia"/>
          <w:sz w:val="28"/>
          <w:szCs w:val="28"/>
        </w:rPr>
      </w:pPr>
    </w:p>
    <w:p w14:paraId="5221A81F">
      <w:pPr>
        <w:rPr>
          <w:rFonts w:ascii="Arial" w:hAnsi="Arial" w:cs="Arial" w:eastAsiaTheme="minorEastAsia"/>
          <w:sz w:val="28"/>
          <w:szCs w:val="28"/>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MS Mincho"/>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3">
    <w:nsid w:val="39CE5DF3"/>
    <w:multiLevelType w:val="multilevel"/>
    <w:tmpl w:val="39CE5DF3"/>
    <w:lvl w:ilvl="0" w:tentative="0">
      <w:start w:val="0"/>
      <w:numFmt w:val="decimal"/>
      <w:lvlText w:val="%1."/>
      <w:lvlJc w:val="left"/>
      <w:pPr>
        <w:ind w:left="425" w:hanging="425"/>
      </w:pPr>
      <w:rPr>
        <w:rFonts w:hint="eastAsia"/>
        <w:lang w:val="en-US"/>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4205122D"/>
    <w:multiLevelType w:val="singleLevel"/>
    <w:tmpl w:val="4205122D"/>
    <w:lvl w:ilvl="0" w:tentative="0">
      <w:start w:val="58"/>
      <w:numFmt w:val="decimal"/>
      <w:suff w:val="space"/>
      <w:lvlText w:val="%1."/>
      <w:lvlJc w:val="left"/>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4203CE1"/>
    <w:multiLevelType w:val="multilevel"/>
    <w:tmpl w:val="74203CE1"/>
    <w:lvl w:ilvl="0" w:tentative="0">
      <w:start w:val="5"/>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9"/>
  </w:num>
  <w:num w:numId="4">
    <w:abstractNumId w:val="12"/>
  </w:num>
  <w:num w:numId="5">
    <w:abstractNumId w:val="1"/>
  </w:num>
  <w:num w:numId="6">
    <w:abstractNumId w:val="7"/>
  </w:num>
  <w:num w:numId="7">
    <w:abstractNumId w:val="3"/>
  </w:num>
  <w:num w:numId="8">
    <w:abstractNumId w:val="6"/>
  </w:num>
  <w:num w:numId="9">
    <w:abstractNumId w:val="5"/>
  </w:num>
  <w:num w:numId="10">
    <w:abstractNumId w:val="10"/>
  </w:num>
  <w:num w:numId="11">
    <w:abstractNumId w:val="1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39558ED"/>
    <w:rsid w:val="0491498E"/>
    <w:rsid w:val="059525FC"/>
    <w:rsid w:val="0E5444C8"/>
    <w:rsid w:val="0EB10254"/>
    <w:rsid w:val="0FD463AF"/>
    <w:rsid w:val="10AF312D"/>
    <w:rsid w:val="10F468BD"/>
    <w:rsid w:val="194D1260"/>
    <w:rsid w:val="197868C9"/>
    <w:rsid w:val="19FD648B"/>
    <w:rsid w:val="1AC82352"/>
    <w:rsid w:val="1B141187"/>
    <w:rsid w:val="1EB61A0B"/>
    <w:rsid w:val="26363369"/>
    <w:rsid w:val="28D16650"/>
    <w:rsid w:val="29726A0C"/>
    <w:rsid w:val="2D4C0361"/>
    <w:rsid w:val="2E290C48"/>
    <w:rsid w:val="2E870FE2"/>
    <w:rsid w:val="2F6D07E6"/>
    <w:rsid w:val="319C3C7C"/>
    <w:rsid w:val="31C31166"/>
    <w:rsid w:val="335C2048"/>
    <w:rsid w:val="34313801"/>
    <w:rsid w:val="36EE3C2B"/>
    <w:rsid w:val="3BB06AD9"/>
    <w:rsid w:val="3BEC3867"/>
    <w:rsid w:val="3F6B6380"/>
    <w:rsid w:val="4CAA6185"/>
    <w:rsid w:val="522E66D6"/>
    <w:rsid w:val="529A7F34"/>
    <w:rsid w:val="52B82A90"/>
    <w:rsid w:val="5B36508E"/>
    <w:rsid w:val="5B9139D2"/>
    <w:rsid w:val="63A84484"/>
    <w:rsid w:val="666D7E19"/>
    <w:rsid w:val="67A02643"/>
    <w:rsid w:val="68BA59E1"/>
    <w:rsid w:val="6A494081"/>
    <w:rsid w:val="6A9E708A"/>
    <w:rsid w:val="6BA86385"/>
    <w:rsid w:val="6DD80369"/>
    <w:rsid w:val="6E407F78"/>
    <w:rsid w:val="6F613F5E"/>
    <w:rsid w:val="70132190"/>
    <w:rsid w:val="70311913"/>
    <w:rsid w:val="70DF5DB7"/>
    <w:rsid w:val="714343C0"/>
    <w:rsid w:val="71867FE1"/>
    <w:rsid w:val="72121F15"/>
    <w:rsid w:val="75124337"/>
    <w:rsid w:val="751D49E2"/>
    <w:rsid w:val="78CD52EA"/>
    <w:rsid w:val="796E355B"/>
    <w:rsid w:val="79DE6530"/>
    <w:rsid w:val="7A633FE0"/>
    <w:rsid w:val="7A645B58"/>
    <w:rsid w:val="7AFD0FF4"/>
    <w:rsid w:val="7C584826"/>
    <w:rsid w:val="7E66367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566473-3BF1-46AE-BEBC-6A00AF2E0B80}">
  <ds:schemaRefs/>
</ds:datastoreItem>
</file>

<file path=customXml/itemProps2.xml><?xml version="1.0" encoding="utf-8"?>
<ds:datastoreItem xmlns:ds="http://schemas.openxmlformats.org/officeDocument/2006/customXml" ds:itemID="{8545C0FD-C8FD-439F-AB19-7DC9E3CB19ED}">
  <ds:schemaRefs/>
</ds:datastoreItem>
</file>

<file path=customXml/itemProps3.xml><?xml version="1.0" encoding="utf-8"?>
<ds:datastoreItem xmlns:ds="http://schemas.openxmlformats.org/officeDocument/2006/customXml" ds:itemID="{353625FC-C39D-41FA-A465-29CB39FCCB62}">
  <ds:schemaRefs/>
</ds:datastoreItem>
</file>

<file path=customXml/itemProps4.xml><?xml version="1.0" encoding="utf-8"?>
<ds:datastoreItem xmlns:ds="http://schemas.openxmlformats.org/officeDocument/2006/customXml" ds:itemID="{74C2B8BC-EC61-460A-A912-3C8DB6AFBD0D}">
  <ds:schemaRefs/>
</ds:datastoreItem>
</file>

<file path=customXml/itemProps5.xml><?xml version="1.0" encoding="utf-8"?>
<ds:datastoreItem xmlns:ds="http://schemas.openxmlformats.org/officeDocument/2006/customXml" ds:itemID="{4C18BFDC-4717-4F90-A67A-885603E66398}">
  <ds:schemaRefs/>
</ds:datastoreItem>
</file>

<file path=customXml/itemProps6.xml><?xml version="1.0" encoding="utf-8"?>
<ds:datastoreItem xmlns:ds="http://schemas.openxmlformats.org/officeDocument/2006/customXml" ds:itemID="{14CB2664-A0D5-451C-B3C0-3C816CD64270}">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14</Pages>
  <Words>3259</Words>
  <Characters>17376</Characters>
  <Lines>1737</Lines>
  <Paragraphs>589</Paragraphs>
  <TotalTime>0</TotalTime>
  <ScaleCrop>false</ScaleCrop>
  <LinksUpToDate>false</LinksUpToDate>
  <CharactersWithSpaces>20046</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CMCC-Jingjing</cp:lastModifiedBy>
  <cp:lastPrinted>2017-08-09T04:40:00Z</cp:lastPrinted>
  <dcterms:modified xsi:type="dcterms:W3CDTF">2025-08-28T14:58:27Z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2052-12.8.2.21549</vt:lpwstr>
  </property>
  <property fmtid="{D5CDD505-2E9C-101B-9397-08002B2CF9AE}" pid="19" name="_dlc_DocIdItemGuid">
    <vt:lpwstr>a5e9590f-2451-4cf0-bb02-8aa0e890fefb</vt:lpwstr>
  </property>
  <property fmtid="{D5CDD505-2E9C-101B-9397-08002B2CF9AE}" pid="20" name="ICV">
    <vt:lpwstr>F4D69A5835C44D95B0C7DCC9264428BE_12</vt:lpwstr>
  </property>
</Properties>
</file>