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5F77C" w14:textId="2AF6D218" w:rsidR="005219E8" w:rsidRPr="008C1150" w:rsidRDefault="005219E8" w:rsidP="005219E8">
      <w:pPr>
        <w:tabs>
          <w:tab w:val="left" w:pos="1985"/>
        </w:tabs>
        <w:spacing w:before="60" w:after="60"/>
        <w:rPr>
          <w:rFonts w:ascii="Arial" w:eastAsiaTheme="minorEastAsia" w:hAnsi="Arial" w:cs="Arial" w:hint="eastAsia"/>
          <w:b/>
          <w:sz w:val="24"/>
          <w:szCs w:val="24"/>
          <w:lang w:val="en-US" w:eastAsia="ko-KR"/>
        </w:rPr>
      </w:pPr>
      <w:bookmarkStart w:id="0" w:name="Title"/>
      <w:bookmarkStart w:id="1" w:name="DocumentFor"/>
      <w:bookmarkStart w:id="2" w:name="_Ref124589705"/>
      <w:bookmarkStart w:id="3" w:name="_Ref129681862"/>
      <w:bookmarkEnd w:id="0"/>
      <w:bookmarkEnd w:id="1"/>
      <w:r w:rsidRPr="005219E8">
        <w:rPr>
          <w:rFonts w:ascii="Arial" w:eastAsia="SimSun" w:hAnsi="Arial" w:cs="Arial"/>
          <w:b/>
          <w:sz w:val="24"/>
          <w:szCs w:val="24"/>
          <w:lang w:val="en-US" w:eastAsia="zh-CN"/>
        </w:rPr>
        <w:t>3GPP TSG-RAN WG4 Meeting #118</w:t>
      </w:r>
      <w:r w:rsidRPr="005219E8">
        <w:rPr>
          <w:rFonts w:ascii="Arial" w:eastAsia="SimSun" w:hAnsi="Arial" w:cs="Arial"/>
          <w:b/>
          <w:sz w:val="24"/>
          <w:szCs w:val="24"/>
          <w:lang w:val="en-US" w:eastAsia="zh-CN"/>
        </w:rPr>
        <w:tab/>
      </w:r>
      <w:r w:rsidRPr="005219E8">
        <w:rPr>
          <w:rFonts w:ascii="Arial" w:eastAsia="SimSun" w:hAnsi="Arial" w:cs="Arial"/>
          <w:b/>
          <w:sz w:val="24"/>
          <w:szCs w:val="24"/>
          <w:lang w:val="en-US" w:eastAsia="zh-CN"/>
        </w:rPr>
        <w:tab/>
      </w:r>
      <w:r w:rsidRPr="005219E8">
        <w:rPr>
          <w:rFonts w:ascii="Arial" w:eastAsia="SimSun" w:hAnsi="Arial" w:cs="Arial"/>
          <w:b/>
          <w:sz w:val="24"/>
          <w:szCs w:val="24"/>
          <w:lang w:val="en-US" w:eastAsia="zh-CN"/>
        </w:rPr>
        <w:tab/>
      </w:r>
      <w:r w:rsidRPr="005219E8">
        <w:rPr>
          <w:rFonts w:ascii="Arial" w:eastAsia="SimSun" w:hAnsi="Arial" w:cs="Arial"/>
          <w:b/>
          <w:sz w:val="24"/>
          <w:szCs w:val="24"/>
          <w:lang w:val="en-US" w:eastAsia="zh-CN"/>
        </w:rPr>
        <w:tab/>
      </w:r>
      <w:r>
        <w:rPr>
          <w:rFonts w:ascii="Arial" w:eastAsiaTheme="minorEastAsia" w:hAnsi="Arial" w:cs="Arial" w:hint="eastAsia"/>
          <w:b/>
          <w:sz w:val="24"/>
          <w:szCs w:val="24"/>
          <w:lang w:val="en-US" w:eastAsia="ko-KR"/>
        </w:rPr>
        <w:t xml:space="preserve">                           </w:t>
      </w:r>
      <w:r w:rsidRPr="005219E8">
        <w:rPr>
          <w:rFonts w:ascii="Arial" w:eastAsia="SimSun" w:hAnsi="Arial" w:cs="Arial"/>
          <w:b/>
          <w:sz w:val="24"/>
          <w:szCs w:val="24"/>
          <w:lang w:val="en-US" w:eastAsia="zh-CN"/>
        </w:rPr>
        <w:t>R4-26</w:t>
      </w:r>
      <w:r w:rsidR="008C1150">
        <w:rPr>
          <w:rFonts w:ascii="Arial" w:eastAsiaTheme="minorEastAsia" w:hAnsi="Arial" w:cs="Arial" w:hint="eastAsia"/>
          <w:b/>
          <w:sz w:val="24"/>
          <w:szCs w:val="24"/>
          <w:lang w:val="en-US" w:eastAsia="ko-KR"/>
        </w:rPr>
        <w:t>01131</w:t>
      </w:r>
    </w:p>
    <w:p w14:paraId="0D540ACB" w14:textId="77777777" w:rsidR="005219E8" w:rsidRPr="005219E8" w:rsidRDefault="005219E8" w:rsidP="005219E8">
      <w:pPr>
        <w:tabs>
          <w:tab w:val="left" w:pos="1985"/>
        </w:tabs>
        <w:spacing w:before="60" w:after="60"/>
        <w:rPr>
          <w:rFonts w:ascii="Arial" w:eastAsia="SimSun" w:hAnsi="Arial" w:cs="Arial"/>
          <w:b/>
          <w:sz w:val="24"/>
          <w:szCs w:val="24"/>
          <w:lang w:val="en-US" w:eastAsia="zh-CN"/>
        </w:rPr>
      </w:pPr>
      <w:r w:rsidRPr="005219E8">
        <w:rPr>
          <w:rFonts w:ascii="Arial" w:eastAsia="SimSun" w:hAnsi="Arial" w:cs="Arial"/>
          <w:b/>
          <w:sz w:val="24"/>
          <w:szCs w:val="24"/>
          <w:lang w:val="en-US" w:eastAsia="zh-CN"/>
        </w:rPr>
        <w:t>Gothenburg, Sweden, Feb. 09-13, 2026</w:t>
      </w:r>
    </w:p>
    <w:p w14:paraId="5F20F122" w14:textId="4BDA8EB3" w:rsidR="006B3C27" w:rsidRPr="00554557" w:rsidRDefault="006B3C27" w:rsidP="006B3C27">
      <w:pPr>
        <w:tabs>
          <w:tab w:val="left" w:pos="1985"/>
        </w:tabs>
        <w:spacing w:before="60" w:after="60"/>
        <w:rPr>
          <w:rFonts w:ascii="Arial" w:eastAsiaTheme="minorEastAsia" w:hAnsi="Arial" w:cs="Arial"/>
          <w:b/>
          <w:sz w:val="24"/>
          <w:szCs w:val="24"/>
          <w:lang w:eastAsia="ko-KR"/>
        </w:rPr>
      </w:pPr>
      <w:r>
        <w:rPr>
          <w:rFonts w:ascii="Arial" w:eastAsia="SimSun" w:hAnsi="Arial" w:cs="Arial"/>
          <w:b/>
        </w:rPr>
        <w:t>Agenda Item:</w:t>
      </w:r>
      <w:r>
        <w:rPr>
          <w:rFonts w:ascii="Arial" w:eastAsia="SimSun" w:hAnsi="Arial" w:cs="Arial"/>
          <w:b/>
        </w:rPr>
        <w:tab/>
      </w:r>
      <w:r w:rsidR="00F611B4">
        <w:rPr>
          <w:rFonts w:ascii="Arial" w:eastAsiaTheme="minorEastAsia" w:hAnsi="Arial" w:cs="Arial" w:hint="eastAsia"/>
          <w:b/>
          <w:lang w:eastAsia="ko-KR"/>
        </w:rPr>
        <w:t>8</w:t>
      </w:r>
      <w:r w:rsidR="00554557">
        <w:rPr>
          <w:rFonts w:ascii="Arial" w:eastAsiaTheme="minorEastAsia" w:hAnsi="Arial" w:cs="Arial" w:hint="eastAsia"/>
          <w:b/>
          <w:lang w:eastAsia="ko-KR"/>
        </w:rPr>
        <w:t>.</w:t>
      </w:r>
      <w:r w:rsidR="007840C8">
        <w:rPr>
          <w:rFonts w:ascii="Arial" w:eastAsiaTheme="minorEastAsia" w:hAnsi="Arial" w:cs="Arial" w:hint="eastAsia"/>
          <w:b/>
          <w:lang w:eastAsia="ko-KR"/>
        </w:rPr>
        <w:t>3</w:t>
      </w:r>
      <w:r w:rsidR="00414244">
        <w:rPr>
          <w:rFonts w:ascii="Arial" w:eastAsiaTheme="minorEastAsia" w:hAnsi="Arial" w:cs="Arial" w:hint="eastAsia"/>
          <w:b/>
          <w:lang w:eastAsia="ko-KR"/>
        </w:rPr>
        <w:t>.1</w:t>
      </w:r>
    </w:p>
    <w:p w14:paraId="0DCF966C" w14:textId="2C2AEBD5" w:rsidR="006B3C27" w:rsidRDefault="006B3C27" w:rsidP="006B3C27">
      <w:pPr>
        <w:tabs>
          <w:tab w:val="left" w:pos="1985"/>
        </w:tabs>
        <w:spacing w:before="60" w:after="60"/>
        <w:rPr>
          <w:rFonts w:ascii="Arial" w:hAnsi="Arial" w:cs="Arial"/>
          <w:lang w:eastAsia="ko-KR"/>
        </w:rPr>
      </w:pPr>
      <w:r>
        <w:rPr>
          <w:rFonts w:ascii="Arial" w:hAnsi="Arial" w:cs="Arial"/>
          <w:b/>
        </w:rPr>
        <w:t xml:space="preserve">Source: </w:t>
      </w:r>
      <w:r>
        <w:rPr>
          <w:rFonts w:ascii="Arial" w:hAnsi="Arial" w:cs="Arial"/>
          <w:b/>
        </w:rPr>
        <w:tab/>
      </w:r>
      <w:r w:rsidR="00FF7718">
        <w:rPr>
          <w:rFonts w:ascii="Arial" w:hAnsi="Arial" w:cs="Arial" w:hint="eastAsia"/>
          <w:b/>
          <w:lang w:eastAsia="ko-KR"/>
        </w:rPr>
        <w:t>LG Electronics</w:t>
      </w:r>
    </w:p>
    <w:p w14:paraId="6FCA6461" w14:textId="18999914" w:rsidR="006B3C27" w:rsidRPr="00414244" w:rsidRDefault="006B3C27" w:rsidP="006B3C27">
      <w:pPr>
        <w:tabs>
          <w:tab w:val="left" w:pos="1985"/>
        </w:tabs>
        <w:spacing w:before="60" w:after="60"/>
        <w:rPr>
          <w:rFonts w:ascii="Arial" w:eastAsiaTheme="minorEastAsia" w:hAnsi="Arial" w:cs="Arial"/>
          <w:lang w:eastAsia="ko-KR"/>
        </w:rPr>
      </w:pPr>
      <w:r>
        <w:rPr>
          <w:rFonts w:ascii="Arial" w:hAnsi="Arial" w:cs="Arial"/>
          <w:b/>
        </w:rPr>
        <w:t>Title:</w:t>
      </w:r>
      <w:r>
        <w:rPr>
          <w:rFonts w:ascii="Arial" w:hAnsi="Arial" w:cs="Arial"/>
        </w:rPr>
        <w:t xml:space="preserve"> </w:t>
      </w:r>
      <w:r>
        <w:rPr>
          <w:rFonts w:ascii="Arial" w:hAnsi="Arial" w:cs="Arial"/>
        </w:rPr>
        <w:tab/>
      </w:r>
      <w:r w:rsidR="00644EEE">
        <w:rPr>
          <w:rFonts w:ascii="Arial" w:hAnsi="Arial" w:cs="Arial" w:hint="eastAsia"/>
          <w:b/>
          <w:lang w:eastAsia="ko-KR"/>
        </w:rPr>
        <w:t xml:space="preserve">Discussion on </w:t>
      </w:r>
      <w:r w:rsidR="00414244">
        <w:rPr>
          <w:rFonts w:ascii="Arial" w:eastAsiaTheme="minorEastAsia" w:hAnsi="Arial" w:cs="Arial" w:hint="eastAsia"/>
          <w:b/>
          <w:lang w:eastAsia="ko-KR"/>
        </w:rPr>
        <w:t>6G Output power requirements</w:t>
      </w:r>
    </w:p>
    <w:p w14:paraId="4279D174" w14:textId="3D3EFD1E" w:rsidR="006B3C27" w:rsidRDefault="006B3C27" w:rsidP="006B3C27">
      <w:pPr>
        <w:tabs>
          <w:tab w:val="left" w:pos="1985"/>
        </w:tabs>
        <w:spacing w:before="60" w:after="60"/>
        <w:rPr>
          <w:rFonts w:ascii="Arial" w:hAnsi="Arial" w:cs="Arial"/>
          <w:b/>
          <w:lang w:eastAsia="ko-KR"/>
        </w:rPr>
      </w:pPr>
      <w:r>
        <w:rPr>
          <w:rFonts w:ascii="Arial" w:hAnsi="Arial" w:cs="Arial"/>
          <w:b/>
        </w:rPr>
        <w:t>Document for:</w:t>
      </w:r>
      <w:r>
        <w:rPr>
          <w:rFonts w:ascii="Arial" w:hAnsi="Arial" w:cs="Arial"/>
        </w:rPr>
        <w:tab/>
      </w:r>
      <w:r w:rsidR="00FF7718">
        <w:rPr>
          <w:rFonts w:ascii="Arial" w:hAnsi="Arial" w:cs="Arial" w:hint="eastAsia"/>
          <w:b/>
          <w:lang w:eastAsia="ko-KR"/>
        </w:rPr>
        <w:t>Discussion</w:t>
      </w:r>
    </w:p>
    <w:p w14:paraId="56651E7D" w14:textId="77777777" w:rsidR="006B3C27" w:rsidRDefault="006B3C27" w:rsidP="006B3C27">
      <w:pPr>
        <w:pBdr>
          <w:bottom w:val="single" w:sz="12" w:space="1" w:color="auto"/>
        </w:pBdr>
        <w:spacing w:before="60" w:after="60"/>
        <w:rPr>
          <w:rFonts w:ascii="Arial" w:hAnsi="Arial" w:cs="Arial"/>
          <w:lang w:eastAsia="ja-JP"/>
        </w:rPr>
      </w:pPr>
    </w:p>
    <w:p w14:paraId="0C4E3190" w14:textId="507109EF" w:rsidR="00F60300" w:rsidRPr="00210542" w:rsidRDefault="00F60300" w:rsidP="0052178F">
      <w:pPr>
        <w:pStyle w:val="1"/>
        <w:rPr>
          <w:lang w:val="en-US" w:eastAsia="ko-KR"/>
        </w:rPr>
      </w:pPr>
      <w:r w:rsidRPr="00210542">
        <w:rPr>
          <w:lang w:val="en-US"/>
        </w:rPr>
        <w:t>Introduction</w:t>
      </w:r>
      <w:bookmarkEnd w:id="2"/>
      <w:bookmarkEnd w:id="3"/>
    </w:p>
    <w:p w14:paraId="140F89E3" w14:textId="34095A44" w:rsidR="008A31FE" w:rsidRPr="00CA23D1" w:rsidRDefault="00A534BE" w:rsidP="00D66B61">
      <w:pPr>
        <w:rPr>
          <w:rFonts w:eastAsiaTheme="minorEastAsia"/>
          <w:lang w:val="en-US" w:eastAsia="ko-KR"/>
        </w:rPr>
      </w:pPr>
      <w:bookmarkStart w:id="4" w:name="_Ref124589665"/>
      <w:bookmarkStart w:id="5" w:name="_Ref71620620"/>
      <w:bookmarkStart w:id="6" w:name="_Ref124671424"/>
      <w:r>
        <w:rPr>
          <w:lang w:val="en-US" w:eastAsia="ko-KR"/>
        </w:rPr>
        <w:t>In the RAN</w:t>
      </w:r>
      <w:r w:rsidR="00BD4881">
        <w:rPr>
          <w:rFonts w:hint="eastAsia"/>
          <w:lang w:val="en-US" w:eastAsia="ko-KR"/>
        </w:rPr>
        <w:t>4</w:t>
      </w:r>
      <w:r>
        <w:rPr>
          <w:lang w:val="en-US" w:eastAsia="ko-KR"/>
        </w:rPr>
        <w:t>#</w:t>
      </w:r>
      <w:r w:rsidR="00C8374A">
        <w:rPr>
          <w:lang w:val="en-US" w:eastAsia="ko-KR"/>
        </w:rPr>
        <w:t>1</w:t>
      </w:r>
      <w:r w:rsidR="00BD4881">
        <w:rPr>
          <w:rFonts w:hint="eastAsia"/>
          <w:lang w:val="en-US" w:eastAsia="ko-KR"/>
        </w:rPr>
        <w:t>17</w:t>
      </w:r>
      <w:r w:rsidR="00C8374A">
        <w:rPr>
          <w:lang w:val="en-US" w:eastAsia="ko-KR"/>
        </w:rPr>
        <w:t>, the</w:t>
      </w:r>
      <w:r w:rsidR="00491703">
        <w:rPr>
          <w:lang w:val="en-US" w:eastAsia="ko-KR"/>
        </w:rPr>
        <w:t xml:space="preserve"> </w:t>
      </w:r>
      <w:r w:rsidR="00BD4881">
        <w:rPr>
          <w:rFonts w:hint="eastAsia"/>
          <w:lang w:val="en-US" w:eastAsia="ko-KR"/>
        </w:rPr>
        <w:t>WF</w:t>
      </w:r>
      <w:r w:rsidR="00491703">
        <w:rPr>
          <w:lang w:val="en-US" w:eastAsia="ko-KR"/>
        </w:rPr>
        <w:t xml:space="preserve"> on </w:t>
      </w:r>
      <w:bookmarkStart w:id="7" w:name="_Hlk210123467"/>
      <w:r w:rsidR="008A31FE">
        <w:rPr>
          <w:lang w:val="en-US" w:eastAsia="ko-KR"/>
        </w:rPr>
        <w:t>“</w:t>
      </w:r>
      <w:bookmarkEnd w:id="7"/>
      <w:r w:rsidR="00F125CE" w:rsidRPr="00F125CE">
        <w:rPr>
          <w:lang w:val="en-US" w:eastAsia="ko-KR"/>
        </w:rPr>
        <w:t>[117][102] 6G general RF and UE RF</w:t>
      </w:r>
      <w:r w:rsidR="008A31FE">
        <w:rPr>
          <w:lang w:val="en-US" w:eastAsia="ko-KR"/>
        </w:rPr>
        <w:t>”</w:t>
      </w:r>
      <w:r w:rsidR="00FF7718">
        <w:rPr>
          <w:rFonts w:hint="eastAsia"/>
          <w:lang w:val="en-US" w:eastAsia="ko-KR"/>
        </w:rPr>
        <w:t xml:space="preserve"> </w:t>
      </w:r>
      <w:r w:rsidR="00491703">
        <w:rPr>
          <w:lang w:val="en-US" w:eastAsia="ko-KR"/>
        </w:rPr>
        <w:t xml:space="preserve">was approved. In this discussion, we share our point of view for </w:t>
      </w:r>
      <w:r w:rsidR="00F125CE">
        <w:rPr>
          <w:rFonts w:hint="eastAsia"/>
          <w:lang w:val="en-US" w:eastAsia="ko-KR"/>
        </w:rPr>
        <w:t xml:space="preserve">6G general RF and UE RF </w:t>
      </w:r>
      <w:r w:rsidR="003F3592">
        <w:rPr>
          <w:lang w:val="en-US" w:eastAsia="ko-KR"/>
        </w:rPr>
        <w:t xml:space="preserve">based </w:t>
      </w:r>
      <w:r w:rsidR="00491703">
        <w:rPr>
          <w:lang w:val="en-US" w:eastAsia="ko-KR"/>
        </w:rPr>
        <w:t xml:space="preserve">on the approved </w:t>
      </w:r>
      <w:r w:rsidR="003F301B">
        <w:rPr>
          <w:rFonts w:hint="eastAsia"/>
          <w:lang w:val="en-US" w:eastAsia="ko-KR"/>
        </w:rPr>
        <w:t>WF</w:t>
      </w:r>
      <w:r w:rsidR="00C8374A">
        <w:rPr>
          <w:lang w:val="en-US" w:eastAsia="ko-KR"/>
        </w:rPr>
        <w:t xml:space="preserve"> [</w:t>
      </w:r>
      <w:r w:rsidR="00491703">
        <w:rPr>
          <w:lang w:val="en-US" w:eastAsia="ko-KR"/>
        </w:rPr>
        <w:t>1]</w:t>
      </w:r>
      <w:r w:rsidR="00D66B61">
        <w:rPr>
          <w:rFonts w:hint="eastAsia"/>
          <w:lang w:val="en-US" w:eastAsia="ko-KR"/>
        </w:rPr>
        <w:t>.</w:t>
      </w:r>
    </w:p>
    <w:p w14:paraId="46BC37B4" w14:textId="05998992" w:rsidR="00032EED" w:rsidRDefault="0022170A" w:rsidP="0052178F">
      <w:pPr>
        <w:pStyle w:val="1"/>
        <w:rPr>
          <w:lang w:val="en-US" w:eastAsia="ko-KR"/>
        </w:rPr>
      </w:pPr>
      <w:r>
        <w:rPr>
          <w:lang w:val="en-US" w:eastAsia="ko-KR"/>
        </w:rPr>
        <w:t>Discussion</w:t>
      </w:r>
    </w:p>
    <w:p w14:paraId="5EE17DED" w14:textId="44DFFA1E" w:rsidR="00C3739E" w:rsidRPr="00C3739E" w:rsidRDefault="00C3739E" w:rsidP="00C3739E">
      <w:pPr>
        <w:pStyle w:val="2"/>
        <w:rPr>
          <w:lang w:eastAsia="ko-KR"/>
        </w:rPr>
      </w:pPr>
      <w:r>
        <w:rPr>
          <w:rFonts w:hint="eastAsia"/>
          <w:lang w:eastAsia="ko-KR"/>
        </w:rPr>
        <w:t>Single carrier output power requirements</w:t>
      </w:r>
    </w:p>
    <w:tbl>
      <w:tblPr>
        <w:tblStyle w:val="aa"/>
        <w:tblW w:w="0" w:type="auto"/>
        <w:tblLook w:val="04A0" w:firstRow="1" w:lastRow="0" w:firstColumn="1" w:lastColumn="0" w:noHBand="0" w:noVBand="1"/>
      </w:tblPr>
      <w:tblGrid>
        <w:gridCol w:w="9855"/>
      </w:tblGrid>
      <w:tr w:rsidR="00F57B93" w14:paraId="57FA5B42" w14:textId="77777777" w:rsidTr="00F57B93">
        <w:tc>
          <w:tcPr>
            <w:tcW w:w="9855" w:type="dxa"/>
          </w:tcPr>
          <w:p w14:paraId="013575CC" w14:textId="77777777" w:rsidR="00C3739E" w:rsidRPr="00C3739E" w:rsidRDefault="00C3739E" w:rsidP="00C3739E">
            <w:pPr>
              <w:rPr>
                <w:b/>
                <w:bCs/>
                <w:lang w:val="sv-SE"/>
              </w:rPr>
            </w:pPr>
            <w:r w:rsidRPr="00C3739E">
              <w:rPr>
                <w:b/>
                <w:bCs/>
                <w:lang w:val="sv-SE"/>
              </w:rPr>
              <w:t>Topic #1: Single carrier output power requirements</w:t>
            </w:r>
          </w:p>
          <w:p w14:paraId="7AF4D3FE" w14:textId="77777777" w:rsidR="00C3739E" w:rsidRPr="00C3739E" w:rsidRDefault="00C3739E" w:rsidP="00C3739E">
            <w:pPr>
              <w:numPr>
                <w:ilvl w:val="0"/>
                <w:numId w:val="68"/>
              </w:numPr>
            </w:pPr>
            <w:r w:rsidRPr="00C3739E">
              <w:rPr>
                <w:rFonts w:eastAsia="SimSun"/>
              </w:rPr>
              <w:t>Agreements for power class</w:t>
            </w:r>
          </w:p>
          <w:p w14:paraId="1D75C305" w14:textId="77777777" w:rsidR="00C3739E" w:rsidRPr="00C3739E" w:rsidRDefault="00C3739E" w:rsidP="00C3739E">
            <w:pPr>
              <w:numPr>
                <w:ilvl w:val="1"/>
                <w:numId w:val="68"/>
              </w:numPr>
              <w:rPr>
                <w:rFonts w:eastAsia="SimSun"/>
                <w:lang w:val="en-US"/>
              </w:rPr>
            </w:pPr>
            <w:r w:rsidRPr="00C3739E">
              <w:rPr>
                <w:rFonts w:eastAsia="SimSun"/>
              </w:rPr>
              <w:t>Further study step size between power classes. Encourage further inputs considering e.g.</w:t>
            </w:r>
          </w:p>
          <w:p w14:paraId="49C74CB1" w14:textId="77777777" w:rsidR="00C3739E" w:rsidRPr="00C3739E" w:rsidRDefault="00C3739E" w:rsidP="00C3739E">
            <w:pPr>
              <w:numPr>
                <w:ilvl w:val="2"/>
                <w:numId w:val="68"/>
              </w:numPr>
              <w:rPr>
                <w:lang w:val="en-US"/>
              </w:rPr>
            </w:pPr>
            <w:r w:rsidRPr="00C3739E">
              <w:rPr>
                <w:rFonts w:eastAsia="SimSun"/>
              </w:rPr>
              <w:t>Benefits/drawbacks of potential finer granularity between power classes</w:t>
            </w:r>
          </w:p>
          <w:p w14:paraId="7DD5ECC7" w14:textId="77777777" w:rsidR="00C3739E" w:rsidRPr="00C3739E" w:rsidRDefault="00C3739E" w:rsidP="00C3739E">
            <w:pPr>
              <w:numPr>
                <w:ilvl w:val="3"/>
                <w:numId w:val="68"/>
              </w:numPr>
              <w:rPr>
                <w:lang w:val="en-US"/>
              </w:rPr>
            </w:pPr>
            <w:r w:rsidRPr="00C3739E">
              <w:rPr>
                <w:rFonts w:eastAsia="SimSun"/>
              </w:rPr>
              <w:t>Granularity for MPR/A-MPR requirement definition</w:t>
            </w:r>
          </w:p>
          <w:p w14:paraId="12E97D44" w14:textId="77777777" w:rsidR="00C3739E" w:rsidRPr="00C3739E" w:rsidRDefault="00C3739E" w:rsidP="00C3739E">
            <w:pPr>
              <w:numPr>
                <w:ilvl w:val="3"/>
                <w:numId w:val="68"/>
              </w:numPr>
              <w:rPr>
                <w:lang w:val="en-US"/>
              </w:rPr>
            </w:pPr>
            <w:r w:rsidRPr="00C3739E">
              <w:rPr>
                <w:rFonts w:eastAsia="SimSun"/>
              </w:rPr>
              <w:t>Output power tolerance</w:t>
            </w:r>
          </w:p>
          <w:p w14:paraId="22774DA1" w14:textId="77777777" w:rsidR="00C3739E" w:rsidRPr="00C3739E" w:rsidRDefault="00C3739E" w:rsidP="00C3739E">
            <w:pPr>
              <w:numPr>
                <w:ilvl w:val="3"/>
                <w:numId w:val="68"/>
              </w:numPr>
              <w:rPr>
                <w:lang w:val="en-US"/>
              </w:rPr>
            </w:pPr>
            <w:r w:rsidRPr="00C3739E">
              <w:rPr>
                <w:rFonts w:eastAsia="SimSun"/>
              </w:rPr>
              <w:t>REFSENS requirement impact</w:t>
            </w:r>
          </w:p>
          <w:p w14:paraId="55E9EE9B" w14:textId="77777777" w:rsidR="00C3739E" w:rsidRPr="00C3739E" w:rsidRDefault="00C3739E" w:rsidP="00C3739E">
            <w:pPr>
              <w:numPr>
                <w:ilvl w:val="3"/>
                <w:numId w:val="68"/>
              </w:numPr>
              <w:rPr>
                <w:lang w:val="en-US"/>
              </w:rPr>
            </w:pPr>
            <w:r w:rsidRPr="00C3739E">
              <w:rPr>
                <w:rFonts w:eastAsia="SimSun"/>
              </w:rPr>
              <w:t>Potential regulatory restrictions</w:t>
            </w:r>
          </w:p>
          <w:p w14:paraId="0A739757" w14:textId="77777777" w:rsidR="00C3739E" w:rsidRPr="00C3739E" w:rsidRDefault="00C3739E" w:rsidP="00C3739E">
            <w:pPr>
              <w:numPr>
                <w:ilvl w:val="2"/>
                <w:numId w:val="68"/>
              </w:numPr>
              <w:rPr>
                <w:lang w:val="en-US"/>
              </w:rPr>
            </w:pPr>
            <w:r w:rsidRPr="00C3739E">
              <w:rPr>
                <w:rFonts w:eastAsia="SimSun"/>
                <w:lang w:val="en-US"/>
              </w:rPr>
              <w:t>Flexibility for implementation</w:t>
            </w:r>
          </w:p>
          <w:p w14:paraId="0F818EB8" w14:textId="77777777" w:rsidR="00C3739E" w:rsidRPr="00C3739E" w:rsidRDefault="00C3739E" w:rsidP="00C3739E">
            <w:pPr>
              <w:numPr>
                <w:ilvl w:val="1"/>
                <w:numId w:val="68"/>
              </w:numPr>
            </w:pPr>
            <w:r w:rsidRPr="00C3739E">
              <w:rPr>
                <w:rFonts w:eastAsia="SimSun"/>
              </w:rPr>
              <w:t>Further study power class for multi-TX case (</w:t>
            </w:r>
            <w:proofErr w:type="spellStart"/>
            <w:r w:rsidRPr="00C3739E">
              <w:rPr>
                <w:rFonts w:eastAsia="SimSun"/>
              </w:rPr>
              <w:t>TxD</w:t>
            </w:r>
            <w:proofErr w:type="spellEnd"/>
            <w:r w:rsidRPr="00C3739E">
              <w:rPr>
                <w:rFonts w:eastAsia="SimSun"/>
              </w:rPr>
              <w:t>, UL-MIMO)</w:t>
            </w:r>
          </w:p>
          <w:p w14:paraId="784CDF77" w14:textId="77777777" w:rsidR="00C3739E" w:rsidRPr="00C3739E" w:rsidRDefault="00C3739E" w:rsidP="00C3739E">
            <w:pPr>
              <w:numPr>
                <w:ilvl w:val="2"/>
                <w:numId w:val="68"/>
              </w:numPr>
              <w:rPr>
                <w:rFonts w:eastAsia="SimSun"/>
              </w:rPr>
            </w:pPr>
            <w:r w:rsidRPr="00C3739E">
              <w:rPr>
                <w:rFonts w:eastAsia="SimSun"/>
              </w:rPr>
              <w:t xml:space="preserve">Consider benefits and drawbacks for </w:t>
            </w:r>
          </w:p>
          <w:p w14:paraId="3825C208" w14:textId="77777777" w:rsidR="00C3739E" w:rsidRPr="00C3739E" w:rsidRDefault="00C3739E" w:rsidP="00C3739E">
            <w:pPr>
              <w:numPr>
                <w:ilvl w:val="3"/>
                <w:numId w:val="68"/>
              </w:numPr>
              <w:rPr>
                <w:rFonts w:eastAsia="SimSun"/>
              </w:rPr>
            </w:pPr>
            <w:r w:rsidRPr="00C3739E">
              <w:rPr>
                <w:rFonts w:eastAsia="SimSun"/>
              </w:rPr>
              <w:t>Defining power class to be agnostic of number of Tx chains and/or PAs</w:t>
            </w:r>
          </w:p>
          <w:p w14:paraId="1B9172AB" w14:textId="77777777" w:rsidR="00C3739E" w:rsidRPr="00C3739E" w:rsidRDefault="00C3739E" w:rsidP="00C3739E">
            <w:pPr>
              <w:numPr>
                <w:ilvl w:val="3"/>
                <w:numId w:val="68"/>
              </w:numPr>
              <w:rPr>
                <w:rFonts w:eastAsia="SimSun"/>
              </w:rPr>
            </w:pPr>
            <w:r w:rsidRPr="00C3739E">
              <w:rPr>
                <w:rFonts w:eastAsia="SimSun"/>
              </w:rPr>
              <w:t>Considering that each chain and/or PA should be able to reach maximum output power</w:t>
            </w:r>
          </w:p>
          <w:p w14:paraId="35E8C1B8" w14:textId="77777777" w:rsidR="00C3739E" w:rsidRPr="00C3739E" w:rsidRDefault="00C3739E" w:rsidP="00C3739E">
            <w:pPr>
              <w:numPr>
                <w:ilvl w:val="2"/>
                <w:numId w:val="68"/>
              </w:numPr>
              <w:rPr>
                <w:rFonts w:eastAsia="SimSun"/>
              </w:rPr>
            </w:pPr>
            <w:r w:rsidRPr="00C3739E">
              <w:rPr>
                <w:rFonts w:eastAsia="SimSun"/>
              </w:rPr>
              <w:t xml:space="preserve">Consider impact of transparent vs. non-transparent </w:t>
            </w:r>
            <w:proofErr w:type="spellStart"/>
            <w:r w:rsidRPr="00C3739E">
              <w:rPr>
                <w:rFonts w:eastAsia="SimSun"/>
              </w:rPr>
              <w:t>TxD</w:t>
            </w:r>
            <w:proofErr w:type="spellEnd"/>
          </w:p>
          <w:p w14:paraId="3D5C8124" w14:textId="77777777" w:rsidR="00C3739E" w:rsidRPr="00C3739E" w:rsidRDefault="00C3739E" w:rsidP="00C3739E">
            <w:pPr>
              <w:numPr>
                <w:ilvl w:val="1"/>
                <w:numId w:val="68"/>
              </w:numPr>
              <w:rPr>
                <w:rFonts w:eastAsia="SimSun"/>
              </w:rPr>
            </w:pPr>
            <w:r w:rsidRPr="00C3739E">
              <w:rPr>
                <w:rFonts w:eastAsia="SimSun"/>
              </w:rPr>
              <w:t>Further study how to enable fully utilizing PA capabilities considering e.g.</w:t>
            </w:r>
          </w:p>
          <w:p w14:paraId="20D31EFE" w14:textId="77777777" w:rsidR="00C3739E" w:rsidRPr="00C3739E" w:rsidRDefault="00C3739E" w:rsidP="00C3739E">
            <w:pPr>
              <w:numPr>
                <w:ilvl w:val="2"/>
                <w:numId w:val="68"/>
              </w:numPr>
              <w:rPr>
                <w:rFonts w:eastAsia="SimSun"/>
                <w:lang w:val="en-US"/>
              </w:rPr>
            </w:pPr>
            <w:r w:rsidRPr="00C3739E">
              <w:rPr>
                <w:rFonts w:eastAsia="SimSun"/>
                <w:lang w:val="en-US"/>
              </w:rPr>
              <w:t>Relaxation or removal of upper tolerance without sacrificing output power accuracy</w:t>
            </w:r>
          </w:p>
          <w:p w14:paraId="5E58B2BD" w14:textId="77777777" w:rsidR="00C3739E" w:rsidRPr="00C3739E" w:rsidRDefault="00C3739E" w:rsidP="00C3739E">
            <w:pPr>
              <w:numPr>
                <w:ilvl w:val="2"/>
                <w:numId w:val="68"/>
              </w:numPr>
              <w:rPr>
                <w:lang w:val="en-US"/>
              </w:rPr>
            </w:pPr>
            <w:r w:rsidRPr="00C3739E">
              <w:rPr>
                <w:rFonts w:eastAsia="SimSun"/>
                <w:lang w:val="en-US"/>
              </w:rPr>
              <w:t>Power boosting</w:t>
            </w:r>
          </w:p>
          <w:p w14:paraId="0BCDECE8" w14:textId="77777777" w:rsidR="00C3739E" w:rsidRPr="00C3739E" w:rsidRDefault="00C3739E" w:rsidP="00C3739E">
            <w:pPr>
              <w:numPr>
                <w:ilvl w:val="2"/>
                <w:numId w:val="68"/>
              </w:numPr>
              <w:rPr>
                <w:lang w:val="en-US"/>
              </w:rPr>
            </w:pPr>
            <w:r w:rsidRPr="00C3739E">
              <w:rPr>
                <w:rFonts w:eastAsia="SimSun"/>
                <w:lang w:val="en-US"/>
              </w:rPr>
              <w:t>Maximum power capability reporting</w:t>
            </w:r>
          </w:p>
          <w:p w14:paraId="76063780" w14:textId="77777777" w:rsidR="00C3739E" w:rsidRPr="00C3739E" w:rsidRDefault="00C3739E" w:rsidP="00C3739E">
            <w:pPr>
              <w:numPr>
                <w:ilvl w:val="2"/>
                <w:numId w:val="68"/>
              </w:numPr>
              <w:rPr>
                <w:lang w:val="en-US"/>
              </w:rPr>
            </w:pPr>
            <w:r w:rsidRPr="00C3739E">
              <w:rPr>
                <w:rFonts w:eastAsia="SimSun"/>
                <w:lang w:val="en-US"/>
              </w:rPr>
              <w:t>Removing the nominal power limit in the PCMAX upper bound</w:t>
            </w:r>
          </w:p>
          <w:p w14:paraId="678C24AE" w14:textId="77777777" w:rsidR="00C3739E" w:rsidRPr="00C3739E" w:rsidRDefault="00C3739E" w:rsidP="00C3739E">
            <w:pPr>
              <w:numPr>
                <w:ilvl w:val="1"/>
                <w:numId w:val="68"/>
              </w:numPr>
              <w:rPr>
                <w:lang w:val="en-US"/>
              </w:rPr>
            </w:pPr>
            <w:r w:rsidRPr="00C3739E">
              <w:rPr>
                <w:rFonts w:eastAsia="SimSun"/>
                <w:lang w:val="en-US"/>
              </w:rPr>
              <w:t>Further study need for default power class and default power class values considering e.g.</w:t>
            </w:r>
          </w:p>
          <w:p w14:paraId="066818BB" w14:textId="77777777" w:rsidR="00C3739E" w:rsidRPr="00C3739E" w:rsidRDefault="00C3739E" w:rsidP="00C3739E">
            <w:pPr>
              <w:numPr>
                <w:ilvl w:val="2"/>
                <w:numId w:val="68"/>
              </w:numPr>
              <w:rPr>
                <w:lang w:val="en-US"/>
              </w:rPr>
            </w:pPr>
            <w:r w:rsidRPr="00C3739E">
              <w:rPr>
                <w:rFonts w:eastAsia="SimSun"/>
                <w:lang w:val="en-US"/>
              </w:rPr>
              <w:t>Network UL coverage / UL link budget at different frequencies/ System performance</w:t>
            </w:r>
          </w:p>
          <w:p w14:paraId="62897887" w14:textId="77777777" w:rsidR="00C3739E" w:rsidRPr="00C3739E" w:rsidRDefault="00C3739E" w:rsidP="00C3739E">
            <w:pPr>
              <w:numPr>
                <w:ilvl w:val="2"/>
                <w:numId w:val="68"/>
              </w:numPr>
              <w:rPr>
                <w:lang w:val="en-US"/>
              </w:rPr>
            </w:pPr>
            <w:r w:rsidRPr="00C3739E">
              <w:rPr>
                <w:rFonts w:eastAsia="SimSun"/>
                <w:lang w:val="en-US"/>
              </w:rPr>
              <w:t>Impact on REFSENS definition for FDD bands</w:t>
            </w:r>
          </w:p>
          <w:p w14:paraId="4EE1AE88" w14:textId="77777777" w:rsidR="00C3739E" w:rsidRPr="00C3739E" w:rsidRDefault="00C3739E" w:rsidP="00C3739E">
            <w:pPr>
              <w:numPr>
                <w:ilvl w:val="2"/>
                <w:numId w:val="68"/>
              </w:numPr>
              <w:rPr>
                <w:lang w:val="en-US"/>
              </w:rPr>
            </w:pPr>
            <w:r w:rsidRPr="00C3739E">
              <w:rPr>
                <w:rFonts w:eastAsia="SimSun"/>
                <w:lang w:val="en-US"/>
              </w:rPr>
              <w:t>Maximum channel bandwidth</w:t>
            </w:r>
          </w:p>
          <w:p w14:paraId="42F168EE" w14:textId="77777777" w:rsidR="00C3739E" w:rsidRPr="00C3739E" w:rsidRDefault="00C3739E" w:rsidP="00C3739E">
            <w:pPr>
              <w:numPr>
                <w:ilvl w:val="2"/>
                <w:numId w:val="68"/>
              </w:numPr>
              <w:rPr>
                <w:lang w:val="en-US"/>
              </w:rPr>
            </w:pPr>
            <w:r w:rsidRPr="00C3739E">
              <w:rPr>
                <w:rFonts w:eastAsia="SimSun"/>
                <w:lang w:val="en-US"/>
              </w:rPr>
              <w:t>Cell planning from the operators</w:t>
            </w:r>
          </w:p>
          <w:p w14:paraId="42533DEA" w14:textId="77777777" w:rsidR="00C3739E" w:rsidRPr="00C3739E" w:rsidRDefault="00C3739E" w:rsidP="00C3739E">
            <w:pPr>
              <w:numPr>
                <w:ilvl w:val="2"/>
                <w:numId w:val="68"/>
              </w:numPr>
              <w:rPr>
                <w:lang w:val="en-US"/>
              </w:rPr>
            </w:pPr>
            <w:r w:rsidRPr="00C3739E">
              <w:rPr>
                <w:rFonts w:eastAsia="SimSun"/>
                <w:lang w:val="en-US"/>
              </w:rPr>
              <w:t>Potential regulatory output power restrictions</w:t>
            </w:r>
          </w:p>
          <w:p w14:paraId="0E7B107A" w14:textId="77777777" w:rsidR="00C3739E" w:rsidRPr="00C3739E" w:rsidRDefault="00C3739E" w:rsidP="00C3739E">
            <w:pPr>
              <w:numPr>
                <w:ilvl w:val="0"/>
                <w:numId w:val="68"/>
              </w:numPr>
            </w:pPr>
            <w:r w:rsidRPr="00C3739E">
              <w:rPr>
                <w:rFonts w:eastAsia="SimSun"/>
              </w:rPr>
              <w:t>Agreements for configured maximum output power</w:t>
            </w:r>
          </w:p>
          <w:p w14:paraId="2233E353" w14:textId="77777777" w:rsidR="00C3739E" w:rsidRPr="00C3739E" w:rsidRDefault="00C3739E" w:rsidP="00C3739E">
            <w:pPr>
              <w:numPr>
                <w:ilvl w:val="1"/>
                <w:numId w:val="68"/>
              </w:numPr>
              <w:rPr>
                <w:rFonts w:eastAsia="SimSun"/>
              </w:rPr>
            </w:pPr>
            <w:r w:rsidRPr="00C3739E">
              <w:rPr>
                <w:rFonts w:eastAsia="SimSun"/>
              </w:rPr>
              <w:t>Further study SAR solution considering</w:t>
            </w:r>
          </w:p>
          <w:p w14:paraId="3BA4BA2C" w14:textId="77777777" w:rsidR="00C3739E" w:rsidRPr="00C3739E" w:rsidRDefault="00C3739E" w:rsidP="00C3739E">
            <w:pPr>
              <w:numPr>
                <w:ilvl w:val="2"/>
                <w:numId w:val="68"/>
              </w:numPr>
              <w:rPr>
                <w:rFonts w:eastAsia="SimSun"/>
              </w:rPr>
            </w:pPr>
            <w:r w:rsidRPr="00C3739E">
              <w:rPr>
                <w:rFonts w:eastAsia="SimSun"/>
              </w:rPr>
              <w:t>P-MPR as baseline below 6 GHz</w:t>
            </w:r>
          </w:p>
          <w:p w14:paraId="39870DB7" w14:textId="77777777" w:rsidR="00C3739E" w:rsidRPr="00C3739E" w:rsidRDefault="00C3739E" w:rsidP="00C3739E">
            <w:pPr>
              <w:numPr>
                <w:ilvl w:val="2"/>
                <w:numId w:val="68"/>
              </w:numPr>
              <w:rPr>
                <w:rFonts w:eastAsia="SimSun"/>
              </w:rPr>
            </w:pPr>
            <w:r w:rsidRPr="00C3739E">
              <w:rPr>
                <w:rFonts w:eastAsia="SimSun"/>
              </w:rPr>
              <w:lastRenderedPageBreak/>
              <w:t>Whether/how SAR or MPE applies at higher than 6GHz and applicable solutions</w:t>
            </w:r>
          </w:p>
          <w:p w14:paraId="0D25F642" w14:textId="77777777" w:rsidR="00C3739E" w:rsidRPr="00C3739E" w:rsidRDefault="00C3739E" w:rsidP="00C3739E">
            <w:pPr>
              <w:numPr>
                <w:ilvl w:val="2"/>
                <w:numId w:val="68"/>
              </w:numPr>
              <w:rPr>
                <w:rFonts w:eastAsia="SimSun"/>
              </w:rPr>
            </w:pPr>
            <w:r w:rsidRPr="00C3739E">
              <w:rPr>
                <w:rFonts w:eastAsia="SimSun"/>
              </w:rPr>
              <w:t xml:space="preserve">Achieving more clarity on UE output power </w:t>
            </w:r>
          </w:p>
          <w:p w14:paraId="0464EE1D" w14:textId="77777777" w:rsidR="00C3739E" w:rsidRPr="00C3739E" w:rsidRDefault="00C3739E" w:rsidP="00C3739E">
            <w:pPr>
              <w:numPr>
                <w:ilvl w:val="1"/>
                <w:numId w:val="68"/>
              </w:numPr>
              <w:rPr>
                <w:rFonts w:eastAsia="SimSun"/>
              </w:rPr>
            </w:pPr>
            <w:r w:rsidRPr="00C3739E">
              <w:rPr>
                <w:rFonts w:eastAsia="SimSun"/>
              </w:rPr>
              <w:t>Further study potential UL duty cycle requirement to optimize component size/cost considering</w:t>
            </w:r>
          </w:p>
          <w:p w14:paraId="2F0F817D" w14:textId="77777777" w:rsidR="00C3739E" w:rsidRPr="00C3739E" w:rsidRDefault="00C3739E" w:rsidP="00C3739E">
            <w:pPr>
              <w:numPr>
                <w:ilvl w:val="2"/>
                <w:numId w:val="68"/>
              </w:numPr>
              <w:rPr>
                <w:rFonts w:eastAsia="SimSun"/>
              </w:rPr>
            </w:pPr>
            <w:r w:rsidRPr="00C3739E">
              <w:rPr>
                <w:rFonts w:eastAsia="SimSun"/>
              </w:rPr>
              <w:t>Use cases and deployment scenarios as well as network needs</w:t>
            </w:r>
          </w:p>
          <w:p w14:paraId="00E75FAC" w14:textId="77777777" w:rsidR="00C3739E" w:rsidRPr="00C3739E" w:rsidRDefault="00C3739E" w:rsidP="00C3739E">
            <w:pPr>
              <w:numPr>
                <w:ilvl w:val="1"/>
                <w:numId w:val="68"/>
              </w:numPr>
              <w:rPr>
                <w:rFonts w:eastAsia="SimSun"/>
              </w:rPr>
            </w:pPr>
            <w:r w:rsidRPr="00C3739E">
              <w:rPr>
                <w:rFonts w:eastAsia="SimSun"/>
              </w:rPr>
              <w:t>Further review the 5G configured Tx power equation parameters considering at least the following</w:t>
            </w:r>
          </w:p>
          <w:p w14:paraId="474DF2FF" w14:textId="77777777" w:rsidR="00C3739E" w:rsidRPr="00C3739E" w:rsidRDefault="00C3739E" w:rsidP="00C3739E">
            <w:pPr>
              <w:numPr>
                <w:ilvl w:val="2"/>
                <w:numId w:val="68"/>
              </w:numPr>
              <w:rPr>
                <w:rFonts w:eastAsia="SimSun"/>
              </w:rPr>
            </w:pPr>
            <w:r w:rsidRPr="00C3739E">
              <w:rPr>
                <w:rFonts w:eastAsia="SimSun"/>
              </w:rPr>
              <w:t>∆</w:t>
            </w:r>
            <w:proofErr w:type="spellStart"/>
            <w:proofErr w:type="gramStart"/>
            <w:r w:rsidRPr="00C3739E">
              <w:rPr>
                <w:rFonts w:eastAsia="SimSun"/>
              </w:rPr>
              <w:t>T</w:t>
            </w:r>
            <w:r w:rsidRPr="00C3739E">
              <w:rPr>
                <w:rFonts w:eastAsia="SimSun"/>
                <w:vertAlign w:val="subscript"/>
              </w:rPr>
              <w:t>C,c</w:t>
            </w:r>
            <w:proofErr w:type="spellEnd"/>
            <w:proofErr w:type="gramEnd"/>
            <w:r w:rsidRPr="00C3739E">
              <w:rPr>
                <w:rFonts w:eastAsia="SimSun"/>
                <w:vertAlign w:val="subscript"/>
              </w:rPr>
              <w:t xml:space="preserve"> : </w:t>
            </w:r>
            <w:r w:rsidRPr="00C3739E">
              <w:rPr>
                <w:rFonts w:eastAsia="SimSun"/>
              </w:rPr>
              <w:t>can it be removed, considering also new wider CBW and FFS on whether and where to accommodate this relaxation in requirements.</w:t>
            </w:r>
          </w:p>
          <w:p w14:paraId="146FEC3E" w14:textId="77777777" w:rsidR="00C3739E" w:rsidRPr="00C3739E" w:rsidRDefault="00C3739E" w:rsidP="00C3739E">
            <w:pPr>
              <w:numPr>
                <w:ilvl w:val="2"/>
                <w:numId w:val="68"/>
              </w:numPr>
              <w:rPr>
                <w:rFonts w:eastAsia="SimSun"/>
              </w:rPr>
            </w:pPr>
            <w:r w:rsidRPr="00C3739E">
              <w:rPr>
                <w:rFonts w:eastAsia="SimSun"/>
              </w:rPr>
              <w:t>∆</w:t>
            </w:r>
            <w:proofErr w:type="spellStart"/>
            <w:r w:rsidRPr="00C3739E">
              <w:rPr>
                <w:rFonts w:eastAsia="SimSun"/>
              </w:rPr>
              <w:t>T</w:t>
            </w:r>
            <w:r w:rsidRPr="00C3739E">
              <w:rPr>
                <w:rFonts w:eastAsia="SimSun"/>
                <w:vertAlign w:val="subscript"/>
              </w:rPr>
              <w:t>RxSRS</w:t>
            </w:r>
            <w:proofErr w:type="spellEnd"/>
            <w:r w:rsidRPr="00C3739E">
              <w:rPr>
                <w:rFonts w:eastAsia="SimSun"/>
              </w:rPr>
              <w:t xml:space="preserve">: should it be separated from general </w:t>
            </w:r>
            <w:proofErr w:type="spellStart"/>
            <w:r w:rsidRPr="00C3739E">
              <w:rPr>
                <w:rFonts w:eastAsia="SimSun"/>
              </w:rPr>
              <w:t>Pcmax</w:t>
            </w:r>
            <w:proofErr w:type="spellEnd"/>
            <w:r w:rsidRPr="00C3739E">
              <w:rPr>
                <w:rFonts w:eastAsia="SimSun"/>
              </w:rPr>
              <w:t xml:space="preserve"> equation as it only addresses SRS transmission and FFS on how it can be accommodated.</w:t>
            </w:r>
          </w:p>
          <w:p w14:paraId="24C6D008" w14:textId="77777777" w:rsidR="00C3739E" w:rsidRPr="00C3739E" w:rsidRDefault="00C3739E" w:rsidP="00C3739E">
            <w:pPr>
              <w:numPr>
                <w:ilvl w:val="2"/>
                <w:numId w:val="68"/>
              </w:numPr>
              <w:rPr>
                <w:rFonts w:eastAsia="SimSun"/>
              </w:rPr>
            </w:pPr>
            <w:r w:rsidRPr="00C3739E">
              <w:rPr>
                <w:rFonts w:eastAsia="SimSun"/>
              </w:rPr>
              <w:t>∆T</w:t>
            </w:r>
            <w:r w:rsidRPr="00C3739E">
              <w:rPr>
                <w:rFonts w:eastAsia="SimSun"/>
                <w:vertAlign w:val="subscript"/>
              </w:rPr>
              <w:t>ib</w:t>
            </w:r>
            <w:r w:rsidRPr="00C3739E">
              <w:rPr>
                <w:rFonts w:eastAsia="SimSun"/>
              </w:rPr>
              <w:t>: can the requirement be removed and accommodated to per band power capability and FSS on whether and where to accommodate this relaxation in requirements.</w:t>
            </w:r>
          </w:p>
          <w:p w14:paraId="4D7D38D6" w14:textId="213A735D" w:rsidR="00F57B93" w:rsidRPr="00C3739E" w:rsidRDefault="00C3739E" w:rsidP="00C3739E">
            <w:pPr>
              <w:numPr>
                <w:ilvl w:val="2"/>
                <w:numId w:val="68"/>
              </w:numPr>
              <w:rPr>
                <w:b/>
                <w:bCs/>
              </w:rPr>
            </w:pPr>
            <w:proofErr w:type="spellStart"/>
            <w:r w:rsidRPr="00C3739E">
              <w:rPr>
                <w:rFonts w:eastAsia="SimSun"/>
              </w:rPr>
              <w:t>ΔP</w:t>
            </w:r>
            <w:r w:rsidRPr="00C3739E">
              <w:rPr>
                <w:rFonts w:eastAsia="SimSun"/>
                <w:vertAlign w:val="subscript"/>
              </w:rPr>
              <w:t>PowerClass</w:t>
            </w:r>
            <w:proofErr w:type="spellEnd"/>
            <w:r w:rsidRPr="00C3739E">
              <w:rPr>
                <w:rFonts w:eastAsia="SimSun"/>
                <w:vertAlign w:val="subscript"/>
              </w:rPr>
              <w:t xml:space="preserve">: </w:t>
            </w:r>
            <w:r w:rsidRPr="00C3739E">
              <w:rPr>
                <w:rFonts w:eastAsia="SimSun"/>
              </w:rPr>
              <w:t>Is it still needed in some cases even if not associated with SAR</w:t>
            </w:r>
          </w:p>
        </w:tc>
      </w:tr>
    </w:tbl>
    <w:p w14:paraId="0E672296" w14:textId="77777777" w:rsidR="00261903" w:rsidRDefault="00261903" w:rsidP="000B0576">
      <w:pPr>
        <w:rPr>
          <w:lang w:eastAsia="ko-KR"/>
        </w:rPr>
      </w:pPr>
    </w:p>
    <w:p w14:paraId="1EC412F2" w14:textId="5EB73DFC" w:rsidR="00093A63" w:rsidRDefault="00D17613" w:rsidP="00C3739E">
      <w:pPr>
        <w:pStyle w:val="3"/>
        <w:rPr>
          <w:lang w:eastAsia="ko-KR"/>
        </w:rPr>
      </w:pPr>
      <w:r>
        <w:rPr>
          <w:rFonts w:hint="eastAsia"/>
          <w:lang w:eastAsia="ko-KR"/>
        </w:rPr>
        <w:t>Power class framework</w:t>
      </w:r>
    </w:p>
    <w:p w14:paraId="77CE8D16" w14:textId="57BBEE75" w:rsidR="00093A63" w:rsidRDefault="00B55DDB" w:rsidP="000B0576">
      <w:pPr>
        <w:rPr>
          <w:lang w:eastAsia="ko-KR"/>
        </w:rPr>
      </w:pPr>
      <w:r>
        <w:rPr>
          <w:rFonts w:hint="eastAsia"/>
          <w:lang w:eastAsia="ko-KR"/>
        </w:rPr>
        <w:t>The current framework defines a limited set of distinct power tiers (</w:t>
      </w:r>
      <w:proofErr w:type="spellStart"/>
      <w:r>
        <w:rPr>
          <w:rFonts w:hint="eastAsia"/>
          <w:lang w:eastAsia="ko-KR"/>
        </w:rPr>
        <w:t>e.g</w:t>
      </w:r>
      <w:proofErr w:type="spellEnd"/>
      <w:r>
        <w:rPr>
          <w:rFonts w:hint="eastAsia"/>
          <w:lang w:eastAsia="ko-KR"/>
        </w:rPr>
        <w:t>, PC3, PC2, PC1.5</w:t>
      </w:r>
      <w:proofErr w:type="gramStart"/>
      <w:r>
        <w:rPr>
          <w:rFonts w:hint="eastAsia"/>
          <w:lang w:eastAsia="ko-KR"/>
        </w:rPr>
        <w:t xml:space="preserve"> ..</w:t>
      </w:r>
      <w:proofErr w:type="gramEnd"/>
      <w:r>
        <w:rPr>
          <w:rFonts w:hint="eastAsia"/>
          <w:lang w:eastAsia="ko-KR"/>
        </w:rPr>
        <w:t>). These classes have historically been designed with a step size of approximately 3 dB, corresponding to nominal output power such as 23 dBm, 26 dBm, and 29 dBm, respectively.</w:t>
      </w:r>
    </w:p>
    <w:p w14:paraId="2B217793" w14:textId="3253B85C" w:rsidR="00B55DDB" w:rsidRDefault="00B55DDB" w:rsidP="000B0576">
      <w:pPr>
        <w:rPr>
          <w:lang w:eastAsia="ko-KR"/>
        </w:rPr>
      </w:pPr>
      <w:r>
        <w:rPr>
          <w:rFonts w:hint="eastAsia"/>
          <w:lang w:eastAsia="ko-KR"/>
        </w:rPr>
        <w:t xml:space="preserve">In the 6 G UE RF discussions, a key issue has been </w:t>
      </w:r>
      <w:r>
        <w:rPr>
          <w:lang w:eastAsia="ko-KR"/>
        </w:rPr>
        <w:t>identified</w:t>
      </w:r>
      <w:r>
        <w:rPr>
          <w:rFonts w:hint="eastAsia"/>
          <w:lang w:eastAsia="ko-KR"/>
        </w:rPr>
        <w:t xml:space="preserve"> regarding the granularity of UE power classes. Specifically, it is debated whether to maintain the legacy interval of approximately 3 dB or to introduce a finer granularity, such as 1 dB steps.</w:t>
      </w:r>
    </w:p>
    <w:p w14:paraId="4E8D7233" w14:textId="3A14E313" w:rsidR="009F716F" w:rsidRPr="00B82C14" w:rsidRDefault="00B55DDB" w:rsidP="000B0576">
      <w:pPr>
        <w:rPr>
          <w:rFonts w:eastAsiaTheme="minorEastAsia"/>
          <w:lang w:eastAsia="ko-KR"/>
        </w:rPr>
      </w:pPr>
      <w:r>
        <w:rPr>
          <w:rFonts w:hint="eastAsia"/>
          <w:lang w:eastAsia="ko-KR"/>
        </w:rPr>
        <w:t>With the anticipated diversification of 6G UE PA and RF front-end implementations, it is observed that the actual maximum output power of a UE may fall between the existing power class boundaries (</w:t>
      </w:r>
      <w:proofErr w:type="spellStart"/>
      <w:r>
        <w:rPr>
          <w:rFonts w:hint="eastAsia"/>
          <w:lang w:eastAsia="ko-KR"/>
        </w:rPr>
        <w:t>e.g</w:t>
      </w:r>
      <w:proofErr w:type="spellEnd"/>
      <w:r>
        <w:rPr>
          <w:rFonts w:hint="eastAsia"/>
          <w:lang w:eastAsia="ko-KR"/>
        </w:rPr>
        <w:t>, between 23 dBm and 26 dBm). Under the legacy mechanism, such UEs are unable to declare the higher power class. Consequently, concerns are raised that the available PA headroom is effectively lost or unutilized from the perspective of the standard and network optimization.</w:t>
      </w:r>
    </w:p>
    <w:p w14:paraId="70F5952F" w14:textId="51867041" w:rsidR="00B55DDB" w:rsidRPr="001B1376" w:rsidRDefault="009F716F" w:rsidP="000B0576">
      <w:pPr>
        <w:rPr>
          <w:rFonts w:eastAsiaTheme="minorEastAsia"/>
          <w:lang w:eastAsia="ko-KR"/>
        </w:rPr>
      </w:pPr>
      <w:r w:rsidRPr="009F716F">
        <w:rPr>
          <w:rFonts w:hint="eastAsia"/>
          <w:b/>
          <w:bCs/>
          <w:i/>
          <w:iCs/>
          <w:lang w:eastAsia="ko-KR"/>
        </w:rPr>
        <w:t>Observation 1</w:t>
      </w:r>
      <w:r>
        <w:rPr>
          <w:rFonts w:hint="eastAsia"/>
          <w:lang w:eastAsia="ko-KR"/>
        </w:rPr>
        <w:t xml:space="preserve">: </w:t>
      </w:r>
      <w:r w:rsidRPr="009F716F">
        <w:rPr>
          <w:lang w:eastAsia="ko-KR"/>
        </w:rPr>
        <w:t>Due to diverse RF implementations in 6G, a UE's actual capability may lie between defined classes, leading to unutilized PA headroom if the UE is forced to declare the lower class.</w:t>
      </w:r>
    </w:p>
    <w:p w14:paraId="54B470A3" w14:textId="5E7AA77C" w:rsidR="009F716F" w:rsidRPr="009F716F" w:rsidRDefault="009F716F" w:rsidP="009F716F">
      <w:pPr>
        <w:pStyle w:val="4"/>
        <w:rPr>
          <w:lang w:eastAsia="ko-KR"/>
        </w:rPr>
      </w:pPr>
      <w:r w:rsidRPr="009F716F">
        <w:rPr>
          <w:rFonts w:hint="eastAsia"/>
          <w:lang w:eastAsia="ko-KR"/>
        </w:rPr>
        <w:t>Traditional ~3 dB Step Framework</w:t>
      </w:r>
    </w:p>
    <w:p w14:paraId="2FE54858" w14:textId="6AA4DB85" w:rsidR="00DF2B92" w:rsidRPr="00443126" w:rsidRDefault="009F716F" w:rsidP="000B0576">
      <w:pPr>
        <w:rPr>
          <w:rFonts w:eastAsiaTheme="minorEastAsia"/>
          <w:lang w:eastAsia="ko-KR"/>
        </w:rPr>
      </w:pPr>
      <w:r>
        <w:rPr>
          <w:rFonts w:hint="eastAsia"/>
          <w:lang w:eastAsia="ko-KR"/>
        </w:rPr>
        <w:t>The legacy framework, characterized by power classes separated by approximately 3 dB, presents the following</w:t>
      </w:r>
      <w:r w:rsidR="001B1376">
        <w:rPr>
          <w:rFonts w:eastAsiaTheme="minorEastAsia" w:hint="eastAsia"/>
          <w:lang w:eastAsia="ko-KR"/>
        </w:rPr>
        <w:t xml:space="preserve"> </w:t>
      </w:r>
      <w:r>
        <w:rPr>
          <w:rFonts w:hint="eastAsia"/>
          <w:lang w:eastAsia="ko-KR"/>
        </w:rPr>
        <w:t>technical merits and drawbacks:</w:t>
      </w:r>
    </w:p>
    <w:p w14:paraId="330061E6" w14:textId="6F99F52B" w:rsidR="009F716F" w:rsidRPr="009F716F" w:rsidRDefault="009F716F" w:rsidP="000B0576">
      <w:pPr>
        <w:rPr>
          <w:b/>
          <w:bCs/>
          <w:lang w:eastAsia="ko-KR"/>
        </w:rPr>
      </w:pPr>
      <w:r w:rsidRPr="009F716F">
        <w:rPr>
          <w:rFonts w:hint="eastAsia"/>
          <w:b/>
          <w:bCs/>
          <w:lang w:eastAsia="ko-KR"/>
        </w:rPr>
        <w:t>Pros:</w:t>
      </w:r>
    </w:p>
    <w:p w14:paraId="2ED4BD0F" w14:textId="0F66D2FB" w:rsidR="009F716F" w:rsidRDefault="009F716F" w:rsidP="009F716F">
      <w:pPr>
        <w:pStyle w:val="af2"/>
        <w:numPr>
          <w:ilvl w:val="0"/>
          <w:numId w:val="69"/>
        </w:numPr>
        <w:ind w:leftChars="0"/>
        <w:rPr>
          <w:rFonts w:ascii="Times New Roman" w:hAnsi="Times New Roman"/>
        </w:rPr>
      </w:pPr>
      <w:r w:rsidRPr="009F716F">
        <w:rPr>
          <w:rFonts w:ascii="Times New Roman" w:hAnsi="Times New Roman"/>
          <w:b/>
          <w:bCs/>
        </w:rPr>
        <w:t>Simplicity and Proven Operability</w:t>
      </w:r>
      <w:r w:rsidRPr="009F716F">
        <w:rPr>
          <w:rFonts w:ascii="Times New Roman" w:hAnsi="Times New Roman"/>
        </w:rPr>
        <w:t xml:space="preserve">: The </w:t>
      </w:r>
      <w:r>
        <w:rPr>
          <w:rFonts w:ascii="Times New Roman" w:hAnsi="Times New Roman" w:hint="eastAsia"/>
        </w:rPr>
        <w:t>3 dB step structure consists of a limited number of power tiers. This simplicity facilitates the definition of RF requirements (e.g., MPR, A-MPR, ACLR) and conformance testing procedures, thereby minimizing the fragmentation of requirements and test cases</w:t>
      </w:r>
    </w:p>
    <w:p w14:paraId="655D492C" w14:textId="45919522" w:rsidR="009F716F" w:rsidRDefault="009F716F" w:rsidP="009F716F">
      <w:pPr>
        <w:pStyle w:val="af2"/>
        <w:numPr>
          <w:ilvl w:val="0"/>
          <w:numId w:val="69"/>
        </w:numPr>
        <w:ind w:leftChars="0"/>
        <w:rPr>
          <w:rFonts w:ascii="Times New Roman" w:hAnsi="Times New Roman"/>
        </w:rPr>
      </w:pPr>
      <w:r w:rsidRPr="009F716F">
        <w:rPr>
          <w:rFonts w:ascii="Times New Roman" w:hAnsi="Times New Roman" w:hint="eastAsia"/>
          <w:b/>
          <w:bCs/>
        </w:rPr>
        <w:t>Clear Class Separation</w:t>
      </w:r>
      <w:r>
        <w:rPr>
          <w:rFonts w:ascii="Times New Roman" w:hAnsi="Times New Roman" w:hint="eastAsia"/>
        </w:rPr>
        <w:t xml:space="preserve">: A step size of approximately 3 </w:t>
      </w:r>
      <w:r w:rsidR="0021449B">
        <w:rPr>
          <w:rFonts w:ascii="Times New Roman" w:hAnsi="Times New Roman"/>
        </w:rPr>
        <w:t>dB ensures</w:t>
      </w:r>
      <w:r>
        <w:rPr>
          <w:rFonts w:ascii="Times New Roman" w:hAnsi="Times New Roman" w:hint="eastAsia"/>
        </w:rPr>
        <w:t xml:space="preserve"> distinct </w:t>
      </w:r>
      <w:r>
        <w:rPr>
          <w:rFonts w:ascii="Times New Roman" w:hAnsi="Times New Roman"/>
        </w:rPr>
        <w:t>separation</w:t>
      </w:r>
      <w:r>
        <w:rPr>
          <w:rFonts w:ascii="Times New Roman" w:hAnsi="Times New Roman" w:hint="eastAsia"/>
        </w:rPr>
        <w:t xml:space="preserve"> between classes. This structural margin mitigates the issue of overlapping grades, particularly when measurement tolerances are taken into account.</w:t>
      </w:r>
    </w:p>
    <w:p w14:paraId="2C70548C" w14:textId="76B8ADB0" w:rsidR="00B55DDB" w:rsidRPr="00443126" w:rsidRDefault="009F716F" w:rsidP="000B0576">
      <w:pPr>
        <w:pStyle w:val="af2"/>
        <w:numPr>
          <w:ilvl w:val="0"/>
          <w:numId w:val="69"/>
        </w:numPr>
        <w:ind w:leftChars="0"/>
        <w:rPr>
          <w:rFonts w:ascii="Times New Roman" w:hAnsi="Times New Roman"/>
        </w:rPr>
      </w:pPr>
      <w:r w:rsidRPr="00DF2B92">
        <w:rPr>
          <w:rFonts w:ascii="Times New Roman" w:hAnsi="Times New Roman" w:hint="eastAsia"/>
          <w:b/>
          <w:bCs/>
        </w:rPr>
        <w:t>Alignment with Legacy Ecosystem</w:t>
      </w:r>
      <w:r>
        <w:rPr>
          <w:rFonts w:ascii="Times New Roman" w:hAnsi="Times New Roman" w:hint="eastAsia"/>
        </w:rPr>
        <w:t>: The 3 dB step is not merely a numerical interval but represents a historical and industrial framework for classifying UE Tx performance. Established testing and verification procedures (including test setups and tier-specific requirements) are built around this structure. Drastic changes in 6G could necessitate significant re-alignment of the testing, certification, and verification ecosystem, extending beyond simple specification updates.</w:t>
      </w:r>
    </w:p>
    <w:p w14:paraId="627CBCA8" w14:textId="71529C0E" w:rsidR="00DF2B92" w:rsidRDefault="00DF2B92" w:rsidP="000B0576">
      <w:pPr>
        <w:rPr>
          <w:lang w:eastAsia="ko-KR"/>
        </w:rPr>
      </w:pPr>
      <w:r w:rsidRPr="00DF2B92">
        <w:rPr>
          <w:rFonts w:hint="eastAsia"/>
          <w:b/>
          <w:bCs/>
          <w:lang w:eastAsia="ko-KR"/>
        </w:rPr>
        <w:t>Cons</w:t>
      </w:r>
      <w:r>
        <w:rPr>
          <w:rFonts w:hint="eastAsia"/>
          <w:lang w:eastAsia="ko-KR"/>
        </w:rPr>
        <w:t>:</w:t>
      </w:r>
    </w:p>
    <w:p w14:paraId="0707E86E" w14:textId="00115046" w:rsidR="00DF2B92" w:rsidRPr="003A5EDB" w:rsidRDefault="00DF2B92" w:rsidP="000B0576">
      <w:pPr>
        <w:pStyle w:val="af2"/>
        <w:numPr>
          <w:ilvl w:val="0"/>
          <w:numId w:val="69"/>
        </w:numPr>
        <w:ind w:leftChars="0"/>
        <w:rPr>
          <w:rFonts w:ascii="Times New Roman" w:hAnsi="Times New Roman"/>
        </w:rPr>
      </w:pPr>
      <w:r w:rsidRPr="00DF2B92">
        <w:rPr>
          <w:rFonts w:ascii="Times New Roman" w:hAnsi="Times New Roman"/>
          <w:b/>
          <w:bCs/>
        </w:rPr>
        <w:t>Suboptimal PA utilization</w:t>
      </w:r>
      <w:r w:rsidRPr="00DF2B92">
        <w:rPr>
          <w:rFonts w:ascii="Times New Roman" w:hAnsi="Times New Roman"/>
        </w:rPr>
        <w:t>: If a UE is capable of stable transmission at an intermediate power level (e.g., 24- 25 dBm) but falls short of the next class threshold (e.g., 26 dBm), it is forced to declare the lower class (3.g., 23 dBm). From the network perspective, this results in the UE being recognized as a lower-tier device, limiting potential improvements in UL coverage and performance.</w:t>
      </w:r>
    </w:p>
    <w:p w14:paraId="0EBB972D" w14:textId="7D130540" w:rsidR="00DE1D84" w:rsidRDefault="00DE1D84" w:rsidP="000B0576">
      <w:pPr>
        <w:rPr>
          <w:lang w:eastAsia="ko-KR"/>
        </w:rPr>
      </w:pPr>
      <w:r w:rsidRPr="00DE1D84">
        <w:rPr>
          <w:rFonts w:hint="eastAsia"/>
          <w:b/>
          <w:bCs/>
          <w:i/>
          <w:iCs/>
          <w:lang w:eastAsia="ko-KR"/>
        </w:rPr>
        <w:t>Observation 2</w:t>
      </w:r>
      <w:r>
        <w:rPr>
          <w:rFonts w:hint="eastAsia"/>
          <w:lang w:eastAsia="ko-KR"/>
        </w:rPr>
        <w:t xml:space="preserve">: Traditional </w:t>
      </w:r>
      <w:r w:rsidR="00133962">
        <w:rPr>
          <w:lang w:eastAsia="ko-KR"/>
        </w:rPr>
        <w:t>power class</w:t>
      </w:r>
      <w:r>
        <w:rPr>
          <w:rFonts w:hint="eastAsia"/>
          <w:lang w:eastAsia="ko-KR"/>
        </w:rPr>
        <w:t xml:space="preserve"> framework is beneficial for maintaining </w:t>
      </w:r>
      <w:r>
        <w:rPr>
          <w:lang w:eastAsia="ko-KR"/>
        </w:rPr>
        <w:t>simplicity</w:t>
      </w:r>
      <w:r>
        <w:rPr>
          <w:rFonts w:hint="eastAsia"/>
          <w:lang w:eastAsia="ko-KR"/>
        </w:rPr>
        <w:t xml:space="preserve"> in specifications and conformance testing, avoiding the fragmentation of requirements.</w:t>
      </w:r>
    </w:p>
    <w:p w14:paraId="391779F3" w14:textId="6C548E8D" w:rsidR="00DF2B92" w:rsidRDefault="00DF2B92" w:rsidP="00DF2B92">
      <w:pPr>
        <w:pStyle w:val="4"/>
        <w:rPr>
          <w:lang w:eastAsia="ko-KR"/>
        </w:rPr>
      </w:pPr>
      <w:r>
        <w:rPr>
          <w:rFonts w:hint="eastAsia"/>
          <w:lang w:eastAsia="ko-KR"/>
        </w:rPr>
        <w:lastRenderedPageBreak/>
        <w:t xml:space="preserve"> Finer Step Framework (e.g., 1 dB)</w:t>
      </w:r>
    </w:p>
    <w:p w14:paraId="71D5D6BA" w14:textId="2E556E7C" w:rsidR="00B55DDB" w:rsidRPr="003E0767" w:rsidRDefault="00DF2B92" w:rsidP="003E0767">
      <w:pPr>
        <w:pStyle w:val="a1"/>
        <w:rPr>
          <w:rFonts w:eastAsiaTheme="minorEastAsia"/>
          <w:lang w:eastAsia="ko-KR"/>
        </w:rPr>
      </w:pPr>
      <w:r>
        <w:rPr>
          <w:rFonts w:hint="eastAsia"/>
          <w:lang w:eastAsia="ko-KR"/>
        </w:rPr>
        <w:t>The introduction of a finer granularity, such as 1 dB steps, is discussed with h the following considerations:</w:t>
      </w:r>
    </w:p>
    <w:p w14:paraId="6ABFDCE3" w14:textId="2B489DCD" w:rsidR="00DF2B92" w:rsidRPr="00FA1C72" w:rsidRDefault="00DF2B92" w:rsidP="000B0576">
      <w:pPr>
        <w:rPr>
          <w:b/>
          <w:bCs/>
          <w:lang w:eastAsia="ko-KR"/>
        </w:rPr>
      </w:pPr>
      <w:r w:rsidRPr="00FA1C72">
        <w:rPr>
          <w:rFonts w:hint="eastAsia"/>
          <w:b/>
          <w:bCs/>
          <w:lang w:eastAsia="ko-KR"/>
        </w:rPr>
        <w:t>Pros:</w:t>
      </w:r>
    </w:p>
    <w:p w14:paraId="158287C2" w14:textId="5ADC7D97" w:rsidR="00DF2B92" w:rsidRPr="001D5ED6" w:rsidRDefault="00DF2B92" w:rsidP="00DF2B92">
      <w:pPr>
        <w:pStyle w:val="af2"/>
        <w:numPr>
          <w:ilvl w:val="0"/>
          <w:numId w:val="69"/>
        </w:numPr>
        <w:ind w:leftChars="0"/>
        <w:rPr>
          <w:rFonts w:ascii="Times New Roman" w:hAnsi="Times New Roman"/>
        </w:rPr>
      </w:pPr>
      <w:r w:rsidRPr="00DF2B92">
        <w:rPr>
          <w:rFonts w:ascii="Times New Roman" w:hAnsi="Times New Roman"/>
          <w:b/>
          <w:bCs/>
        </w:rPr>
        <w:t>Maximization of PA capability</w:t>
      </w:r>
      <w:r w:rsidRPr="00DF2B92">
        <w:rPr>
          <w:rFonts w:ascii="Times New Roman" w:hAnsi="Times New Roman"/>
        </w:rPr>
        <w:t xml:space="preserve">: A finer step size allows the UE to report its Maximum Output Power (MOP) with greater </w:t>
      </w:r>
      <w:r w:rsidR="00844BE9">
        <w:rPr>
          <w:rFonts w:ascii="Times New Roman" w:hAnsi="Times New Roman" w:hint="eastAsia"/>
        </w:rPr>
        <w:t>p</w:t>
      </w:r>
      <w:r w:rsidRPr="00DF2B92">
        <w:rPr>
          <w:rFonts w:ascii="Times New Roman" w:hAnsi="Times New Roman"/>
        </w:rPr>
        <w:t xml:space="preserve">recision. This reduces the “rounding </w:t>
      </w:r>
      <w:r w:rsidR="00004378" w:rsidRPr="00DF2B92">
        <w:rPr>
          <w:rFonts w:ascii="Times New Roman" w:hAnsi="Times New Roman"/>
        </w:rPr>
        <w:t>down “effect</w:t>
      </w:r>
      <w:r w:rsidRPr="00DF2B92">
        <w:rPr>
          <w:rFonts w:ascii="Times New Roman" w:hAnsi="Times New Roman"/>
        </w:rPr>
        <w:t xml:space="preserve"> caused by </w:t>
      </w:r>
      <w:r w:rsidR="00004378" w:rsidRPr="00DF2B92">
        <w:rPr>
          <w:rFonts w:ascii="Times New Roman" w:hAnsi="Times New Roman"/>
        </w:rPr>
        <w:t>rigid</w:t>
      </w:r>
      <w:r w:rsidRPr="00DF2B92">
        <w:rPr>
          <w:rFonts w:ascii="Times New Roman" w:hAnsi="Times New Roman"/>
        </w:rPr>
        <w:t xml:space="preserve"> class boundaries and enable the network to utilize the UE’s power capability more accurately. This aligns with the objective of enabling accurate reporting of UE power capabilities</w:t>
      </w:r>
      <w:r>
        <w:rPr>
          <w:rFonts w:ascii="Times New Roman" w:hAnsi="Times New Roman" w:hint="eastAsia"/>
        </w:rPr>
        <w:t>.</w:t>
      </w:r>
    </w:p>
    <w:p w14:paraId="13629B22" w14:textId="21F7E47A" w:rsidR="00DF2B92" w:rsidRPr="00FA1C72" w:rsidRDefault="00DF2B92" w:rsidP="00DF2B92">
      <w:pPr>
        <w:rPr>
          <w:b/>
          <w:bCs/>
          <w:lang w:eastAsia="ko-KR"/>
        </w:rPr>
      </w:pPr>
      <w:r w:rsidRPr="00FA1C72">
        <w:rPr>
          <w:rFonts w:hint="eastAsia"/>
          <w:b/>
          <w:bCs/>
          <w:lang w:eastAsia="ko-KR"/>
        </w:rPr>
        <w:t>Cons:</w:t>
      </w:r>
    </w:p>
    <w:p w14:paraId="5C8FF528" w14:textId="3AEC58EE" w:rsidR="00DF2B92" w:rsidRPr="00DE1D84" w:rsidRDefault="00DF2B92" w:rsidP="00DF2B92">
      <w:pPr>
        <w:pStyle w:val="af2"/>
        <w:numPr>
          <w:ilvl w:val="0"/>
          <w:numId w:val="69"/>
        </w:numPr>
        <w:ind w:leftChars="0"/>
        <w:rPr>
          <w:rFonts w:ascii="Times New Roman" w:hAnsi="Times New Roman"/>
        </w:rPr>
      </w:pPr>
      <w:r w:rsidRPr="00DE1D84">
        <w:rPr>
          <w:rFonts w:ascii="Times New Roman" w:hAnsi="Times New Roman"/>
          <w:b/>
          <w:bCs/>
        </w:rPr>
        <w:t>Increased Complexity and Fragmentation</w:t>
      </w:r>
      <w:r w:rsidRPr="00DE1D84">
        <w:rPr>
          <w:rFonts w:ascii="Times New Roman" w:hAnsi="Times New Roman"/>
        </w:rPr>
        <w:t>: If 1 dB steps are treated as distinct power classes, there is a concern regarding the explosion of requirements. Specific requirement such as MPR and A-MPR may need to be defined for each step, leading to increased specification complexity and a larger volume of conformance test cases.</w:t>
      </w:r>
    </w:p>
    <w:p w14:paraId="6236E047" w14:textId="60D66DBE" w:rsidR="00735FBD" w:rsidRPr="00C669F2" w:rsidRDefault="00DF2B92" w:rsidP="00735FBD">
      <w:pPr>
        <w:pStyle w:val="af2"/>
        <w:numPr>
          <w:ilvl w:val="0"/>
          <w:numId w:val="69"/>
        </w:numPr>
        <w:ind w:leftChars="0"/>
        <w:rPr>
          <w:rFonts w:ascii="Times New Roman" w:hAnsi="Times New Roman"/>
        </w:rPr>
      </w:pPr>
      <w:r w:rsidRPr="00DE1D84">
        <w:rPr>
          <w:rFonts w:ascii="Times New Roman" w:hAnsi="Times New Roman"/>
          <w:b/>
          <w:bCs/>
        </w:rPr>
        <w:t>Overlap Issues with Tolerance</w:t>
      </w:r>
      <w:r w:rsidRPr="00DE1D84">
        <w:rPr>
          <w:rFonts w:ascii="Times New Roman" w:hAnsi="Times New Roman"/>
        </w:rPr>
        <w:t>: As the step size decreases (e.g., to 1 dB), the interval becomes comparable to the measurement tolerance. This can lead to situations where adjacent steps overlap within the tolerance range, blurring the distinction between classes and complicating standard operation.</w:t>
      </w:r>
    </w:p>
    <w:p w14:paraId="31B75418" w14:textId="783EF09E" w:rsidR="00DE1D84" w:rsidRPr="00DE1D84" w:rsidRDefault="00DE1D84" w:rsidP="00DE1D84">
      <w:pPr>
        <w:rPr>
          <w:lang w:eastAsia="ko-KR"/>
        </w:rPr>
      </w:pPr>
      <w:r w:rsidRPr="00DE1D84">
        <w:rPr>
          <w:rFonts w:hint="eastAsia"/>
          <w:b/>
          <w:bCs/>
          <w:i/>
          <w:iCs/>
          <w:lang w:eastAsia="ko-KR"/>
        </w:rPr>
        <w:t>Observation 3</w:t>
      </w:r>
      <w:r>
        <w:rPr>
          <w:rFonts w:hint="eastAsia"/>
          <w:lang w:eastAsia="ko-KR"/>
        </w:rPr>
        <w:t xml:space="preserve">: Fine granularity power class framework offers the </w:t>
      </w:r>
      <w:r>
        <w:rPr>
          <w:lang w:eastAsia="ko-KR"/>
        </w:rPr>
        <w:t>potential</w:t>
      </w:r>
      <w:r>
        <w:rPr>
          <w:rFonts w:hint="eastAsia"/>
          <w:lang w:eastAsia="ko-KR"/>
        </w:rPr>
        <w:t xml:space="preserve"> to maximize UE PA utilization but </w:t>
      </w:r>
      <w:r w:rsidR="004553C9" w:rsidRPr="004553C9">
        <w:rPr>
          <w:lang w:eastAsia="ko-KR"/>
        </w:rPr>
        <w:t>may introduce additional complexity in requirement organization and conformance testing, which requires careful assessment.</w:t>
      </w:r>
    </w:p>
    <w:p w14:paraId="06DF5A3D" w14:textId="7D37EA91" w:rsidR="00DE1D84" w:rsidRDefault="00702D33" w:rsidP="001367D9">
      <w:pPr>
        <w:pStyle w:val="4"/>
        <w:rPr>
          <w:lang w:eastAsia="ko-KR"/>
        </w:rPr>
      </w:pPr>
      <w:r>
        <w:rPr>
          <w:rFonts w:eastAsiaTheme="minorEastAsia" w:hint="eastAsia"/>
          <w:lang w:eastAsia="ko-KR"/>
        </w:rPr>
        <w:t>Summary</w:t>
      </w:r>
      <w:r w:rsidR="001367D9">
        <w:rPr>
          <w:rFonts w:hint="eastAsia"/>
          <w:lang w:eastAsia="ko-KR"/>
        </w:rPr>
        <w:t xml:space="preserve"> on power class framework</w:t>
      </w:r>
    </w:p>
    <w:p w14:paraId="2F5DE013" w14:textId="337EFEB4" w:rsidR="00735FBD" w:rsidRDefault="00226B7B" w:rsidP="001367D9">
      <w:pPr>
        <w:pStyle w:val="a1"/>
        <w:rPr>
          <w:rFonts w:eastAsiaTheme="minorEastAsia"/>
          <w:lang w:eastAsia="ko-KR"/>
        </w:rPr>
      </w:pPr>
      <w:r>
        <w:rPr>
          <w:rFonts w:hint="eastAsia"/>
          <w:lang w:eastAsia="ko-KR"/>
        </w:rPr>
        <w:t>At this stage, it may be premature to mandate detailed technical solutions that re</w:t>
      </w:r>
      <w:r w:rsidR="00AD4231">
        <w:rPr>
          <w:rFonts w:hint="eastAsia"/>
          <w:lang w:eastAsia="ko-KR"/>
        </w:rPr>
        <w:t>-</w:t>
      </w:r>
      <w:r>
        <w:rPr>
          <w:rFonts w:hint="eastAsia"/>
          <w:lang w:eastAsia="ko-KR"/>
        </w:rPr>
        <w:t>define the power class structure. Instead, we propose a pragmatic direction: maintain the legacy ~3 dB-step power class framework while strengthening UE reporting procedures. Retaining the ~3 dB-step framework enables maximum reuse of well-established 4G/5G RF requirements and conformance test structures, thereby minimizing specification fragmentation and ecosystem disruption. Meanwhile, the previously observed issue of under-utilization of UE transmit capability (e.g.., conservative classification near class boundaries) can be addressed more effectively by enhanced reporting, allowing the network to recognize and exploit UE output capability more accurately without introducing new power classes.</w:t>
      </w:r>
    </w:p>
    <w:p w14:paraId="2740E750" w14:textId="3C609CDD" w:rsidR="00292587" w:rsidRPr="00292587" w:rsidRDefault="00292587" w:rsidP="001367D9">
      <w:pPr>
        <w:pStyle w:val="a1"/>
        <w:rPr>
          <w:rFonts w:eastAsiaTheme="minorEastAsia"/>
          <w:lang w:eastAsia="ko-KR"/>
        </w:rPr>
      </w:pPr>
      <w:r w:rsidRPr="00292587">
        <w:rPr>
          <w:rFonts w:eastAsiaTheme="minorEastAsia"/>
          <w:lang w:eastAsia="ko-KR"/>
        </w:rPr>
        <w:t>More accurate visibility of UE effective maximum output power may improve UL link budget estimation, scheduling margin setting, and cell-edge performance optimization without modifying the fundamental power class structure.</w:t>
      </w:r>
    </w:p>
    <w:p w14:paraId="483C32AF" w14:textId="77777777" w:rsidR="00591F44" w:rsidRDefault="00591F44" w:rsidP="00591F44">
      <w:pPr>
        <w:pStyle w:val="a1"/>
        <w:rPr>
          <w:lang w:val="en-US" w:eastAsia="ko-KR"/>
        </w:rPr>
      </w:pPr>
      <w:r w:rsidRPr="00735FBD">
        <w:rPr>
          <w:rFonts w:hint="eastAsia"/>
          <w:b/>
          <w:bCs/>
          <w:lang w:eastAsia="ko-KR"/>
        </w:rPr>
        <w:t>Proposal 1</w:t>
      </w:r>
      <w:r>
        <w:rPr>
          <w:rFonts w:hint="eastAsia"/>
          <w:lang w:eastAsia="ko-KR"/>
        </w:rPr>
        <w:t xml:space="preserve">: </w:t>
      </w:r>
      <w:r>
        <w:rPr>
          <w:rFonts w:eastAsiaTheme="minorEastAsia" w:hint="eastAsia"/>
          <w:lang w:eastAsia="ko-KR"/>
        </w:rPr>
        <w:t>For single Tx case, k</w:t>
      </w:r>
      <w:r>
        <w:rPr>
          <w:rFonts w:hint="eastAsia"/>
          <w:lang w:eastAsia="ko-KR"/>
        </w:rPr>
        <w:t>eep the legacy ~3 dB-step power classes and address UE power under-utilization through strengthened reporting, avoiding any new finer-granularity classes.</w:t>
      </w:r>
    </w:p>
    <w:p w14:paraId="6D31F38A" w14:textId="16D5A57F" w:rsidR="007C5033" w:rsidRDefault="00916B7F" w:rsidP="007C5033">
      <w:pPr>
        <w:pStyle w:val="3"/>
        <w:rPr>
          <w:rFonts w:eastAsiaTheme="minorEastAsia"/>
          <w:lang w:val="en-US" w:eastAsia="ko-KR"/>
        </w:rPr>
      </w:pPr>
      <w:r>
        <w:rPr>
          <w:rFonts w:eastAsiaTheme="minorEastAsia" w:hint="eastAsia"/>
          <w:lang w:val="en-US" w:eastAsia="ko-KR"/>
        </w:rPr>
        <w:t xml:space="preserve">Multi-Tx Cases: </w:t>
      </w:r>
      <w:proofErr w:type="spellStart"/>
      <w:r>
        <w:rPr>
          <w:rFonts w:eastAsiaTheme="minorEastAsia" w:hint="eastAsia"/>
          <w:lang w:val="en-US" w:eastAsia="ko-KR"/>
        </w:rPr>
        <w:t>TxD</w:t>
      </w:r>
      <w:proofErr w:type="spellEnd"/>
      <w:r>
        <w:rPr>
          <w:rFonts w:eastAsiaTheme="minorEastAsia" w:hint="eastAsia"/>
          <w:lang w:val="en-US" w:eastAsia="ko-KR"/>
        </w:rPr>
        <w:t xml:space="preserve"> and UL-MIMO </w:t>
      </w:r>
    </w:p>
    <w:p w14:paraId="7BF925A0" w14:textId="7190876C" w:rsidR="00CD7F7E" w:rsidRDefault="00CD7F7E" w:rsidP="00CD7F7E">
      <w:pPr>
        <w:rPr>
          <w:rFonts w:eastAsiaTheme="minorEastAsia"/>
          <w:lang w:val="en-US" w:eastAsia="ko-KR"/>
        </w:rPr>
      </w:pPr>
      <w:r>
        <w:rPr>
          <w:rFonts w:eastAsiaTheme="minorEastAsia" w:hint="eastAsia"/>
          <w:lang w:val="en-US" w:eastAsia="ko-KR"/>
        </w:rPr>
        <w:t xml:space="preserve">While Section 2.1.1 discussed the power class framework </w:t>
      </w:r>
      <w:r>
        <w:rPr>
          <w:rFonts w:eastAsiaTheme="minorEastAsia"/>
          <w:lang w:val="en-US" w:eastAsia="ko-KR"/>
        </w:rPr>
        <w:t>mainly</w:t>
      </w:r>
      <w:r>
        <w:rPr>
          <w:rFonts w:eastAsiaTheme="minorEastAsia" w:hint="eastAsia"/>
          <w:lang w:val="en-US" w:eastAsia="ko-KR"/>
        </w:rPr>
        <w:t xml:space="preserve"> from a 1Tx baseline perspective, 6G UEs are expected to increasingly adopt multi-Tx architecture (multiple Tx chains and/or P</w:t>
      </w:r>
      <w:r w:rsidR="008F3FD0">
        <w:rPr>
          <w:rFonts w:eastAsiaTheme="minorEastAsia" w:hint="eastAsia"/>
          <w:lang w:val="en-US" w:eastAsia="ko-KR"/>
        </w:rPr>
        <w:t>A</w:t>
      </w:r>
      <w:r>
        <w:rPr>
          <w:rFonts w:eastAsiaTheme="minorEastAsia" w:hint="eastAsia"/>
          <w:lang w:val="en-US" w:eastAsia="ko-KR"/>
        </w:rPr>
        <w:t xml:space="preserve">s), including </w:t>
      </w:r>
      <w:proofErr w:type="spellStart"/>
      <w:r>
        <w:rPr>
          <w:rFonts w:eastAsiaTheme="minorEastAsia" w:hint="eastAsia"/>
          <w:lang w:val="en-US" w:eastAsia="ko-KR"/>
        </w:rPr>
        <w:t>TxD</w:t>
      </w:r>
      <w:proofErr w:type="spellEnd"/>
      <w:r>
        <w:rPr>
          <w:rFonts w:eastAsiaTheme="minorEastAsia" w:hint="eastAsia"/>
          <w:lang w:val="en-US" w:eastAsia="ko-KR"/>
        </w:rPr>
        <w:t xml:space="preserve"> and UL-MIMO. In such cases, the </w:t>
      </w:r>
      <w:r>
        <w:rPr>
          <w:rFonts w:eastAsiaTheme="minorEastAsia"/>
          <w:lang w:val="en-US" w:eastAsia="ko-KR"/>
        </w:rPr>
        <w:t>relationship</w:t>
      </w:r>
      <w:r>
        <w:rPr>
          <w:rFonts w:eastAsiaTheme="minorEastAsia" w:hint="eastAsia"/>
          <w:lang w:val="en-US" w:eastAsia="ko-KR"/>
        </w:rPr>
        <w:t xml:space="preserve"> boundaries </w:t>
      </w:r>
      <w:r w:rsidR="00F77266">
        <w:rPr>
          <w:rFonts w:eastAsiaTheme="minorEastAsia"/>
          <w:lang w:val="en-US" w:eastAsia="ko-KR"/>
        </w:rPr>
        <w:t>become</w:t>
      </w:r>
      <w:r>
        <w:rPr>
          <w:rFonts w:eastAsiaTheme="minorEastAsia" w:hint="eastAsia"/>
          <w:lang w:val="en-US" w:eastAsia="ko-KR"/>
        </w:rPr>
        <w:t xml:space="preserve"> more complex, especially when Tx chains are asymmetric.</w:t>
      </w:r>
    </w:p>
    <w:p w14:paraId="05A23EB2" w14:textId="3C4BE1F2" w:rsidR="00CD7F7E" w:rsidRDefault="00CD7F7E" w:rsidP="00CD7F7E">
      <w:pPr>
        <w:rPr>
          <w:rFonts w:eastAsiaTheme="minorEastAsia"/>
          <w:lang w:val="en-US" w:eastAsia="ko-KR"/>
        </w:rPr>
      </w:pPr>
      <w:r>
        <w:rPr>
          <w:rFonts w:eastAsiaTheme="minorEastAsia" w:hint="eastAsia"/>
          <w:lang w:val="en-US" w:eastAsia="ko-KR"/>
        </w:rPr>
        <w:t>A key consideration is whether the existing power class framework can remain unchanged (to maximize RF requirement and test reuse), while enabling enhanced reporting to express the effective maximum output power more accurately for multi-Tx implementations.</w:t>
      </w:r>
    </w:p>
    <w:p w14:paraId="7AC937FC" w14:textId="4320D6A4" w:rsidR="008547BB" w:rsidRDefault="00CD7F7E" w:rsidP="008547BB">
      <w:pPr>
        <w:pStyle w:val="4"/>
        <w:rPr>
          <w:rFonts w:eastAsiaTheme="minorEastAsia"/>
          <w:lang w:val="en-US" w:eastAsia="ko-KR"/>
        </w:rPr>
      </w:pPr>
      <w:r>
        <w:rPr>
          <w:rFonts w:eastAsiaTheme="minorEastAsia" w:hint="eastAsia"/>
          <w:lang w:val="en-US" w:eastAsia="ko-KR"/>
        </w:rPr>
        <w:t xml:space="preserve">Transparent </w:t>
      </w:r>
      <w:proofErr w:type="spellStart"/>
      <w:r>
        <w:rPr>
          <w:rFonts w:eastAsiaTheme="minorEastAsia" w:hint="eastAsia"/>
          <w:lang w:val="en-US" w:eastAsia="ko-KR"/>
        </w:rPr>
        <w:t>TxD</w:t>
      </w:r>
      <w:proofErr w:type="spellEnd"/>
      <w:r>
        <w:rPr>
          <w:rFonts w:eastAsiaTheme="minorEastAsia" w:hint="eastAsia"/>
          <w:lang w:val="en-US" w:eastAsia="ko-KR"/>
        </w:rPr>
        <w:t xml:space="preserve"> </w:t>
      </w:r>
    </w:p>
    <w:p w14:paraId="207EB281" w14:textId="72FD5D48" w:rsidR="00CD7F7E" w:rsidRDefault="00CD7F7E" w:rsidP="00CD7F7E">
      <w:pPr>
        <w:rPr>
          <w:rFonts w:eastAsiaTheme="minorEastAsia"/>
          <w:lang w:val="en-US" w:eastAsia="ko-KR"/>
        </w:rPr>
      </w:pPr>
      <w:r>
        <w:rPr>
          <w:rFonts w:eastAsiaTheme="minorEastAsia" w:hint="eastAsia"/>
          <w:lang w:val="en-US" w:eastAsia="ko-KR"/>
        </w:rPr>
        <w:t xml:space="preserve">For </w:t>
      </w:r>
      <w:proofErr w:type="spellStart"/>
      <w:r>
        <w:rPr>
          <w:rFonts w:eastAsiaTheme="minorEastAsia" w:hint="eastAsia"/>
          <w:lang w:val="en-US" w:eastAsia="ko-KR"/>
        </w:rPr>
        <w:t>TxD</w:t>
      </w:r>
      <w:proofErr w:type="spellEnd"/>
      <w:r>
        <w:rPr>
          <w:rFonts w:eastAsiaTheme="minorEastAsia" w:hint="eastAsia"/>
          <w:lang w:val="en-US" w:eastAsia="ko-KR"/>
        </w:rPr>
        <w:t xml:space="preserve">, the maximum output power is naturally characterized by the sum of the maximum output power from multiple UE Tx paths/connectors. This </w:t>
      </w:r>
      <w:r>
        <w:rPr>
          <w:rFonts w:eastAsiaTheme="minorEastAsia"/>
          <w:lang w:val="en-US" w:eastAsia="ko-KR"/>
        </w:rPr>
        <w:t>“</w:t>
      </w:r>
      <w:r>
        <w:rPr>
          <w:rFonts w:eastAsiaTheme="minorEastAsia" w:hint="eastAsia"/>
          <w:lang w:val="en-US" w:eastAsia="ko-KR"/>
        </w:rPr>
        <w:t>summation</w:t>
      </w:r>
      <w:r>
        <w:rPr>
          <w:rFonts w:eastAsiaTheme="minorEastAsia"/>
          <w:lang w:val="en-US" w:eastAsia="ko-KR"/>
        </w:rPr>
        <w:t>”</w:t>
      </w:r>
      <w:r>
        <w:rPr>
          <w:rFonts w:eastAsiaTheme="minorEastAsia" w:hint="eastAsia"/>
          <w:lang w:val="en-US" w:eastAsia="ko-KR"/>
        </w:rPr>
        <w:t xml:space="preserve"> concept is already reflected in existing RF requirement framing for </w:t>
      </w:r>
      <w:proofErr w:type="spellStart"/>
      <w:r>
        <w:rPr>
          <w:rFonts w:eastAsiaTheme="minorEastAsia" w:hint="eastAsia"/>
          <w:lang w:val="en-US" w:eastAsia="ko-KR"/>
        </w:rPr>
        <w:t>TxD</w:t>
      </w:r>
      <w:proofErr w:type="spellEnd"/>
      <w:r>
        <w:rPr>
          <w:rFonts w:eastAsiaTheme="minorEastAsia" w:hint="eastAsia"/>
          <w:lang w:val="en-US" w:eastAsia="ko-KR"/>
        </w:rPr>
        <w:t>, where the maximum output power is defined as the sum across UE antenna connectors.</w:t>
      </w:r>
    </w:p>
    <w:p w14:paraId="2C0AE92A" w14:textId="2D0453FA" w:rsidR="00CA1407" w:rsidRDefault="00CD7F7E" w:rsidP="00CD7F7E">
      <w:pPr>
        <w:rPr>
          <w:rFonts w:eastAsiaTheme="minorEastAsia"/>
          <w:lang w:val="en-US" w:eastAsia="ko-KR"/>
        </w:rPr>
      </w:pPr>
      <w:r>
        <w:rPr>
          <w:rFonts w:eastAsiaTheme="minorEastAsia" w:hint="eastAsia"/>
          <w:lang w:val="en-US" w:eastAsia="ko-KR"/>
        </w:rPr>
        <w:t xml:space="preserve">Therefore, for transparent </w:t>
      </w:r>
      <w:proofErr w:type="spellStart"/>
      <w:r>
        <w:rPr>
          <w:rFonts w:eastAsiaTheme="minorEastAsia" w:hint="eastAsia"/>
          <w:lang w:val="en-US" w:eastAsia="ko-KR"/>
        </w:rPr>
        <w:t>TxD</w:t>
      </w:r>
      <w:proofErr w:type="spellEnd"/>
      <w:r>
        <w:rPr>
          <w:rFonts w:eastAsiaTheme="minorEastAsia" w:hint="eastAsia"/>
          <w:lang w:val="en-US" w:eastAsia="ko-KR"/>
        </w:rPr>
        <w:t>, the UE</w:t>
      </w:r>
      <w:r>
        <w:rPr>
          <w:rFonts w:eastAsiaTheme="minorEastAsia"/>
          <w:lang w:val="en-US" w:eastAsia="ko-KR"/>
        </w:rPr>
        <w:t>’</w:t>
      </w:r>
      <w:r>
        <w:rPr>
          <w:rFonts w:eastAsiaTheme="minorEastAsia" w:hint="eastAsia"/>
          <w:lang w:val="en-US" w:eastAsia="ko-KR"/>
        </w:rPr>
        <w:t>s effective ma</w:t>
      </w:r>
      <w:r w:rsidR="00CA1407">
        <w:rPr>
          <w:rFonts w:eastAsiaTheme="minorEastAsia" w:hint="eastAsia"/>
          <w:lang w:val="en-US" w:eastAsia="ko-KR"/>
        </w:rPr>
        <w:t>ximum output power can be expressed primarily from a total/sum-power perspective, independent of the number of Tx chains and/or P</w:t>
      </w:r>
      <w:r w:rsidR="00CA1407">
        <w:rPr>
          <w:rFonts w:eastAsiaTheme="minorEastAsia"/>
          <w:lang w:val="en-US" w:eastAsia="ko-KR"/>
        </w:rPr>
        <w:t>a</w:t>
      </w:r>
      <w:r w:rsidR="00CA1407">
        <w:rPr>
          <w:rFonts w:eastAsiaTheme="minorEastAsia" w:hint="eastAsia"/>
          <w:lang w:val="en-US" w:eastAsia="ko-KR"/>
        </w:rPr>
        <w:t>s.</w:t>
      </w:r>
    </w:p>
    <w:p w14:paraId="00FA80D4" w14:textId="5A3D76B5" w:rsidR="009C3C6D" w:rsidRDefault="008A0231" w:rsidP="009C3C6D">
      <w:pPr>
        <w:pStyle w:val="a1"/>
        <w:rPr>
          <w:rFonts w:eastAsiaTheme="minorEastAsia"/>
          <w:lang w:val="en-US" w:eastAsia="ko-KR"/>
        </w:rPr>
      </w:pPr>
      <w:r w:rsidRPr="00807FC0">
        <w:rPr>
          <w:rFonts w:eastAsiaTheme="minorEastAsia" w:hint="eastAsia"/>
          <w:b/>
          <w:bCs/>
          <w:i/>
          <w:iCs/>
          <w:lang w:val="en-US" w:eastAsia="ko-KR"/>
        </w:rPr>
        <w:t>Observation 4</w:t>
      </w:r>
      <w:r>
        <w:rPr>
          <w:rFonts w:eastAsiaTheme="minorEastAsia" w:hint="eastAsia"/>
          <w:lang w:val="en-US" w:eastAsia="ko-KR"/>
        </w:rPr>
        <w:t xml:space="preserve">: </w:t>
      </w:r>
      <w:proofErr w:type="spellStart"/>
      <w:r>
        <w:rPr>
          <w:rFonts w:eastAsiaTheme="minorEastAsia" w:hint="eastAsia"/>
          <w:lang w:val="en-US" w:eastAsia="ko-KR"/>
        </w:rPr>
        <w:t>TxD</w:t>
      </w:r>
      <w:proofErr w:type="spellEnd"/>
      <w:r>
        <w:rPr>
          <w:rFonts w:eastAsiaTheme="minorEastAsia" w:hint="eastAsia"/>
          <w:lang w:val="en-US" w:eastAsia="ko-KR"/>
        </w:rPr>
        <w:t xml:space="preserve"> is well </w:t>
      </w:r>
      <w:r w:rsidR="00CD02B5">
        <w:rPr>
          <w:rFonts w:eastAsiaTheme="minorEastAsia"/>
          <w:lang w:val="en-US" w:eastAsia="ko-KR"/>
        </w:rPr>
        <w:t>aligned</w:t>
      </w:r>
      <w:r>
        <w:rPr>
          <w:rFonts w:eastAsiaTheme="minorEastAsia" w:hint="eastAsia"/>
          <w:lang w:val="en-US" w:eastAsia="ko-KR"/>
        </w:rPr>
        <w:t xml:space="preserve"> with a sum-power definition of maximum output power, and thus the key issue is not redefining power classes, but enabling reporting that represents effective total Pmax more accurately when it falls between legacy class boundaries.</w:t>
      </w:r>
    </w:p>
    <w:p w14:paraId="6670A8E6" w14:textId="609E860D" w:rsidR="008547BB" w:rsidRDefault="008A0231" w:rsidP="008547BB">
      <w:pPr>
        <w:pStyle w:val="4"/>
        <w:rPr>
          <w:rFonts w:eastAsiaTheme="minorEastAsia"/>
          <w:lang w:val="en-US" w:eastAsia="ko-KR"/>
        </w:rPr>
      </w:pPr>
      <w:r>
        <w:rPr>
          <w:rFonts w:eastAsiaTheme="minorEastAsia" w:hint="eastAsia"/>
          <w:lang w:val="en-US" w:eastAsia="ko-KR"/>
        </w:rPr>
        <w:t>UL-MIMO</w:t>
      </w:r>
    </w:p>
    <w:p w14:paraId="02496B51" w14:textId="25F79D0D" w:rsidR="008A0231" w:rsidRDefault="008A0231" w:rsidP="008A0231">
      <w:pPr>
        <w:pStyle w:val="a1"/>
        <w:rPr>
          <w:rFonts w:eastAsiaTheme="minorEastAsia"/>
          <w:lang w:val="en-US" w:eastAsia="ko-KR"/>
        </w:rPr>
      </w:pPr>
      <w:r>
        <w:rPr>
          <w:rFonts w:eastAsiaTheme="minorEastAsia" w:hint="eastAsia"/>
          <w:lang w:val="en-US" w:eastAsia="ko-KR"/>
        </w:rPr>
        <w:t xml:space="preserve">Unlike transparent </w:t>
      </w:r>
      <w:proofErr w:type="spellStart"/>
      <w:r>
        <w:rPr>
          <w:rFonts w:eastAsiaTheme="minorEastAsia" w:hint="eastAsia"/>
          <w:lang w:val="en-US" w:eastAsia="ko-KR"/>
        </w:rPr>
        <w:t>TxD</w:t>
      </w:r>
      <w:proofErr w:type="spellEnd"/>
      <w:r>
        <w:rPr>
          <w:rFonts w:eastAsiaTheme="minorEastAsia" w:hint="eastAsia"/>
          <w:lang w:val="en-US" w:eastAsia="ko-KR"/>
        </w:rPr>
        <w:t xml:space="preserve">, UL-MIMO is non-transparent to the network in the sense that multiple antenna ports and transmission modes can be explicitly configured and scheduled. </w:t>
      </w:r>
      <w:r>
        <w:rPr>
          <w:rFonts w:eastAsiaTheme="minorEastAsia"/>
          <w:lang w:val="en-US" w:eastAsia="ko-KR"/>
        </w:rPr>
        <w:t>I</w:t>
      </w:r>
      <w:r>
        <w:rPr>
          <w:rFonts w:eastAsiaTheme="minorEastAsia" w:hint="eastAsia"/>
          <w:lang w:val="en-US" w:eastAsia="ko-KR"/>
        </w:rPr>
        <w:t>n practice, the UE</w:t>
      </w:r>
      <w:r>
        <w:rPr>
          <w:rFonts w:eastAsiaTheme="minorEastAsia"/>
          <w:lang w:val="en-US" w:eastAsia="ko-KR"/>
        </w:rPr>
        <w:t>’</w:t>
      </w:r>
      <w:r>
        <w:rPr>
          <w:rFonts w:eastAsiaTheme="minorEastAsia" w:hint="eastAsia"/>
          <w:lang w:val="en-US" w:eastAsia="ko-KR"/>
        </w:rPr>
        <w:t xml:space="preserve">s ability to realize full or near-full power in UL-MIMO may depend on UE optional modes/capabilities such as </w:t>
      </w:r>
      <w:proofErr w:type="spellStart"/>
      <w:r>
        <w:rPr>
          <w:rFonts w:eastAsiaTheme="minorEastAsia" w:hint="eastAsia"/>
          <w:lang w:val="en-US" w:eastAsia="ko-KR"/>
        </w:rPr>
        <w:t>ULFPTx</w:t>
      </w:r>
      <w:proofErr w:type="spellEnd"/>
      <w:r>
        <w:rPr>
          <w:rFonts w:eastAsiaTheme="minorEastAsia" w:hint="eastAsia"/>
          <w:lang w:val="en-US" w:eastAsia="ko-KR"/>
        </w:rPr>
        <w:t xml:space="preserve"> and the active transmission configuration.</w:t>
      </w:r>
    </w:p>
    <w:p w14:paraId="256382CE" w14:textId="0F6C322D" w:rsidR="00806CBF" w:rsidRDefault="00806CBF" w:rsidP="008A0231">
      <w:pPr>
        <w:pStyle w:val="a1"/>
        <w:rPr>
          <w:rFonts w:eastAsiaTheme="minorEastAsia"/>
          <w:lang w:val="en-US" w:eastAsia="ko-KR"/>
        </w:rPr>
      </w:pPr>
      <w:r>
        <w:rPr>
          <w:rFonts w:eastAsiaTheme="minorEastAsia" w:hint="eastAsia"/>
          <w:lang w:val="en-US" w:eastAsia="ko-KR"/>
        </w:rPr>
        <w:lastRenderedPageBreak/>
        <w:t xml:space="preserve">At this stage, in line with Proposal 1, it is recommended to avoid redefining the power class structure. </w:t>
      </w:r>
      <w:r w:rsidR="00E414A7" w:rsidRPr="00E414A7">
        <w:rPr>
          <w:rFonts w:eastAsiaTheme="minorEastAsia"/>
          <w:lang w:val="en-US" w:eastAsia="ko-KR"/>
        </w:rPr>
        <w:t>Instead, the same reporting overlay (</w:t>
      </w:r>
      <w:proofErr w:type="spellStart"/>
      <w:r w:rsidR="00E414A7" w:rsidRPr="00E414A7">
        <w:rPr>
          <w:rFonts w:eastAsiaTheme="minorEastAsia"/>
          <w:lang w:val="en-US" w:eastAsia="ko-KR"/>
        </w:rPr>
        <w:t>ΔPmax</w:t>
      </w:r>
      <w:proofErr w:type="spellEnd"/>
      <w:r w:rsidR="00E414A7" w:rsidRPr="00E414A7">
        <w:rPr>
          <w:rFonts w:eastAsiaTheme="minorEastAsia"/>
          <w:lang w:val="en-US" w:eastAsia="ko-KR"/>
        </w:rPr>
        <w:t>, sum‑based) can be introduced as a baseline capability indication, while further study is needed on whether optional dynamic supplementation (e.g., MAC CE/PHR-related enhancements) is beneficial for UL‑MIMO cases with mode-dependent effective Pmax.</w:t>
      </w:r>
    </w:p>
    <w:p w14:paraId="28408364" w14:textId="47BD1F9B" w:rsidR="00493B93" w:rsidRDefault="00493B93" w:rsidP="008A0231">
      <w:pPr>
        <w:pStyle w:val="a1"/>
        <w:rPr>
          <w:rFonts w:eastAsiaTheme="minorEastAsia"/>
          <w:lang w:val="en-US" w:eastAsia="ko-KR"/>
        </w:rPr>
      </w:pPr>
      <w:r w:rsidRPr="00807FC0">
        <w:rPr>
          <w:rFonts w:eastAsiaTheme="minorEastAsia" w:hint="eastAsia"/>
          <w:b/>
          <w:bCs/>
          <w:i/>
          <w:iCs/>
          <w:lang w:val="en-US" w:eastAsia="ko-KR"/>
        </w:rPr>
        <w:t>Observation 5</w:t>
      </w:r>
      <w:r>
        <w:rPr>
          <w:rFonts w:eastAsiaTheme="minorEastAsia" w:hint="eastAsia"/>
          <w:lang w:val="en-US" w:eastAsia="ko-KR"/>
        </w:rPr>
        <w:t xml:space="preserve">: While a sum-based effective Pmax representation is still </w:t>
      </w:r>
      <w:proofErr w:type="spellStart"/>
      <w:r>
        <w:rPr>
          <w:rFonts w:eastAsiaTheme="minorEastAsia" w:hint="eastAsia"/>
          <w:lang w:val="en-US" w:eastAsia="ko-KR"/>
        </w:rPr>
        <w:t>usefull</w:t>
      </w:r>
      <w:proofErr w:type="spellEnd"/>
      <w:r>
        <w:rPr>
          <w:rFonts w:eastAsiaTheme="minorEastAsia" w:hint="eastAsia"/>
          <w:lang w:val="en-US" w:eastAsia="ko-KR"/>
        </w:rPr>
        <w:t xml:space="preserve"> for UL-MIMO, additional mode-dependent constraints may exist. Therefore, a single static metric may not fully capture all operational constraints for UL-MIMO across configurations.</w:t>
      </w:r>
    </w:p>
    <w:p w14:paraId="21321AC1" w14:textId="13D965C2" w:rsidR="00ED58EA" w:rsidRPr="00493B93" w:rsidRDefault="00ED58EA" w:rsidP="008A0231">
      <w:pPr>
        <w:pStyle w:val="a1"/>
        <w:rPr>
          <w:rFonts w:eastAsiaTheme="minorEastAsia"/>
          <w:lang w:val="en-US" w:eastAsia="ko-KR"/>
        </w:rPr>
      </w:pPr>
      <w:r w:rsidRPr="00ED58EA">
        <w:rPr>
          <w:rFonts w:eastAsiaTheme="minorEastAsia"/>
          <w:lang w:eastAsia="ko-KR"/>
        </w:rPr>
        <w:t>From a system perspective, such configuration-dependent effective Pmax may influence scheduling strategies and link adaptation assumptions for multi-port UL operation.</w:t>
      </w:r>
    </w:p>
    <w:p w14:paraId="1050AF30" w14:textId="75B32597" w:rsidR="007C5033" w:rsidRDefault="008547BB" w:rsidP="008547BB">
      <w:pPr>
        <w:pStyle w:val="4"/>
        <w:rPr>
          <w:lang w:val="en-US" w:eastAsia="ko-KR"/>
        </w:rPr>
      </w:pPr>
      <w:r w:rsidRPr="008547BB">
        <w:rPr>
          <w:lang w:val="en-US" w:eastAsia="ko-KR"/>
        </w:rPr>
        <w:t xml:space="preserve">Transparent vs Non‑transparent </w:t>
      </w:r>
      <w:proofErr w:type="spellStart"/>
      <w:r w:rsidRPr="008547BB">
        <w:rPr>
          <w:lang w:val="en-US" w:eastAsia="ko-KR"/>
        </w:rPr>
        <w:t>TxD</w:t>
      </w:r>
      <w:proofErr w:type="spellEnd"/>
    </w:p>
    <w:p w14:paraId="47204257" w14:textId="52820246" w:rsidR="007C5033" w:rsidRPr="00765D55" w:rsidRDefault="00E414A7" w:rsidP="00E37622">
      <w:pPr>
        <w:rPr>
          <w:rFonts w:eastAsiaTheme="minorEastAsia"/>
          <w:b/>
          <w:bCs/>
          <w:lang w:val="en-US" w:eastAsia="ko-KR"/>
        </w:rPr>
      </w:pPr>
      <w:r w:rsidRPr="00765D55">
        <w:rPr>
          <w:rFonts w:eastAsiaTheme="minorEastAsia" w:hint="eastAsia"/>
          <w:b/>
          <w:bCs/>
          <w:lang w:val="en-US" w:eastAsia="ko-KR"/>
        </w:rPr>
        <w:t xml:space="preserve">Transparent </w:t>
      </w:r>
      <w:proofErr w:type="spellStart"/>
      <w:r w:rsidRPr="00765D55">
        <w:rPr>
          <w:rFonts w:eastAsiaTheme="minorEastAsia" w:hint="eastAsia"/>
          <w:b/>
          <w:bCs/>
          <w:lang w:val="en-US" w:eastAsia="ko-KR"/>
        </w:rPr>
        <w:t>TxD</w:t>
      </w:r>
      <w:proofErr w:type="spellEnd"/>
      <w:r w:rsidRPr="00765D55">
        <w:rPr>
          <w:rFonts w:eastAsiaTheme="minorEastAsia" w:hint="eastAsia"/>
          <w:b/>
          <w:bCs/>
          <w:lang w:val="en-US" w:eastAsia="ko-KR"/>
        </w:rPr>
        <w:t>:</w:t>
      </w:r>
    </w:p>
    <w:p w14:paraId="27BF5D16" w14:textId="7BC96C7E" w:rsidR="00765D55" w:rsidRPr="00CD02B5" w:rsidRDefault="00E414A7" w:rsidP="00E012F2">
      <w:pPr>
        <w:pStyle w:val="af2"/>
        <w:numPr>
          <w:ilvl w:val="0"/>
          <w:numId w:val="69"/>
        </w:numPr>
        <w:ind w:leftChars="0"/>
        <w:rPr>
          <w:rFonts w:eastAsiaTheme="minorEastAsia"/>
        </w:rPr>
      </w:pPr>
      <w:r w:rsidRPr="00CD02B5">
        <w:rPr>
          <w:rFonts w:ascii="Times New Roman" w:eastAsiaTheme="minorEastAsia" w:hAnsi="Times New Roman"/>
        </w:rPr>
        <w:t>From an RF requirements point of view, the summed maximum output power concept provides a straightforward basis. Reporting enhancements can primarily focus on representing effective total Pmax near class boundaries.</w:t>
      </w:r>
    </w:p>
    <w:p w14:paraId="57E755FD" w14:textId="519FD0E4" w:rsidR="00E414A7" w:rsidRPr="00765D55" w:rsidRDefault="00E414A7" w:rsidP="00E414A7">
      <w:pPr>
        <w:rPr>
          <w:rFonts w:eastAsiaTheme="minorEastAsia"/>
          <w:b/>
          <w:bCs/>
          <w:lang w:eastAsia="ko-KR"/>
        </w:rPr>
      </w:pPr>
      <w:r w:rsidRPr="00765D55">
        <w:rPr>
          <w:rFonts w:eastAsiaTheme="minorEastAsia" w:hint="eastAsia"/>
          <w:b/>
          <w:bCs/>
          <w:lang w:eastAsia="ko-KR"/>
        </w:rPr>
        <w:t>Non-Transparent multi-port operation:</w:t>
      </w:r>
    </w:p>
    <w:p w14:paraId="7658E37F" w14:textId="03340BA5" w:rsidR="00E414A7" w:rsidRPr="00CD02B5" w:rsidRDefault="00E414A7" w:rsidP="00406D15">
      <w:pPr>
        <w:pStyle w:val="af2"/>
        <w:numPr>
          <w:ilvl w:val="0"/>
          <w:numId w:val="69"/>
        </w:numPr>
        <w:ind w:leftChars="0"/>
        <w:rPr>
          <w:rFonts w:eastAsiaTheme="minorEastAsia"/>
        </w:rPr>
      </w:pPr>
      <w:r w:rsidRPr="00CD02B5">
        <w:rPr>
          <w:rFonts w:ascii="Times New Roman" w:eastAsiaTheme="minorEastAsia" w:hAnsi="Times New Roman"/>
        </w:rPr>
        <w:t xml:space="preserve">While the total/sum effective Pmax remains relevant, mode-dependent constraints (e.g., </w:t>
      </w:r>
      <w:proofErr w:type="spellStart"/>
      <w:r w:rsidRPr="00CD02B5">
        <w:rPr>
          <w:rFonts w:ascii="Times New Roman" w:eastAsiaTheme="minorEastAsia" w:hAnsi="Times New Roman"/>
        </w:rPr>
        <w:t>ULFPTx</w:t>
      </w:r>
      <w:proofErr w:type="spellEnd"/>
      <w:r w:rsidRPr="00CD02B5">
        <w:rPr>
          <w:rFonts w:ascii="Times New Roman" w:eastAsiaTheme="minorEastAsia" w:hAnsi="Times New Roman"/>
        </w:rPr>
        <w:t xml:space="preserve"> behavior) may require additional considerations. However, such mechanisms should be handled as study topics to avoid immediate specification fragmentation.</w:t>
      </w:r>
    </w:p>
    <w:p w14:paraId="18636895" w14:textId="2FF0782D" w:rsidR="00807FC0" w:rsidRDefault="00702D33" w:rsidP="00807FC0">
      <w:pPr>
        <w:pStyle w:val="4"/>
        <w:rPr>
          <w:rFonts w:eastAsiaTheme="minorEastAsia"/>
          <w:lang w:val="en-US" w:eastAsia="ko-KR"/>
        </w:rPr>
      </w:pPr>
      <w:r>
        <w:rPr>
          <w:rFonts w:eastAsiaTheme="minorEastAsia" w:hint="eastAsia"/>
          <w:lang w:val="en-US" w:eastAsia="ko-KR"/>
        </w:rPr>
        <w:t>Summary</w:t>
      </w:r>
      <w:r w:rsidR="00807FC0">
        <w:rPr>
          <w:rFonts w:eastAsiaTheme="minorEastAsia" w:hint="eastAsia"/>
          <w:lang w:val="en-US" w:eastAsia="ko-KR"/>
        </w:rPr>
        <w:t xml:space="preserve"> for </w:t>
      </w:r>
      <w:r w:rsidR="00A23DCC">
        <w:rPr>
          <w:rFonts w:eastAsiaTheme="minorEastAsia"/>
          <w:lang w:val="en-US" w:eastAsia="ko-KR"/>
        </w:rPr>
        <w:t>multi-Tx</w:t>
      </w:r>
      <w:r w:rsidR="00807FC0">
        <w:rPr>
          <w:rFonts w:eastAsiaTheme="minorEastAsia" w:hint="eastAsia"/>
          <w:lang w:val="en-US" w:eastAsia="ko-KR"/>
        </w:rPr>
        <w:t xml:space="preserve"> cases</w:t>
      </w:r>
    </w:p>
    <w:p w14:paraId="015D2CFE" w14:textId="1AD71B33" w:rsidR="00807FC0" w:rsidRDefault="00807FC0" w:rsidP="00807FC0">
      <w:pPr>
        <w:pStyle w:val="a1"/>
        <w:rPr>
          <w:rFonts w:eastAsiaTheme="minorEastAsia"/>
          <w:lang w:val="en-US" w:eastAsia="ko-KR"/>
        </w:rPr>
      </w:pPr>
      <w:r>
        <w:rPr>
          <w:rFonts w:eastAsiaTheme="minorEastAsia" w:hint="eastAsia"/>
          <w:lang w:val="en-US" w:eastAsia="ko-KR"/>
        </w:rPr>
        <w:t xml:space="preserve">Consistent with the conclusion of Section 2.1.1, it remains premature to redefine the power class structure (3.g., 1 dB classes) given the </w:t>
      </w:r>
      <w:proofErr w:type="spellStart"/>
      <w:r>
        <w:rPr>
          <w:rFonts w:eastAsiaTheme="minorEastAsia" w:hint="eastAsia"/>
          <w:lang w:val="en-US" w:eastAsia="ko-KR"/>
        </w:rPr>
        <w:t>resk</w:t>
      </w:r>
      <w:proofErr w:type="spellEnd"/>
      <w:r>
        <w:rPr>
          <w:rFonts w:eastAsiaTheme="minorEastAsia" w:hint="eastAsia"/>
          <w:lang w:val="en-US" w:eastAsia="ko-KR"/>
        </w:rPr>
        <w:t xml:space="preserve"> of requirement/test fragmentation. Instead, a pragmatic direction is to retain legacy ~3 dB power classes and introduce a reporting overlay for effective maximum output power in multi-Tx UEs.</w:t>
      </w:r>
    </w:p>
    <w:p w14:paraId="64527577" w14:textId="77777777" w:rsidR="00591F44" w:rsidRDefault="00591F44" w:rsidP="00591F44">
      <w:pPr>
        <w:pStyle w:val="a1"/>
        <w:rPr>
          <w:rFonts w:eastAsiaTheme="minorEastAsia"/>
          <w:lang w:val="en-US" w:eastAsia="ko-KR"/>
        </w:rPr>
      </w:pPr>
      <w:r w:rsidRPr="00807FC0">
        <w:rPr>
          <w:rFonts w:eastAsiaTheme="minorEastAsia" w:hint="eastAsia"/>
          <w:b/>
          <w:bCs/>
          <w:lang w:val="en-US" w:eastAsia="ko-KR"/>
        </w:rPr>
        <w:t>Proposal 2</w:t>
      </w:r>
      <w:r>
        <w:rPr>
          <w:rFonts w:eastAsiaTheme="minorEastAsia" w:hint="eastAsia"/>
          <w:lang w:val="en-US" w:eastAsia="ko-KR"/>
        </w:rPr>
        <w:t xml:space="preserve">: For </w:t>
      </w:r>
      <w:proofErr w:type="spellStart"/>
      <w:r>
        <w:rPr>
          <w:rFonts w:eastAsiaTheme="minorEastAsia" w:hint="eastAsia"/>
          <w:lang w:val="en-US" w:eastAsia="ko-KR"/>
        </w:rPr>
        <w:t>TxD</w:t>
      </w:r>
      <w:proofErr w:type="spellEnd"/>
      <w:r>
        <w:rPr>
          <w:rFonts w:eastAsiaTheme="minorEastAsia" w:hint="eastAsia"/>
          <w:lang w:val="en-US" w:eastAsia="ko-KR"/>
        </w:rPr>
        <w:t xml:space="preserve"> cases, maintain the legacy ~3 dB power class framework and introduce a sum-based effective maximum output power offset </w:t>
      </w:r>
      <w:r w:rsidRPr="00807FC0">
        <w:rPr>
          <w:rFonts w:eastAsiaTheme="minorEastAsia"/>
          <w:lang w:val="en-US" w:eastAsia="ko-KR"/>
        </w:rPr>
        <w:t>Pmax (0–3 dB)</w:t>
      </w:r>
      <w:r>
        <w:rPr>
          <w:rFonts w:eastAsiaTheme="minorEastAsia" w:hint="eastAsia"/>
          <w:lang w:val="en-US" w:eastAsia="ko-KR"/>
        </w:rPr>
        <w:t xml:space="preserve"> as a UE capability indication. For UL-MIMO cases where mode-dependent constraints exist, study whether optional dynamic reporting supplementation is beneficial.</w:t>
      </w:r>
    </w:p>
    <w:p w14:paraId="3BD3DCDB" w14:textId="48E9E492" w:rsidR="00E37622" w:rsidRDefault="00F7389A" w:rsidP="00E37622">
      <w:pPr>
        <w:pStyle w:val="3"/>
        <w:rPr>
          <w:rFonts w:eastAsiaTheme="minorEastAsia"/>
          <w:lang w:val="en-US" w:eastAsia="ko-KR"/>
        </w:rPr>
      </w:pPr>
      <w:r>
        <w:rPr>
          <w:rFonts w:eastAsiaTheme="minorEastAsia" w:hint="eastAsia"/>
          <w:lang w:val="en-US" w:eastAsia="ko-KR"/>
        </w:rPr>
        <w:t>Further study on enabling full utilization of PA capabilities</w:t>
      </w:r>
    </w:p>
    <w:p w14:paraId="593814CB" w14:textId="7EAF606D" w:rsidR="00F7389A" w:rsidRDefault="00F7389A" w:rsidP="00CD02B5">
      <w:pPr>
        <w:pStyle w:val="a1"/>
        <w:rPr>
          <w:rFonts w:eastAsiaTheme="minorEastAsia"/>
          <w:lang w:val="en-US" w:eastAsia="ko-KR"/>
        </w:rPr>
      </w:pPr>
      <w:r>
        <w:rPr>
          <w:rFonts w:eastAsiaTheme="minorEastAsia" w:hint="eastAsia"/>
          <w:lang w:val="en-US" w:eastAsia="ko-KR"/>
        </w:rPr>
        <w:t>This section discusses potential directions to enable better utilization of UE PA capability, in the context of configured transmitted power bounds in 38.101-1 clause 6.2.4. The intention is to identify approaches that improve practical UL performance while minimizing disruption to the legacy power class and RF conformance framework.</w:t>
      </w:r>
    </w:p>
    <w:p w14:paraId="13DA1C76" w14:textId="3D08B945" w:rsidR="00F7389A" w:rsidRDefault="00F7389A" w:rsidP="00F7389A">
      <w:pPr>
        <w:pStyle w:val="4"/>
        <w:rPr>
          <w:rFonts w:eastAsiaTheme="minorEastAsia"/>
          <w:lang w:val="en-US" w:eastAsia="ko-KR"/>
        </w:rPr>
      </w:pPr>
      <w:r>
        <w:rPr>
          <w:rFonts w:eastAsiaTheme="minorEastAsia" w:hint="eastAsia"/>
          <w:lang w:val="en-US" w:eastAsia="ko-KR"/>
        </w:rPr>
        <w:t xml:space="preserve">Relaxation of </w:t>
      </w:r>
      <w:r>
        <w:rPr>
          <w:rFonts w:eastAsiaTheme="minorEastAsia"/>
          <w:lang w:val="en-US" w:eastAsia="ko-KR"/>
        </w:rPr>
        <w:t>“</w:t>
      </w:r>
      <w:r>
        <w:rPr>
          <w:rFonts w:eastAsiaTheme="minorEastAsia" w:hint="eastAsia"/>
          <w:lang w:val="en-US" w:eastAsia="ko-KR"/>
        </w:rPr>
        <w:t>upper tolerance</w:t>
      </w:r>
      <w:r>
        <w:rPr>
          <w:rFonts w:eastAsiaTheme="minorEastAsia"/>
          <w:lang w:val="en-US" w:eastAsia="ko-KR"/>
        </w:rPr>
        <w:t>”</w:t>
      </w:r>
      <w:r>
        <w:rPr>
          <w:rFonts w:eastAsiaTheme="minorEastAsia" w:hint="eastAsia"/>
          <w:lang w:val="en-US" w:eastAsia="ko-KR"/>
        </w:rPr>
        <w:t xml:space="preserve"> in PCMAX bounds</w:t>
      </w:r>
    </w:p>
    <w:p w14:paraId="67E9BA18" w14:textId="46F75BE3" w:rsidR="00F7389A" w:rsidRDefault="007F2A71" w:rsidP="00F7389A">
      <w:pPr>
        <w:rPr>
          <w:rFonts w:eastAsiaTheme="minorEastAsia"/>
          <w:lang w:val="en-US" w:eastAsia="ko-KR"/>
        </w:rPr>
      </w:pPr>
      <w:r w:rsidRPr="00807FC0">
        <w:rPr>
          <w:rFonts w:eastAsiaTheme="minorEastAsia" w:hint="eastAsia"/>
          <w:b/>
          <w:bCs/>
          <w:i/>
          <w:iCs/>
          <w:lang w:val="en-US" w:eastAsia="ko-KR"/>
        </w:rPr>
        <w:t xml:space="preserve">Observation </w:t>
      </w:r>
      <w:r>
        <w:rPr>
          <w:rFonts w:eastAsiaTheme="minorEastAsia" w:hint="eastAsia"/>
          <w:b/>
          <w:bCs/>
          <w:i/>
          <w:iCs/>
          <w:lang w:val="en-US" w:eastAsia="ko-KR"/>
        </w:rPr>
        <w:t>6</w:t>
      </w:r>
      <w:r>
        <w:rPr>
          <w:rFonts w:eastAsiaTheme="minorEastAsia" w:hint="eastAsia"/>
          <w:lang w:val="en-US" w:eastAsia="ko-KR"/>
        </w:rPr>
        <w:t>:</w:t>
      </w:r>
      <w:r>
        <w:rPr>
          <w:rFonts w:eastAsiaTheme="minorEastAsia"/>
          <w:lang w:val="en-US" w:eastAsia="ko-KR"/>
        </w:rPr>
        <w:t xml:space="preserve"> </w:t>
      </w:r>
      <w:r w:rsidR="00F7389A">
        <w:rPr>
          <w:rFonts w:eastAsiaTheme="minorEastAsia"/>
          <w:lang w:val="en-US" w:eastAsia="ko-KR"/>
        </w:rPr>
        <w:t>“</w:t>
      </w:r>
      <w:r w:rsidR="00F7389A">
        <w:rPr>
          <w:rFonts w:eastAsiaTheme="minorEastAsia" w:hint="eastAsia"/>
          <w:lang w:val="en-US" w:eastAsia="ko-KR"/>
        </w:rPr>
        <w:t>Tolerance</w:t>
      </w:r>
      <w:r w:rsidR="00F7389A">
        <w:rPr>
          <w:rFonts w:eastAsiaTheme="minorEastAsia"/>
          <w:lang w:val="en-US" w:eastAsia="ko-KR"/>
        </w:rPr>
        <w:t>”</w:t>
      </w:r>
      <w:r w:rsidR="00F7389A">
        <w:rPr>
          <w:rFonts w:eastAsiaTheme="minorEastAsia" w:hint="eastAsia"/>
          <w:lang w:val="en-US" w:eastAsia="ko-KR"/>
        </w:rPr>
        <w:t xml:space="preserve"> is fundamentally an accuracy concept (i.e., how closely the UE can set/track the intended transmit power), not a mechanism to increase allowable maximum output power. </w:t>
      </w:r>
      <w:r w:rsidR="00F7389A">
        <w:rPr>
          <w:rFonts w:eastAsiaTheme="minorEastAsia"/>
          <w:lang w:val="en-US" w:eastAsia="ko-KR"/>
        </w:rPr>
        <w:t>T</w:t>
      </w:r>
      <w:r w:rsidR="00F7389A">
        <w:rPr>
          <w:rFonts w:eastAsiaTheme="minorEastAsia" w:hint="eastAsia"/>
          <w:lang w:val="en-US" w:eastAsia="ko-KR"/>
        </w:rPr>
        <w:t xml:space="preserve">herefore, using tolerance relaxation as a lever to </w:t>
      </w:r>
      <w:r w:rsidR="00F7389A">
        <w:rPr>
          <w:rFonts w:eastAsiaTheme="minorEastAsia"/>
          <w:lang w:val="en-US" w:eastAsia="ko-KR"/>
        </w:rPr>
        <w:t>“</w:t>
      </w:r>
      <w:r w:rsidR="00F7389A">
        <w:rPr>
          <w:rFonts w:eastAsiaTheme="minorEastAsia" w:hint="eastAsia"/>
          <w:lang w:val="en-US" w:eastAsia="ko-KR"/>
        </w:rPr>
        <w:t>boost</w:t>
      </w:r>
      <w:r w:rsidR="00F7389A">
        <w:rPr>
          <w:rFonts w:eastAsiaTheme="minorEastAsia"/>
          <w:lang w:val="en-US" w:eastAsia="ko-KR"/>
        </w:rPr>
        <w:t>”</w:t>
      </w:r>
      <w:r w:rsidR="00F7389A">
        <w:rPr>
          <w:rFonts w:eastAsiaTheme="minorEastAsia" w:hint="eastAsia"/>
          <w:lang w:val="en-US" w:eastAsia="ko-KR"/>
        </w:rPr>
        <w:t xml:space="preserve"> maximum power is conceptually misaligned and risks conflating two different intents: accuracy vs. maximum power limits.</w:t>
      </w:r>
    </w:p>
    <w:p w14:paraId="51321631" w14:textId="367EF814" w:rsidR="00F7389A" w:rsidRDefault="00F7389A" w:rsidP="00F7389A">
      <w:pPr>
        <w:pStyle w:val="4"/>
        <w:rPr>
          <w:rFonts w:eastAsiaTheme="minorEastAsia"/>
          <w:lang w:val="en-US" w:eastAsia="ko-KR"/>
        </w:rPr>
      </w:pPr>
      <w:r>
        <w:rPr>
          <w:rFonts w:eastAsiaTheme="minorEastAsia" w:hint="eastAsia"/>
          <w:lang w:val="en-US" w:eastAsia="ko-KR"/>
        </w:rPr>
        <w:t>Power boosting</w:t>
      </w:r>
    </w:p>
    <w:p w14:paraId="7456E491" w14:textId="76ACC30E" w:rsidR="00D378CB" w:rsidRDefault="007E0317" w:rsidP="00F7389A">
      <w:pPr>
        <w:rPr>
          <w:rFonts w:eastAsiaTheme="minorEastAsia"/>
          <w:lang w:val="en-US" w:eastAsia="ko-KR"/>
        </w:rPr>
      </w:pPr>
      <w:r w:rsidRPr="00807FC0">
        <w:rPr>
          <w:rFonts w:eastAsiaTheme="minorEastAsia" w:hint="eastAsia"/>
          <w:b/>
          <w:bCs/>
          <w:i/>
          <w:iCs/>
          <w:lang w:val="en-US" w:eastAsia="ko-KR"/>
        </w:rPr>
        <w:t xml:space="preserve">Observation </w:t>
      </w:r>
      <w:r>
        <w:rPr>
          <w:rFonts w:eastAsiaTheme="minorEastAsia" w:hint="eastAsia"/>
          <w:b/>
          <w:bCs/>
          <w:i/>
          <w:iCs/>
          <w:lang w:val="en-US" w:eastAsia="ko-KR"/>
        </w:rPr>
        <w:t>7</w:t>
      </w:r>
      <w:r>
        <w:rPr>
          <w:rFonts w:eastAsiaTheme="minorEastAsia" w:hint="eastAsia"/>
          <w:lang w:val="en-US" w:eastAsia="ko-KR"/>
        </w:rPr>
        <w:t>:</w:t>
      </w:r>
      <w:r w:rsidR="00302617">
        <w:rPr>
          <w:rFonts w:eastAsiaTheme="minorEastAsia" w:hint="eastAsia"/>
          <w:lang w:val="en-US" w:eastAsia="ko-KR"/>
        </w:rPr>
        <w:t xml:space="preserve"> </w:t>
      </w:r>
      <w:r w:rsidR="00F7389A">
        <w:rPr>
          <w:rFonts w:eastAsiaTheme="minorEastAsia" w:hint="eastAsia"/>
          <w:lang w:val="en-US" w:eastAsia="ko-KR"/>
        </w:rPr>
        <w:t xml:space="preserve">Power boosting is already defined with conditional applicability in legacy system (LTE/NR), and it is tied to specific conditions such as modulation/waveform and other operating constraints. As a result, the </w:t>
      </w:r>
      <w:r w:rsidR="00F7389A">
        <w:rPr>
          <w:rFonts w:eastAsiaTheme="minorEastAsia"/>
          <w:lang w:val="en-US" w:eastAsia="ko-KR"/>
        </w:rPr>
        <w:t>benefit</w:t>
      </w:r>
      <w:r w:rsidR="00F7389A">
        <w:rPr>
          <w:rFonts w:eastAsiaTheme="minorEastAsia" w:hint="eastAsia"/>
          <w:lang w:val="en-US" w:eastAsia="ko-KR"/>
        </w:rPr>
        <w:t xml:space="preserve"> is scenario-dependent and may be limited in terms of general applicability for </w:t>
      </w:r>
      <w:r w:rsidR="00F7389A">
        <w:rPr>
          <w:rFonts w:eastAsiaTheme="minorEastAsia"/>
          <w:lang w:val="en-US" w:eastAsia="ko-KR"/>
        </w:rPr>
        <w:t>“</w:t>
      </w:r>
      <w:r w:rsidR="00F7389A">
        <w:rPr>
          <w:rFonts w:eastAsiaTheme="minorEastAsia" w:hint="eastAsia"/>
          <w:lang w:val="en-US" w:eastAsia="ko-KR"/>
        </w:rPr>
        <w:t>fully utilizing PA capability.</w:t>
      </w:r>
      <w:r w:rsidR="00F7389A">
        <w:rPr>
          <w:rFonts w:eastAsiaTheme="minorEastAsia"/>
          <w:lang w:val="en-US" w:eastAsia="ko-KR"/>
        </w:rPr>
        <w:t>”</w:t>
      </w:r>
      <w:r w:rsidR="00D378CB">
        <w:rPr>
          <w:rFonts w:eastAsiaTheme="minorEastAsia" w:hint="eastAsia"/>
          <w:lang w:val="en-US" w:eastAsia="ko-KR"/>
        </w:rPr>
        <w:t>.</w:t>
      </w:r>
    </w:p>
    <w:p w14:paraId="38FADF3A" w14:textId="7FB6AF0F" w:rsidR="00D378CB" w:rsidRDefault="00D378CB" w:rsidP="00D378CB">
      <w:pPr>
        <w:pStyle w:val="4"/>
        <w:rPr>
          <w:rFonts w:eastAsiaTheme="minorEastAsia"/>
          <w:lang w:val="en-US" w:eastAsia="ko-KR"/>
        </w:rPr>
      </w:pPr>
      <w:r>
        <w:rPr>
          <w:rFonts w:eastAsiaTheme="minorEastAsia" w:hint="eastAsia"/>
          <w:lang w:val="en-US" w:eastAsia="ko-KR"/>
        </w:rPr>
        <w:t>Maximum power capability reporting</w:t>
      </w:r>
    </w:p>
    <w:p w14:paraId="67500892" w14:textId="5CC3F9BA" w:rsidR="00760FBF" w:rsidRPr="00D378CB" w:rsidRDefault="00505F8A" w:rsidP="00D378CB">
      <w:pPr>
        <w:rPr>
          <w:rFonts w:eastAsiaTheme="minorEastAsia"/>
          <w:lang w:val="en-US" w:eastAsia="ko-KR"/>
        </w:rPr>
      </w:pPr>
      <w:r w:rsidRPr="00807FC0">
        <w:rPr>
          <w:rFonts w:eastAsiaTheme="minorEastAsia" w:hint="eastAsia"/>
          <w:b/>
          <w:bCs/>
          <w:i/>
          <w:iCs/>
          <w:lang w:val="en-US" w:eastAsia="ko-KR"/>
        </w:rPr>
        <w:t xml:space="preserve">Observation </w:t>
      </w:r>
      <w:r>
        <w:rPr>
          <w:rFonts w:eastAsiaTheme="minorEastAsia" w:hint="eastAsia"/>
          <w:b/>
          <w:bCs/>
          <w:i/>
          <w:iCs/>
          <w:lang w:val="en-US" w:eastAsia="ko-KR"/>
        </w:rPr>
        <w:t>8</w:t>
      </w:r>
      <w:r>
        <w:rPr>
          <w:rFonts w:eastAsiaTheme="minorEastAsia" w:hint="eastAsia"/>
          <w:lang w:val="en-US" w:eastAsia="ko-KR"/>
        </w:rPr>
        <w:t>:</w:t>
      </w:r>
      <w:r w:rsidR="00302617">
        <w:rPr>
          <w:rFonts w:eastAsiaTheme="minorEastAsia" w:hint="eastAsia"/>
          <w:lang w:val="en-US" w:eastAsia="ko-KR"/>
        </w:rPr>
        <w:t xml:space="preserve"> </w:t>
      </w:r>
      <w:r w:rsidR="00D378CB">
        <w:rPr>
          <w:rFonts w:eastAsiaTheme="minorEastAsia" w:hint="eastAsia"/>
          <w:lang w:val="en-US" w:eastAsia="ko-KR"/>
        </w:rPr>
        <w:t xml:space="preserve">As discussed in Section 2.1.1 and 2.1.2, retaining the legacy ~3 dB power class framework is beneficial for specification/test reuse, while under-utilization near class boundaries can be mitigated by strengthened reporting. </w:t>
      </w:r>
      <w:r w:rsidR="00D378CB">
        <w:rPr>
          <w:rFonts w:eastAsiaTheme="minorEastAsia"/>
          <w:lang w:val="en-US" w:eastAsia="ko-KR"/>
        </w:rPr>
        <w:t>T</w:t>
      </w:r>
      <w:r w:rsidR="00D378CB">
        <w:rPr>
          <w:rFonts w:eastAsiaTheme="minorEastAsia" w:hint="eastAsia"/>
          <w:lang w:val="en-US" w:eastAsia="ko-KR"/>
        </w:rPr>
        <w:t>herefore, explicit maximum power capability reporting (e.g., sum-based effective PCMAX indication) is a pragmatic and controlled approach to enable better utilization without redefining power class granularity.</w:t>
      </w:r>
    </w:p>
    <w:p w14:paraId="77DB37F4" w14:textId="4DC766D0" w:rsidR="00E37622" w:rsidRDefault="005C2D2A" w:rsidP="005C2D2A">
      <w:pPr>
        <w:pStyle w:val="4"/>
        <w:rPr>
          <w:lang w:val="en-US" w:eastAsia="ko-KR"/>
        </w:rPr>
      </w:pPr>
      <w:r>
        <w:rPr>
          <w:rFonts w:eastAsiaTheme="minorEastAsia" w:hint="eastAsia"/>
          <w:lang w:val="en-US" w:eastAsia="ko-KR"/>
        </w:rPr>
        <w:t>Removing the nominal power limit in PCMAX upper bound</w:t>
      </w:r>
    </w:p>
    <w:p w14:paraId="35D70ECE" w14:textId="432A0F67" w:rsidR="00E16935" w:rsidRPr="00E16935" w:rsidRDefault="005C2D2A" w:rsidP="00E16935">
      <w:pPr>
        <w:rPr>
          <w:rFonts w:eastAsiaTheme="minorEastAsia"/>
          <w:lang w:val="en-US" w:eastAsia="ko-KR"/>
        </w:rPr>
      </w:pPr>
      <w:r w:rsidRPr="005C2D2A">
        <w:rPr>
          <w:lang w:val="en-US" w:eastAsia="ko-KR"/>
        </w:rPr>
        <w:t xml:space="preserve">In the configured transmitted power framework (38.101-1 clause 6.2.4), the configured maximum output power </w:t>
      </w:r>
      <w:proofErr w:type="spellStart"/>
      <w:proofErr w:type="gramStart"/>
      <w:r w:rsidRPr="005C2D2A">
        <w:rPr>
          <w:lang w:val="en-US" w:eastAsia="ko-KR"/>
        </w:rPr>
        <w:t>PCMAX,f</w:t>
      </w:r>
      <w:proofErr w:type="gramEnd"/>
      <w:r w:rsidRPr="005C2D2A">
        <w:rPr>
          <w:lang w:val="en-US" w:eastAsia="ko-KR"/>
        </w:rPr>
        <w:t>,c</w:t>
      </w:r>
      <w:proofErr w:type="spellEnd"/>
      <w:r w:rsidRPr="005C2D2A">
        <w:rPr>
          <w:lang w:val="en-US" w:eastAsia="ko-KR"/>
        </w:rPr>
        <w:t xml:space="preserve"> is bounded by </w:t>
      </w:r>
      <w:proofErr w:type="spellStart"/>
      <w:r w:rsidRPr="005C2D2A">
        <w:rPr>
          <w:lang w:val="en-US" w:eastAsia="ko-KR"/>
        </w:rPr>
        <w:t>PCMAX_</w:t>
      </w:r>
      <w:proofErr w:type="gramStart"/>
      <w:r w:rsidRPr="005C2D2A">
        <w:rPr>
          <w:lang w:val="en-US" w:eastAsia="ko-KR"/>
        </w:rPr>
        <w:t>L,f</w:t>
      </w:r>
      <w:proofErr w:type="gramEnd"/>
      <w:r w:rsidRPr="005C2D2A">
        <w:rPr>
          <w:lang w:val="en-US" w:eastAsia="ko-KR"/>
        </w:rPr>
        <w:t>,c</w:t>
      </w:r>
      <w:proofErr w:type="spellEnd"/>
      <w:r w:rsidRPr="005C2D2A">
        <w:rPr>
          <w:lang w:val="en-US" w:eastAsia="ko-KR"/>
        </w:rPr>
        <w:t xml:space="preserve"> and </w:t>
      </w:r>
      <w:proofErr w:type="spellStart"/>
      <w:r w:rsidRPr="005C2D2A">
        <w:rPr>
          <w:lang w:val="en-US" w:eastAsia="ko-KR"/>
        </w:rPr>
        <w:t>PCMAX_</w:t>
      </w:r>
      <w:proofErr w:type="gramStart"/>
      <w:r w:rsidRPr="005C2D2A">
        <w:rPr>
          <w:lang w:val="en-US" w:eastAsia="ko-KR"/>
        </w:rPr>
        <w:t>H,f</w:t>
      </w:r>
      <w:proofErr w:type="gramEnd"/>
      <w:r w:rsidRPr="005C2D2A">
        <w:rPr>
          <w:lang w:val="en-US" w:eastAsia="ko-KR"/>
        </w:rPr>
        <w:t>,c</w:t>
      </w:r>
      <w:proofErr w:type="spellEnd"/>
      <w:r w:rsidRPr="005C2D2A">
        <w:rPr>
          <w:lang w:val="en-US" w:eastAsia="ko-KR"/>
        </w:rPr>
        <w:t xml:space="preserve">. The upper bound </w:t>
      </w:r>
      <w:proofErr w:type="spellStart"/>
      <w:r w:rsidRPr="005C2D2A">
        <w:rPr>
          <w:lang w:val="en-US" w:eastAsia="ko-KR"/>
        </w:rPr>
        <w:t>PCMAX_</w:t>
      </w:r>
      <w:proofErr w:type="gramStart"/>
      <w:r w:rsidRPr="005C2D2A">
        <w:rPr>
          <w:lang w:val="en-US" w:eastAsia="ko-KR"/>
        </w:rPr>
        <w:t>H,f</w:t>
      </w:r>
      <w:proofErr w:type="gramEnd"/>
      <w:r w:rsidRPr="005C2D2A">
        <w:rPr>
          <w:lang w:val="en-US" w:eastAsia="ko-KR"/>
        </w:rPr>
        <w:t>,c</w:t>
      </w:r>
      <w:proofErr w:type="spellEnd"/>
      <w:r w:rsidRPr="005C2D2A">
        <w:rPr>
          <w:lang w:val="en-US" w:eastAsia="ko-KR"/>
        </w:rPr>
        <w:t xml:space="preserve"> is defined as the minimum of a network-related limit (</w:t>
      </w:r>
      <w:proofErr w:type="spellStart"/>
      <w:proofErr w:type="gramStart"/>
      <w:r w:rsidRPr="005C2D2A">
        <w:rPr>
          <w:lang w:val="en-US" w:eastAsia="ko-KR"/>
        </w:rPr>
        <w:t>PEMAX,c</w:t>
      </w:r>
      <w:proofErr w:type="spellEnd"/>
      <w:proofErr w:type="gramEnd"/>
      <w:r w:rsidRPr="005C2D2A">
        <w:rPr>
          <w:lang w:val="en-US" w:eastAsia="ko-KR"/>
        </w:rPr>
        <w:t>) and a UE nominal power-class-related limit (</w:t>
      </w:r>
      <w:proofErr w:type="spellStart"/>
      <w:r w:rsidRPr="005C2D2A">
        <w:rPr>
          <w:lang w:val="en-US" w:eastAsia="ko-KR"/>
        </w:rPr>
        <w:t>PPowerClass</w:t>
      </w:r>
      <w:proofErr w:type="spellEnd"/>
      <w:r w:rsidRPr="005C2D2A">
        <w:rPr>
          <w:lang w:val="en-US" w:eastAsia="ko-KR"/>
        </w:rPr>
        <w:t xml:space="preserve"> term, with </w:t>
      </w:r>
      <w:r w:rsidRPr="005C2D2A">
        <w:rPr>
          <w:lang w:val="en-US" w:eastAsia="ko-KR"/>
        </w:rPr>
        <w:lastRenderedPageBreak/>
        <w:t xml:space="preserve">applicable offsets such as </w:t>
      </w:r>
      <w:proofErr w:type="spellStart"/>
      <w:r w:rsidRPr="005C2D2A">
        <w:rPr>
          <w:lang w:val="en-US" w:eastAsia="ko-KR"/>
        </w:rPr>
        <w:t>ΔPpowerClass</w:t>
      </w:r>
      <w:proofErr w:type="spellEnd"/>
      <w:r w:rsidRPr="005C2D2A">
        <w:rPr>
          <w:lang w:val="en-US" w:eastAsia="ko-KR"/>
        </w:rPr>
        <w:t xml:space="preserve"> and potential </w:t>
      </w:r>
      <w:proofErr w:type="spellStart"/>
      <w:r w:rsidRPr="005C2D2A">
        <w:rPr>
          <w:lang w:val="en-US" w:eastAsia="ko-KR"/>
        </w:rPr>
        <w:t>powerBoost</w:t>
      </w:r>
      <w:proofErr w:type="spellEnd"/>
      <w:r w:rsidRPr="005C2D2A">
        <w:rPr>
          <w:lang w:val="en-US" w:eastAsia="ko-KR"/>
        </w:rPr>
        <w:t xml:space="preserve"> terms). This structure provides a stable linkage between the declared UE power class and the maximum transmit power used by power control.</w:t>
      </w:r>
    </w:p>
    <w:p w14:paraId="00C055C4" w14:textId="70780355" w:rsidR="00E16935" w:rsidRDefault="005C2D2A" w:rsidP="00E16935">
      <w:pPr>
        <w:rPr>
          <w:rFonts w:eastAsiaTheme="minorEastAsia"/>
          <w:lang w:val="en-US" w:eastAsia="ko-KR"/>
        </w:rPr>
      </w:pPr>
      <w:r>
        <w:rPr>
          <w:rFonts w:eastAsiaTheme="minorEastAsia" w:hint="eastAsia"/>
          <w:lang w:val="en-US" w:eastAsia="ko-KR"/>
        </w:rPr>
        <w:t>M</w:t>
      </w:r>
      <w:r w:rsidRPr="005C2D2A">
        <w:rPr>
          <w:rFonts w:eastAsiaTheme="minorEastAsia"/>
          <w:lang w:val="en-US" w:eastAsia="ko-KR"/>
        </w:rPr>
        <w:t>odern UE RF architectures often reuse a common PA core across multiple bands, while each band (and even different channel locations within a band) can experience different front-end/filter insertion losses. In such cases, for a fixed PA output operating point, the antenna-connector power could vary across bands/channels. This motivates a discussion on whether the nominal power-class-based cap in PCMAX_H could be relaxed so that the UE can exploit lower insertion loss conditions to radiate higher power on some bands/channels.</w:t>
      </w:r>
    </w:p>
    <w:p w14:paraId="00A3AC35" w14:textId="77777777" w:rsidR="00ED58EA" w:rsidRDefault="00E16935" w:rsidP="00E16935">
      <w:pPr>
        <w:rPr>
          <w:rFonts w:eastAsiaTheme="minorEastAsia"/>
          <w:lang w:eastAsia="ko-KR"/>
        </w:rPr>
      </w:pPr>
      <w:r w:rsidRPr="00E16935">
        <w:rPr>
          <w:rFonts w:eastAsiaTheme="minorEastAsia" w:hint="eastAsia"/>
          <w:b/>
          <w:bCs/>
          <w:i/>
          <w:iCs/>
          <w:lang w:val="en-US" w:eastAsia="ko-KR"/>
        </w:rPr>
        <w:t xml:space="preserve">Observation </w:t>
      </w:r>
      <w:r w:rsidR="00BF37CF">
        <w:rPr>
          <w:rFonts w:eastAsiaTheme="minorEastAsia" w:hint="eastAsia"/>
          <w:b/>
          <w:bCs/>
          <w:i/>
          <w:iCs/>
          <w:lang w:val="en-US" w:eastAsia="ko-KR"/>
        </w:rPr>
        <w:t>9</w:t>
      </w:r>
      <w:r>
        <w:rPr>
          <w:rFonts w:eastAsiaTheme="minorEastAsia" w:hint="eastAsia"/>
          <w:lang w:val="en-US" w:eastAsia="ko-KR"/>
        </w:rPr>
        <w:t xml:space="preserve">: </w:t>
      </w:r>
      <w:r w:rsidR="00ED58EA" w:rsidRPr="00ED58EA">
        <w:rPr>
          <w:rFonts w:eastAsiaTheme="minorEastAsia"/>
          <w:lang w:eastAsia="ko-KR"/>
        </w:rPr>
        <w:t>Power class is intended to provide a consistent nominal reference for maximum output power in RF requirements and within the PCMAX bounding framework. If higher transmit power is allowed on selected bands or channel locations without corresponding capability visibility, this could introduce implicit intermediate operating points under the same declared power class. Such situations may warrant further study regarding how the integrity and interpretability of the power-class concept can be maintained.</w:t>
      </w:r>
    </w:p>
    <w:p w14:paraId="06A5BD37" w14:textId="1A16E439" w:rsidR="00E16935" w:rsidRDefault="00E16935" w:rsidP="00E16935">
      <w:pPr>
        <w:rPr>
          <w:rFonts w:eastAsiaTheme="minorEastAsia"/>
          <w:lang w:val="en-US" w:eastAsia="ko-KR"/>
        </w:rPr>
      </w:pPr>
      <w:r w:rsidRPr="00E16935">
        <w:rPr>
          <w:rFonts w:eastAsiaTheme="minorEastAsia" w:hint="eastAsia"/>
          <w:b/>
          <w:bCs/>
          <w:i/>
          <w:iCs/>
          <w:lang w:val="en-US" w:eastAsia="ko-KR"/>
        </w:rPr>
        <w:t xml:space="preserve">Observation </w:t>
      </w:r>
      <w:r w:rsidR="00BF37CF">
        <w:rPr>
          <w:rFonts w:eastAsiaTheme="minorEastAsia" w:hint="eastAsia"/>
          <w:b/>
          <w:bCs/>
          <w:i/>
          <w:iCs/>
          <w:lang w:val="en-US" w:eastAsia="ko-KR"/>
        </w:rPr>
        <w:t>10</w:t>
      </w:r>
      <w:r>
        <w:rPr>
          <w:rFonts w:eastAsiaTheme="minorEastAsia" w:hint="eastAsia"/>
          <w:lang w:val="en-US" w:eastAsia="ko-KR"/>
        </w:rPr>
        <w:t xml:space="preserve">: </w:t>
      </w:r>
      <w:r w:rsidR="00ED58EA" w:rsidRPr="00ED58EA">
        <w:rPr>
          <w:rFonts w:eastAsiaTheme="minorEastAsia"/>
          <w:lang w:eastAsia="ko-KR"/>
        </w:rPr>
        <w:t>Allowing higher transmit power under the same declared power class may introduce additional operating conditions (e.g., band- or channel-dependent higher power levels) that could require further assessment of RF requirement assumptions, such as emissions, modulation quality, and related power reduction mechanisms. The impact on requirement organization and conformance evaluation would benefit from careful study.</w:t>
      </w:r>
    </w:p>
    <w:p w14:paraId="433F314F" w14:textId="1A5876F1" w:rsidR="00925835" w:rsidRDefault="001F5B5E" w:rsidP="00E16935">
      <w:pPr>
        <w:rPr>
          <w:rFonts w:eastAsiaTheme="minorEastAsia"/>
          <w:lang w:val="en-US" w:eastAsia="ko-KR"/>
        </w:rPr>
      </w:pPr>
      <w:r w:rsidRPr="001F5B5E">
        <w:rPr>
          <w:rFonts w:eastAsiaTheme="minorEastAsia" w:hint="eastAsia"/>
          <w:b/>
          <w:bCs/>
          <w:i/>
          <w:iCs/>
          <w:lang w:val="en-US" w:eastAsia="ko-KR"/>
        </w:rPr>
        <w:t xml:space="preserve">Observation </w:t>
      </w:r>
      <w:r w:rsidR="00BF37CF">
        <w:rPr>
          <w:rFonts w:eastAsiaTheme="minorEastAsia" w:hint="eastAsia"/>
          <w:b/>
          <w:bCs/>
          <w:i/>
          <w:iCs/>
          <w:lang w:val="en-US" w:eastAsia="ko-KR"/>
        </w:rPr>
        <w:t>11</w:t>
      </w:r>
      <w:r>
        <w:rPr>
          <w:rFonts w:eastAsiaTheme="minorEastAsia" w:hint="eastAsia"/>
          <w:lang w:val="en-US" w:eastAsia="ko-KR"/>
        </w:rPr>
        <w:t>:</w:t>
      </w:r>
      <w:r w:rsidRPr="001F5B5E">
        <w:t xml:space="preserve"> </w:t>
      </w:r>
      <w:r w:rsidR="00ED58EA" w:rsidRPr="00ED58EA">
        <w:rPr>
          <w:rFonts w:eastAsiaTheme="minorEastAsia"/>
          <w:lang w:eastAsia="ko-KR"/>
        </w:rPr>
        <w:t xml:space="preserve">If the UE-side nominal power-class-based cap is relaxed and greater reliance is placed on network-configured limits (e.g., PEMAX/p-Max), this may shift more responsibility to network configuration policies for maintaining predictability and interference management. The implications for operational consistency and for assumptions based on stable PCMAX </w:t>
      </w:r>
      <w:proofErr w:type="spellStart"/>
      <w:r w:rsidR="00ED58EA" w:rsidRPr="00ED58EA">
        <w:rPr>
          <w:rFonts w:eastAsiaTheme="minorEastAsia"/>
          <w:lang w:eastAsia="ko-KR"/>
        </w:rPr>
        <w:t>behavior</w:t>
      </w:r>
      <w:proofErr w:type="spellEnd"/>
      <w:r w:rsidR="00ED58EA" w:rsidRPr="00ED58EA">
        <w:rPr>
          <w:rFonts w:eastAsiaTheme="minorEastAsia"/>
          <w:lang w:eastAsia="ko-KR"/>
        </w:rPr>
        <w:t xml:space="preserve"> could be further studied.</w:t>
      </w:r>
    </w:p>
    <w:p w14:paraId="1DB98331" w14:textId="3EDF8C71" w:rsidR="00925835" w:rsidRDefault="00702D33" w:rsidP="00925835">
      <w:pPr>
        <w:pStyle w:val="4"/>
        <w:rPr>
          <w:rFonts w:eastAsiaTheme="minorEastAsia"/>
          <w:lang w:val="en-US" w:eastAsia="ko-KR"/>
        </w:rPr>
      </w:pPr>
      <w:r>
        <w:rPr>
          <w:rFonts w:eastAsiaTheme="minorEastAsia" w:hint="eastAsia"/>
          <w:lang w:val="en-US" w:eastAsia="ko-KR"/>
        </w:rPr>
        <w:t>Summary</w:t>
      </w:r>
      <w:r w:rsidR="00925835">
        <w:rPr>
          <w:rFonts w:eastAsiaTheme="minorEastAsia" w:hint="eastAsia"/>
          <w:lang w:val="en-US" w:eastAsia="ko-KR"/>
        </w:rPr>
        <w:t xml:space="preserve"> on enabling full utilization of PA capabilities</w:t>
      </w:r>
    </w:p>
    <w:p w14:paraId="043CB315" w14:textId="43A04C3A" w:rsidR="00925835" w:rsidRDefault="00925835" w:rsidP="00925835">
      <w:pPr>
        <w:rPr>
          <w:rFonts w:eastAsiaTheme="minorEastAsia"/>
          <w:lang w:val="en-US" w:eastAsia="ko-KR"/>
        </w:rPr>
      </w:pPr>
      <w:r>
        <w:rPr>
          <w:rFonts w:eastAsiaTheme="minorEastAsia" w:hint="eastAsia"/>
          <w:lang w:val="en-US" w:eastAsia="ko-KR"/>
        </w:rPr>
        <w:t xml:space="preserve">Based on the discussion in Section 2.1.3.1-2.1.3.4, it is observed that approaches directly relaxing the PCMAX bounds (e.g., by interpreting </w:t>
      </w:r>
      <w:r>
        <w:rPr>
          <w:rFonts w:eastAsiaTheme="minorEastAsia"/>
          <w:lang w:val="en-US" w:eastAsia="ko-KR"/>
        </w:rPr>
        <w:t>“</w:t>
      </w:r>
      <w:r>
        <w:rPr>
          <w:rFonts w:eastAsiaTheme="minorEastAsia" w:hint="eastAsia"/>
          <w:lang w:val="en-US" w:eastAsia="ko-KR"/>
        </w:rPr>
        <w:t>tolerance</w:t>
      </w:r>
      <w:r>
        <w:rPr>
          <w:rFonts w:eastAsiaTheme="minorEastAsia"/>
          <w:lang w:val="en-US" w:eastAsia="ko-KR"/>
        </w:rPr>
        <w:t>”</w:t>
      </w:r>
      <w:r>
        <w:rPr>
          <w:rFonts w:eastAsiaTheme="minorEastAsia" w:hint="eastAsia"/>
          <w:lang w:val="en-US" w:eastAsia="ko-KR"/>
        </w:rPr>
        <w:t xml:space="preserve"> as additional usable headroom) are conceptually misaligned with the intent of accuracy requirements, and may inadvertently blur the distinction between output power </w:t>
      </w:r>
      <w:r>
        <w:rPr>
          <w:rFonts w:eastAsiaTheme="minorEastAsia"/>
          <w:lang w:val="en-US" w:eastAsia="ko-KR"/>
        </w:rPr>
        <w:t>accuracy</w:t>
      </w:r>
      <w:r>
        <w:rPr>
          <w:rFonts w:eastAsiaTheme="minorEastAsia" w:hint="eastAsia"/>
          <w:lang w:val="en-US" w:eastAsia="ko-KR"/>
        </w:rPr>
        <w:t xml:space="preserve"> and maximum allowable output power. In addition, while power boosting mechanisms exist, their applicability is conditional and therefore limited as a general-purpose solution for fully utilizing PA capability.</w:t>
      </w:r>
    </w:p>
    <w:p w14:paraId="78194B67" w14:textId="6AFF19CF" w:rsidR="00925835" w:rsidRPr="00925835" w:rsidRDefault="00925835" w:rsidP="00925835">
      <w:pPr>
        <w:rPr>
          <w:rFonts w:eastAsiaTheme="minorEastAsia"/>
          <w:lang w:val="en-US" w:eastAsia="ko-KR"/>
        </w:rPr>
      </w:pPr>
      <w:r>
        <w:rPr>
          <w:rFonts w:eastAsiaTheme="minorEastAsia" w:hint="eastAsia"/>
          <w:lang w:val="en-US" w:eastAsia="ko-KR"/>
        </w:rPr>
        <w:t>In contrast, capability-based approaches that preserve the legacy power class and configured transmitted power framework (including the PCMAX bounding mechanism in 38.101-1) provide a more controlled way to improve practical UL utilization without increasing specification fragmentation. In particular, strengthened reporting of effective maximum power capability can address under-utilization near class boundaries, while maintaining a stable and predictable power-class-based maximum output power framework.</w:t>
      </w:r>
    </w:p>
    <w:p w14:paraId="5941D648" w14:textId="6FBEC918" w:rsidR="00925835" w:rsidRPr="00925835" w:rsidRDefault="00925835" w:rsidP="00925835">
      <w:pPr>
        <w:rPr>
          <w:rFonts w:eastAsiaTheme="minorEastAsia"/>
          <w:lang w:val="en-US" w:eastAsia="ko-KR"/>
        </w:rPr>
      </w:pPr>
      <w:r w:rsidRPr="00925835">
        <w:rPr>
          <w:rFonts w:eastAsiaTheme="minorEastAsia"/>
          <w:b/>
          <w:bCs/>
          <w:lang w:val="en-US" w:eastAsia="ko-KR"/>
        </w:rPr>
        <w:t>Proposal 3</w:t>
      </w:r>
      <w:r w:rsidRPr="00925835">
        <w:rPr>
          <w:rFonts w:eastAsiaTheme="minorEastAsia"/>
          <w:lang w:val="en-US" w:eastAsia="ko-KR"/>
        </w:rPr>
        <w:t xml:space="preserve">: </w:t>
      </w:r>
      <w:r w:rsidR="006D34D9" w:rsidRPr="006D34D9">
        <w:rPr>
          <w:rFonts w:eastAsiaTheme="minorEastAsia"/>
          <w:lang w:eastAsia="ko-KR"/>
        </w:rPr>
        <w:t>Keep the legacy power class framework and PCMAX bounding structure, and address PA capability under-utilization through strengthened reporting of effective maximum output power.</w:t>
      </w:r>
      <w:r w:rsidR="006D34D9">
        <w:rPr>
          <w:rFonts w:eastAsiaTheme="minorEastAsia" w:hint="eastAsia"/>
          <w:lang w:eastAsia="ko-KR"/>
        </w:rPr>
        <w:t xml:space="preserve"> </w:t>
      </w:r>
      <w:r w:rsidR="006D34D9" w:rsidRPr="006D34D9">
        <w:rPr>
          <w:rFonts w:eastAsiaTheme="minorEastAsia"/>
          <w:lang w:eastAsia="ko-KR"/>
        </w:rPr>
        <w:t>Structural changes such as introducing finer power classes or modifying PCMAX bounds should be studied carefully considering their impact on RF requirement organization and conformance testing.</w:t>
      </w:r>
    </w:p>
    <w:p w14:paraId="3E516F17" w14:textId="77777777" w:rsidR="00E7313C" w:rsidRPr="006B4CA0" w:rsidRDefault="00E7313C" w:rsidP="000B0576">
      <w:pPr>
        <w:rPr>
          <w:rFonts w:eastAsiaTheme="minorEastAsia"/>
          <w:lang w:val="en-US" w:eastAsia="ko-KR"/>
        </w:rPr>
      </w:pPr>
    </w:p>
    <w:p w14:paraId="3F388538" w14:textId="53AD24C8" w:rsidR="00987A7E" w:rsidRDefault="000604A8" w:rsidP="000604A8">
      <w:pPr>
        <w:pStyle w:val="1"/>
        <w:rPr>
          <w:rFonts w:eastAsiaTheme="minorEastAsia"/>
          <w:lang w:eastAsia="ko-KR"/>
        </w:rPr>
      </w:pPr>
      <w:r>
        <w:rPr>
          <w:rFonts w:hint="eastAsia"/>
          <w:lang w:eastAsia="ko-KR"/>
        </w:rPr>
        <w:t>Conclusion</w:t>
      </w:r>
    </w:p>
    <w:p w14:paraId="2C69CF14" w14:textId="77777777" w:rsidR="00C5175C" w:rsidRPr="001B1376" w:rsidRDefault="00C5175C" w:rsidP="00C5175C">
      <w:pPr>
        <w:rPr>
          <w:rFonts w:eastAsiaTheme="minorEastAsia"/>
          <w:lang w:eastAsia="ko-KR"/>
        </w:rPr>
      </w:pPr>
      <w:r w:rsidRPr="009F716F">
        <w:rPr>
          <w:rFonts w:hint="eastAsia"/>
          <w:b/>
          <w:bCs/>
          <w:i/>
          <w:iCs/>
          <w:lang w:eastAsia="ko-KR"/>
        </w:rPr>
        <w:t>Observation 1</w:t>
      </w:r>
      <w:r>
        <w:rPr>
          <w:rFonts w:hint="eastAsia"/>
          <w:lang w:eastAsia="ko-KR"/>
        </w:rPr>
        <w:t xml:space="preserve">: </w:t>
      </w:r>
      <w:r w:rsidRPr="009F716F">
        <w:rPr>
          <w:lang w:eastAsia="ko-KR"/>
        </w:rPr>
        <w:t>Due to diverse RF implementations in 6G, a UE's actual capability may lie between defined classes, leading to unutilized PA headroom if the UE is forced to declare the lower class.</w:t>
      </w:r>
    </w:p>
    <w:p w14:paraId="3479E150" w14:textId="77777777" w:rsidR="00C5175C" w:rsidRDefault="00C5175C" w:rsidP="00C5175C">
      <w:pPr>
        <w:rPr>
          <w:lang w:eastAsia="ko-KR"/>
        </w:rPr>
      </w:pPr>
      <w:r w:rsidRPr="00DE1D84">
        <w:rPr>
          <w:rFonts w:hint="eastAsia"/>
          <w:b/>
          <w:bCs/>
          <w:i/>
          <w:iCs/>
          <w:lang w:eastAsia="ko-KR"/>
        </w:rPr>
        <w:t>Observation 2</w:t>
      </w:r>
      <w:r>
        <w:rPr>
          <w:rFonts w:hint="eastAsia"/>
          <w:lang w:eastAsia="ko-KR"/>
        </w:rPr>
        <w:t xml:space="preserve">: Traditional </w:t>
      </w:r>
      <w:r>
        <w:rPr>
          <w:lang w:eastAsia="ko-KR"/>
        </w:rPr>
        <w:t>power class</w:t>
      </w:r>
      <w:r>
        <w:rPr>
          <w:rFonts w:hint="eastAsia"/>
          <w:lang w:eastAsia="ko-KR"/>
        </w:rPr>
        <w:t xml:space="preserve"> framework is beneficial for maintaining </w:t>
      </w:r>
      <w:r>
        <w:rPr>
          <w:lang w:eastAsia="ko-KR"/>
        </w:rPr>
        <w:t>simplicity</w:t>
      </w:r>
      <w:r>
        <w:rPr>
          <w:rFonts w:hint="eastAsia"/>
          <w:lang w:eastAsia="ko-KR"/>
        </w:rPr>
        <w:t xml:space="preserve"> in specifications and conformance testing, avoiding the fragmentation of requirements.</w:t>
      </w:r>
    </w:p>
    <w:p w14:paraId="6C06661A" w14:textId="77777777" w:rsidR="00C5175C" w:rsidRPr="00DE1D84" w:rsidRDefault="00C5175C" w:rsidP="00C5175C">
      <w:pPr>
        <w:rPr>
          <w:lang w:eastAsia="ko-KR"/>
        </w:rPr>
      </w:pPr>
      <w:r w:rsidRPr="00DE1D84">
        <w:rPr>
          <w:rFonts w:hint="eastAsia"/>
          <w:b/>
          <w:bCs/>
          <w:i/>
          <w:iCs/>
          <w:lang w:eastAsia="ko-KR"/>
        </w:rPr>
        <w:t>Observation 3</w:t>
      </w:r>
      <w:r>
        <w:rPr>
          <w:rFonts w:hint="eastAsia"/>
          <w:lang w:eastAsia="ko-KR"/>
        </w:rPr>
        <w:t xml:space="preserve">: Fine granularity power class framework offers the </w:t>
      </w:r>
      <w:r>
        <w:rPr>
          <w:lang w:eastAsia="ko-KR"/>
        </w:rPr>
        <w:t>potential</w:t>
      </w:r>
      <w:r>
        <w:rPr>
          <w:rFonts w:hint="eastAsia"/>
          <w:lang w:eastAsia="ko-KR"/>
        </w:rPr>
        <w:t xml:space="preserve"> to maximize UE PA utilization but introduces significant challengers regarding requirement complexity (MPR/A-MPR definition) and class distinctness due to tolerance overlap.</w:t>
      </w:r>
    </w:p>
    <w:p w14:paraId="32B45144" w14:textId="77777777" w:rsidR="00C5175C" w:rsidRDefault="00C5175C" w:rsidP="00C5175C">
      <w:pPr>
        <w:pStyle w:val="a1"/>
        <w:rPr>
          <w:rFonts w:eastAsiaTheme="minorEastAsia"/>
          <w:lang w:val="en-US" w:eastAsia="ko-KR"/>
        </w:rPr>
      </w:pPr>
      <w:r w:rsidRPr="00807FC0">
        <w:rPr>
          <w:rFonts w:eastAsiaTheme="minorEastAsia" w:hint="eastAsia"/>
          <w:b/>
          <w:bCs/>
          <w:i/>
          <w:iCs/>
          <w:lang w:val="en-US" w:eastAsia="ko-KR"/>
        </w:rPr>
        <w:t>Observation 4</w:t>
      </w:r>
      <w:r>
        <w:rPr>
          <w:rFonts w:eastAsiaTheme="minorEastAsia" w:hint="eastAsia"/>
          <w:lang w:val="en-US" w:eastAsia="ko-KR"/>
        </w:rPr>
        <w:t xml:space="preserve">: </w:t>
      </w:r>
      <w:proofErr w:type="spellStart"/>
      <w:r>
        <w:rPr>
          <w:rFonts w:eastAsiaTheme="minorEastAsia" w:hint="eastAsia"/>
          <w:lang w:val="en-US" w:eastAsia="ko-KR"/>
        </w:rPr>
        <w:t>TxD</w:t>
      </w:r>
      <w:proofErr w:type="spellEnd"/>
      <w:r>
        <w:rPr>
          <w:rFonts w:eastAsiaTheme="minorEastAsia" w:hint="eastAsia"/>
          <w:lang w:val="en-US" w:eastAsia="ko-KR"/>
        </w:rPr>
        <w:t xml:space="preserve"> is well </w:t>
      </w:r>
      <w:r>
        <w:rPr>
          <w:rFonts w:eastAsiaTheme="minorEastAsia"/>
          <w:lang w:val="en-US" w:eastAsia="ko-KR"/>
        </w:rPr>
        <w:t>aligned</w:t>
      </w:r>
      <w:r>
        <w:rPr>
          <w:rFonts w:eastAsiaTheme="minorEastAsia" w:hint="eastAsia"/>
          <w:lang w:val="en-US" w:eastAsia="ko-KR"/>
        </w:rPr>
        <w:t xml:space="preserve"> with a sum-power definition of maximum output power, and thus the key issue is not redefining power classes, but enabling reporting that represents effective total Pmax more accurately when it falls between legacy class boundaries.</w:t>
      </w:r>
    </w:p>
    <w:p w14:paraId="39632371" w14:textId="77777777" w:rsidR="00C5175C" w:rsidRPr="00493B93" w:rsidRDefault="00C5175C" w:rsidP="00C5175C">
      <w:pPr>
        <w:pStyle w:val="a1"/>
        <w:rPr>
          <w:rFonts w:eastAsiaTheme="minorEastAsia"/>
          <w:lang w:val="en-US" w:eastAsia="ko-KR"/>
        </w:rPr>
      </w:pPr>
      <w:r w:rsidRPr="00807FC0">
        <w:rPr>
          <w:rFonts w:eastAsiaTheme="minorEastAsia" w:hint="eastAsia"/>
          <w:b/>
          <w:bCs/>
          <w:i/>
          <w:iCs/>
          <w:lang w:val="en-US" w:eastAsia="ko-KR"/>
        </w:rPr>
        <w:t>Observation 5</w:t>
      </w:r>
      <w:r>
        <w:rPr>
          <w:rFonts w:eastAsiaTheme="minorEastAsia" w:hint="eastAsia"/>
          <w:lang w:val="en-US" w:eastAsia="ko-KR"/>
        </w:rPr>
        <w:t xml:space="preserve">: While a sum-based effective Pmax representation is still </w:t>
      </w:r>
      <w:proofErr w:type="spellStart"/>
      <w:r>
        <w:rPr>
          <w:rFonts w:eastAsiaTheme="minorEastAsia" w:hint="eastAsia"/>
          <w:lang w:val="en-US" w:eastAsia="ko-KR"/>
        </w:rPr>
        <w:t>usefull</w:t>
      </w:r>
      <w:proofErr w:type="spellEnd"/>
      <w:r>
        <w:rPr>
          <w:rFonts w:eastAsiaTheme="minorEastAsia" w:hint="eastAsia"/>
          <w:lang w:val="en-US" w:eastAsia="ko-KR"/>
        </w:rPr>
        <w:t xml:space="preserve"> for UL-MIMO, additional mode-dependent constraints may exist. Therefore, a single static metric may not fully capture all operational constraints for UL-MIMO across configurations.</w:t>
      </w:r>
    </w:p>
    <w:p w14:paraId="6B79727B" w14:textId="77777777" w:rsidR="00C5175C" w:rsidRDefault="00C5175C" w:rsidP="00C5175C">
      <w:pPr>
        <w:rPr>
          <w:rFonts w:eastAsiaTheme="minorEastAsia"/>
          <w:lang w:val="en-US" w:eastAsia="ko-KR"/>
        </w:rPr>
      </w:pPr>
      <w:r w:rsidRPr="00807FC0">
        <w:rPr>
          <w:rFonts w:eastAsiaTheme="minorEastAsia" w:hint="eastAsia"/>
          <w:b/>
          <w:bCs/>
          <w:i/>
          <w:iCs/>
          <w:lang w:val="en-US" w:eastAsia="ko-KR"/>
        </w:rPr>
        <w:t xml:space="preserve">Observation </w:t>
      </w:r>
      <w:r>
        <w:rPr>
          <w:rFonts w:eastAsiaTheme="minorEastAsia" w:hint="eastAsia"/>
          <w:b/>
          <w:bCs/>
          <w:i/>
          <w:iCs/>
          <w:lang w:val="en-US" w:eastAsia="ko-KR"/>
        </w:rPr>
        <w:t>6</w:t>
      </w:r>
      <w:r>
        <w:rPr>
          <w:rFonts w:eastAsiaTheme="minorEastAsia" w:hint="eastAsia"/>
          <w:lang w:val="en-US" w:eastAsia="ko-KR"/>
        </w:rPr>
        <w:t>:</w:t>
      </w:r>
      <w:r>
        <w:rPr>
          <w:rFonts w:eastAsiaTheme="minorEastAsia"/>
          <w:lang w:val="en-US" w:eastAsia="ko-KR"/>
        </w:rPr>
        <w:t xml:space="preserve"> “</w:t>
      </w:r>
      <w:r>
        <w:rPr>
          <w:rFonts w:eastAsiaTheme="minorEastAsia" w:hint="eastAsia"/>
          <w:lang w:val="en-US" w:eastAsia="ko-KR"/>
        </w:rPr>
        <w:t>Tolerance</w:t>
      </w:r>
      <w:r>
        <w:rPr>
          <w:rFonts w:eastAsiaTheme="minorEastAsia"/>
          <w:lang w:val="en-US" w:eastAsia="ko-KR"/>
        </w:rPr>
        <w:t>”</w:t>
      </w:r>
      <w:r>
        <w:rPr>
          <w:rFonts w:eastAsiaTheme="minorEastAsia" w:hint="eastAsia"/>
          <w:lang w:val="en-US" w:eastAsia="ko-KR"/>
        </w:rPr>
        <w:t xml:space="preserve"> is fundamentally an accuracy concept (i.e., how closely the UE can set/track the intended transmit power), not a mechanism to increase allowable maximum output power. </w:t>
      </w:r>
      <w:r>
        <w:rPr>
          <w:rFonts w:eastAsiaTheme="minorEastAsia"/>
          <w:lang w:val="en-US" w:eastAsia="ko-KR"/>
        </w:rPr>
        <w:t>T</w:t>
      </w:r>
      <w:r>
        <w:rPr>
          <w:rFonts w:eastAsiaTheme="minorEastAsia" w:hint="eastAsia"/>
          <w:lang w:val="en-US" w:eastAsia="ko-KR"/>
        </w:rPr>
        <w:t xml:space="preserve">herefore, using tolerance relaxation as a </w:t>
      </w:r>
      <w:r>
        <w:rPr>
          <w:rFonts w:eastAsiaTheme="minorEastAsia" w:hint="eastAsia"/>
          <w:lang w:val="en-US" w:eastAsia="ko-KR"/>
        </w:rPr>
        <w:lastRenderedPageBreak/>
        <w:t xml:space="preserve">lever to </w:t>
      </w:r>
      <w:r>
        <w:rPr>
          <w:rFonts w:eastAsiaTheme="minorEastAsia"/>
          <w:lang w:val="en-US" w:eastAsia="ko-KR"/>
        </w:rPr>
        <w:t>“</w:t>
      </w:r>
      <w:r>
        <w:rPr>
          <w:rFonts w:eastAsiaTheme="minorEastAsia" w:hint="eastAsia"/>
          <w:lang w:val="en-US" w:eastAsia="ko-KR"/>
        </w:rPr>
        <w:t>boost</w:t>
      </w:r>
      <w:r>
        <w:rPr>
          <w:rFonts w:eastAsiaTheme="minorEastAsia"/>
          <w:lang w:val="en-US" w:eastAsia="ko-KR"/>
        </w:rPr>
        <w:t>”</w:t>
      </w:r>
      <w:r>
        <w:rPr>
          <w:rFonts w:eastAsiaTheme="minorEastAsia" w:hint="eastAsia"/>
          <w:lang w:val="en-US" w:eastAsia="ko-KR"/>
        </w:rPr>
        <w:t xml:space="preserve"> maximum power is conceptually misaligned and risks conflating two different intents: accuracy vs. maximum power limits.</w:t>
      </w:r>
    </w:p>
    <w:p w14:paraId="3519E030" w14:textId="77777777" w:rsidR="00C5175C" w:rsidRDefault="00C5175C" w:rsidP="00C5175C">
      <w:pPr>
        <w:rPr>
          <w:rFonts w:eastAsiaTheme="minorEastAsia"/>
          <w:lang w:val="en-US" w:eastAsia="ko-KR"/>
        </w:rPr>
      </w:pPr>
      <w:r w:rsidRPr="00807FC0">
        <w:rPr>
          <w:rFonts w:eastAsiaTheme="minorEastAsia" w:hint="eastAsia"/>
          <w:b/>
          <w:bCs/>
          <w:i/>
          <w:iCs/>
          <w:lang w:val="en-US" w:eastAsia="ko-KR"/>
        </w:rPr>
        <w:t xml:space="preserve">Observation </w:t>
      </w:r>
      <w:r>
        <w:rPr>
          <w:rFonts w:eastAsiaTheme="minorEastAsia" w:hint="eastAsia"/>
          <w:b/>
          <w:bCs/>
          <w:i/>
          <w:iCs/>
          <w:lang w:val="en-US" w:eastAsia="ko-KR"/>
        </w:rPr>
        <w:t>7</w:t>
      </w:r>
      <w:r>
        <w:rPr>
          <w:rFonts w:eastAsiaTheme="minorEastAsia" w:hint="eastAsia"/>
          <w:lang w:val="en-US" w:eastAsia="ko-KR"/>
        </w:rPr>
        <w:t xml:space="preserve">: Power boosting is already defined with conditional applicability in legacy system (LTE/NR), and it is tied to specific conditions such as modulation/waveform and other operating constraints. As a result, the </w:t>
      </w:r>
      <w:r>
        <w:rPr>
          <w:rFonts w:eastAsiaTheme="minorEastAsia"/>
          <w:lang w:val="en-US" w:eastAsia="ko-KR"/>
        </w:rPr>
        <w:t>benefit</w:t>
      </w:r>
      <w:r>
        <w:rPr>
          <w:rFonts w:eastAsiaTheme="minorEastAsia" w:hint="eastAsia"/>
          <w:lang w:val="en-US" w:eastAsia="ko-KR"/>
        </w:rPr>
        <w:t xml:space="preserve"> is scenario-dependent and may be limited in terms of general applicability for </w:t>
      </w:r>
      <w:r>
        <w:rPr>
          <w:rFonts w:eastAsiaTheme="minorEastAsia"/>
          <w:lang w:val="en-US" w:eastAsia="ko-KR"/>
        </w:rPr>
        <w:t>“</w:t>
      </w:r>
      <w:r>
        <w:rPr>
          <w:rFonts w:eastAsiaTheme="minorEastAsia" w:hint="eastAsia"/>
          <w:lang w:val="en-US" w:eastAsia="ko-KR"/>
        </w:rPr>
        <w:t>fully utilizing PA capability.</w:t>
      </w:r>
      <w:r>
        <w:rPr>
          <w:rFonts w:eastAsiaTheme="minorEastAsia"/>
          <w:lang w:val="en-US" w:eastAsia="ko-KR"/>
        </w:rPr>
        <w:t>”</w:t>
      </w:r>
      <w:r>
        <w:rPr>
          <w:rFonts w:eastAsiaTheme="minorEastAsia" w:hint="eastAsia"/>
          <w:lang w:val="en-US" w:eastAsia="ko-KR"/>
        </w:rPr>
        <w:t>.</w:t>
      </w:r>
    </w:p>
    <w:p w14:paraId="542B9190" w14:textId="77777777" w:rsidR="00C5175C" w:rsidRPr="00D378CB" w:rsidRDefault="00C5175C" w:rsidP="00C5175C">
      <w:pPr>
        <w:rPr>
          <w:rFonts w:eastAsiaTheme="minorEastAsia"/>
          <w:lang w:val="en-US" w:eastAsia="ko-KR"/>
        </w:rPr>
      </w:pPr>
      <w:r w:rsidRPr="00807FC0">
        <w:rPr>
          <w:rFonts w:eastAsiaTheme="minorEastAsia" w:hint="eastAsia"/>
          <w:b/>
          <w:bCs/>
          <w:i/>
          <w:iCs/>
          <w:lang w:val="en-US" w:eastAsia="ko-KR"/>
        </w:rPr>
        <w:t xml:space="preserve">Observation </w:t>
      </w:r>
      <w:r>
        <w:rPr>
          <w:rFonts w:eastAsiaTheme="minorEastAsia" w:hint="eastAsia"/>
          <w:b/>
          <w:bCs/>
          <w:i/>
          <w:iCs/>
          <w:lang w:val="en-US" w:eastAsia="ko-KR"/>
        </w:rPr>
        <w:t>8</w:t>
      </w:r>
      <w:r>
        <w:rPr>
          <w:rFonts w:eastAsiaTheme="minorEastAsia" w:hint="eastAsia"/>
          <w:lang w:val="en-US" w:eastAsia="ko-KR"/>
        </w:rPr>
        <w:t xml:space="preserve">: As discussed in Section 2.1.1 and 2.1.2, retaining the legacy ~3 dB power class framework is beneficial for specification/test reuse, while under-utilization near class boundaries can be mitigated by strengthened reporting. </w:t>
      </w:r>
      <w:r>
        <w:rPr>
          <w:rFonts w:eastAsiaTheme="minorEastAsia"/>
          <w:lang w:val="en-US" w:eastAsia="ko-KR"/>
        </w:rPr>
        <w:t>T</w:t>
      </w:r>
      <w:r>
        <w:rPr>
          <w:rFonts w:eastAsiaTheme="minorEastAsia" w:hint="eastAsia"/>
          <w:lang w:val="en-US" w:eastAsia="ko-KR"/>
        </w:rPr>
        <w:t>herefore, explicit maximum power capability reporting (e.g., sum-based effective PCMAX indication) is a pragmatic and controlled approach to enable better utilization without redefining power class granularity.</w:t>
      </w:r>
    </w:p>
    <w:p w14:paraId="4C1A9BCA" w14:textId="77777777" w:rsidR="00C5175C" w:rsidRDefault="00C5175C" w:rsidP="00C5175C">
      <w:pPr>
        <w:rPr>
          <w:rFonts w:eastAsiaTheme="minorEastAsia"/>
          <w:lang w:val="en-US" w:eastAsia="ko-KR"/>
        </w:rPr>
      </w:pPr>
      <w:r w:rsidRPr="00E16935">
        <w:rPr>
          <w:rFonts w:eastAsiaTheme="minorEastAsia" w:hint="eastAsia"/>
          <w:b/>
          <w:bCs/>
          <w:i/>
          <w:iCs/>
          <w:lang w:val="en-US" w:eastAsia="ko-KR"/>
        </w:rPr>
        <w:t xml:space="preserve">Observation </w:t>
      </w:r>
      <w:r>
        <w:rPr>
          <w:rFonts w:eastAsiaTheme="minorEastAsia" w:hint="eastAsia"/>
          <w:b/>
          <w:bCs/>
          <w:i/>
          <w:iCs/>
          <w:lang w:val="en-US" w:eastAsia="ko-KR"/>
        </w:rPr>
        <w:t>9</w:t>
      </w:r>
      <w:r>
        <w:rPr>
          <w:rFonts w:eastAsiaTheme="minorEastAsia" w:hint="eastAsia"/>
          <w:lang w:val="en-US" w:eastAsia="ko-KR"/>
        </w:rPr>
        <w:t xml:space="preserve">: </w:t>
      </w:r>
      <w:r w:rsidRPr="00E16935">
        <w:rPr>
          <w:rFonts w:eastAsiaTheme="minorEastAsia"/>
          <w:lang w:val="en-US" w:eastAsia="ko-KR"/>
        </w:rPr>
        <w:t>Power class is intended to provide a consistent and predictable nominal maximum output power reference for RF requirements and for the PCMAX bounding mechanism. If the UE can exceed the nominal class limit opportunistically on selected bands/channels without explicit capability declaration, this can be interpreted as implicit intermediate power tiers under the same declared power class, potentially undermining the integrity of the power-class concept.</w:t>
      </w:r>
    </w:p>
    <w:p w14:paraId="33D7666E" w14:textId="77777777" w:rsidR="00C5175C" w:rsidRDefault="00C5175C" w:rsidP="00C5175C">
      <w:pPr>
        <w:rPr>
          <w:rFonts w:eastAsiaTheme="minorEastAsia"/>
          <w:lang w:val="en-US" w:eastAsia="ko-KR"/>
        </w:rPr>
      </w:pPr>
      <w:r w:rsidRPr="00E16935">
        <w:rPr>
          <w:rFonts w:eastAsiaTheme="minorEastAsia" w:hint="eastAsia"/>
          <w:b/>
          <w:bCs/>
          <w:i/>
          <w:iCs/>
          <w:lang w:val="en-US" w:eastAsia="ko-KR"/>
        </w:rPr>
        <w:t xml:space="preserve">Observation </w:t>
      </w:r>
      <w:r>
        <w:rPr>
          <w:rFonts w:eastAsiaTheme="minorEastAsia" w:hint="eastAsia"/>
          <w:b/>
          <w:bCs/>
          <w:i/>
          <w:iCs/>
          <w:lang w:val="en-US" w:eastAsia="ko-KR"/>
        </w:rPr>
        <w:t>10</w:t>
      </w:r>
      <w:r>
        <w:rPr>
          <w:rFonts w:eastAsiaTheme="minorEastAsia" w:hint="eastAsia"/>
          <w:lang w:val="en-US" w:eastAsia="ko-KR"/>
        </w:rPr>
        <w:t xml:space="preserve">: </w:t>
      </w:r>
      <w:r w:rsidRPr="00E16935">
        <w:rPr>
          <w:rFonts w:eastAsiaTheme="minorEastAsia"/>
          <w:lang w:val="en-US" w:eastAsia="ko-KR"/>
        </w:rPr>
        <w:t>Allowing higher transmit power under the same declared power class introduces additional higher-power operating points (band-/channel-dependent) that may require careful assessment of RF requirements and conformance assumptions (e.g., emissions, modulation quality, and related power reduction mechanisms). These risks increasing specification complexity and test burden, which conflicts with the objective of maximizing reuse of the legacy power class and conformance framework.</w:t>
      </w:r>
    </w:p>
    <w:p w14:paraId="69815FD4" w14:textId="77777777" w:rsidR="00C5175C" w:rsidRDefault="00C5175C" w:rsidP="00C5175C">
      <w:pPr>
        <w:rPr>
          <w:rFonts w:eastAsiaTheme="minorEastAsia"/>
          <w:lang w:val="en-US" w:eastAsia="ko-KR"/>
        </w:rPr>
      </w:pPr>
      <w:r w:rsidRPr="001F5B5E">
        <w:rPr>
          <w:rFonts w:eastAsiaTheme="minorEastAsia" w:hint="eastAsia"/>
          <w:b/>
          <w:bCs/>
          <w:i/>
          <w:iCs/>
          <w:lang w:val="en-US" w:eastAsia="ko-KR"/>
        </w:rPr>
        <w:t xml:space="preserve">Observation </w:t>
      </w:r>
      <w:r>
        <w:rPr>
          <w:rFonts w:eastAsiaTheme="minorEastAsia" w:hint="eastAsia"/>
          <w:b/>
          <w:bCs/>
          <w:i/>
          <w:iCs/>
          <w:lang w:val="en-US" w:eastAsia="ko-KR"/>
        </w:rPr>
        <w:t>11</w:t>
      </w:r>
      <w:r>
        <w:rPr>
          <w:rFonts w:eastAsiaTheme="minorEastAsia" w:hint="eastAsia"/>
          <w:lang w:val="en-US" w:eastAsia="ko-KR"/>
        </w:rPr>
        <w:t>:</w:t>
      </w:r>
      <w:r w:rsidRPr="001F5B5E">
        <w:t xml:space="preserve"> </w:t>
      </w:r>
      <w:r w:rsidRPr="001F5B5E">
        <w:rPr>
          <w:rFonts w:eastAsiaTheme="minorEastAsia"/>
          <w:lang w:val="en-US" w:eastAsia="ko-KR"/>
        </w:rPr>
        <w:t>Even if a network-configured limit (e.g., via PEMAX/p-Max) exists, removing the UE-side nominal class cap shifts more responsibility to network configuration policy to maintain predictability and interference management. This can increase operational dependency and variability across deployments, potentially affecting network-side assumptions that rely on stable PCMAX behavior.</w:t>
      </w:r>
    </w:p>
    <w:p w14:paraId="2A199649" w14:textId="77777777" w:rsidR="004A03DE" w:rsidRPr="00C5175C" w:rsidRDefault="004A03DE" w:rsidP="002F4A11">
      <w:pPr>
        <w:pStyle w:val="a1"/>
        <w:rPr>
          <w:rFonts w:eastAsiaTheme="minorEastAsia"/>
          <w:lang w:val="en-US" w:eastAsia="ko-KR"/>
        </w:rPr>
      </w:pPr>
    </w:p>
    <w:p w14:paraId="62313A75" w14:textId="2CCA3507" w:rsidR="00C5175C" w:rsidRDefault="00C5175C" w:rsidP="00C5175C">
      <w:pPr>
        <w:pStyle w:val="a1"/>
        <w:rPr>
          <w:lang w:val="en-US" w:eastAsia="ko-KR"/>
        </w:rPr>
      </w:pPr>
      <w:r w:rsidRPr="00735FBD">
        <w:rPr>
          <w:rFonts w:hint="eastAsia"/>
          <w:b/>
          <w:bCs/>
          <w:lang w:eastAsia="ko-KR"/>
        </w:rPr>
        <w:t>Proposal 1</w:t>
      </w:r>
      <w:r>
        <w:rPr>
          <w:rFonts w:hint="eastAsia"/>
          <w:lang w:eastAsia="ko-KR"/>
        </w:rPr>
        <w:t xml:space="preserve">: </w:t>
      </w:r>
      <w:r w:rsidR="00896663">
        <w:rPr>
          <w:rFonts w:eastAsiaTheme="minorEastAsia" w:hint="eastAsia"/>
          <w:lang w:eastAsia="ko-KR"/>
        </w:rPr>
        <w:t>For single Tx case, k</w:t>
      </w:r>
      <w:r>
        <w:rPr>
          <w:rFonts w:hint="eastAsia"/>
          <w:lang w:eastAsia="ko-KR"/>
        </w:rPr>
        <w:t>eep the legacy ~3 dB-step power classes and address UE power under-utilization through strengthened reporting, avoiding any new finer-granularity classes.</w:t>
      </w:r>
    </w:p>
    <w:p w14:paraId="3A3C2395" w14:textId="7BD1C05C" w:rsidR="00C5175C" w:rsidRDefault="00C5175C" w:rsidP="00C5175C">
      <w:pPr>
        <w:pStyle w:val="a1"/>
        <w:rPr>
          <w:rFonts w:eastAsiaTheme="minorEastAsia"/>
          <w:lang w:val="en-US" w:eastAsia="ko-KR"/>
        </w:rPr>
      </w:pPr>
      <w:r w:rsidRPr="00807FC0">
        <w:rPr>
          <w:rFonts w:eastAsiaTheme="minorEastAsia" w:hint="eastAsia"/>
          <w:b/>
          <w:bCs/>
          <w:lang w:val="en-US" w:eastAsia="ko-KR"/>
        </w:rPr>
        <w:t>Proposal 2</w:t>
      </w:r>
      <w:r>
        <w:rPr>
          <w:rFonts w:eastAsiaTheme="minorEastAsia" w:hint="eastAsia"/>
          <w:lang w:val="en-US" w:eastAsia="ko-KR"/>
        </w:rPr>
        <w:t xml:space="preserve">: For </w:t>
      </w:r>
      <w:proofErr w:type="spellStart"/>
      <w:r>
        <w:rPr>
          <w:rFonts w:eastAsiaTheme="minorEastAsia" w:hint="eastAsia"/>
          <w:lang w:val="en-US" w:eastAsia="ko-KR"/>
        </w:rPr>
        <w:t>TxD</w:t>
      </w:r>
      <w:proofErr w:type="spellEnd"/>
      <w:r>
        <w:rPr>
          <w:rFonts w:eastAsiaTheme="minorEastAsia" w:hint="eastAsia"/>
          <w:lang w:val="en-US" w:eastAsia="ko-KR"/>
        </w:rPr>
        <w:t xml:space="preserve"> cases, maintain the legacy ~3 dB power class framework and introduce a sum-based effective maximum output power offset </w:t>
      </w:r>
      <w:r w:rsidRPr="00807FC0">
        <w:rPr>
          <w:rFonts w:eastAsiaTheme="minorEastAsia"/>
          <w:lang w:val="en-US" w:eastAsia="ko-KR"/>
        </w:rPr>
        <w:t>Pmax (0–3 dB)</w:t>
      </w:r>
      <w:r>
        <w:rPr>
          <w:rFonts w:eastAsiaTheme="minorEastAsia" w:hint="eastAsia"/>
          <w:lang w:val="en-US" w:eastAsia="ko-KR"/>
        </w:rPr>
        <w:t xml:space="preserve"> as a UE capability indication. For UL-MIMO cases where mode-dependent constraints exist, study whether optional dynamic reporting supplementation is beneficial.</w:t>
      </w:r>
    </w:p>
    <w:p w14:paraId="557955A0" w14:textId="77777777" w:rsidR="00C5175C" w:rsidRPr="00925835" w:rsidRDefault="00C5175C" w:rsidP="00C5175C">
      <w:pPr>
        <w:rPr>
          <w:rFonts w:eastAsiaTheme="minorEastAsia"/>
          <w:lang w:val="en-US" w:eastAsia="ko-KR"/>
        </w:rPr>
      </w:pPr>
      <w:r w:rsidRPr="00925835">
        <w:rPr>
          <w:rFonts w:eastAsiaTheme="minorEastAsia"/>
          <w:b/>
          <w:bCs/>
          <w:lang w:val="en-US" w:eastAsia="ko-KR"/>
        </w:rPr>
        <w:t>Proposal 3</w:t>
      </w:r>
      <w:r w:rsidRPr="00925835">
        <w:rPr>
          <w:rFonts w:eastAsiaTheme="minorEastAsia"/>
          <w:lang w:val="en-US" w:eastAsia="ko-KR"/>
        </w:rPr>
        <w:t>: Maintain the legacy power class framework and address PA under-utilization via strengthened reporting of effective maximum power capability, rather than introducing new finer-granularity power classes or relaxing PCMAX bounds.</w:t>
      </w:r>
    </w:p>
    <w:p w14:paraId="36D3968A" w14:textId="5DDBFEA7" w:rsidR="003F50F8" w:rsidRPr="00210542" w:rsidRDefault="003F50F8" w:rsidP="003F50F8">
      <w:pPr>
        <w:pStyle w:val="1"/>
        <w:numPr>
          <w:ilvl w:val="0"/>
          <w:numId w:val="0"/>
        </w:numPr>
        <w:textAlignment w:val="top"/>
        <w:rPr>
          <w:color w:val="000000"/>
          <w:kern w:val="2"/>
          <w:lang w:val="en-US" w:eastAsia="ko-KR"/>
        </w:rPr>
      </w:pPr>
      <w:r w:rsidRPr="00210542">
        <w:rPr>
          <w:i/>
          <w:color w:val="000000"/>
          <w:kern w:val="2"/>
          <w:lang w:val="en-US" w:eastAsia="ko-KR"/>
        </w:rPr>
        <w:t>Reference</w:t>
      </w:r>
      <w:r w:rsidR="00BB5B9C">
        <w:rPr>
          <w:i/>
          <w:color w:val="000000"/>
          <w:kern w:val="2"/>
          <w:lang w:val="en-US" w:eastAsia="ko-KR"/>
        </w:rPr>
        <w:t>s</w:t>
      </w:r>
    </w:p>
    <w:bookmarkEnd w:id="4"/>
    <w:bookmarkEnd w:id="5"/>
    <w:bookmarkEnd w:id="6"/>
    <w:p w14:paraId="3BE5BAB3" w14:textId="279A72B4" w:rsidR="00F95FBC" w:rsidRPr="00F95FBC" w:rsidRDefault="003D127C" w:rsidP="002C3ECA">
      <w:pPr>
        <w:tabs>
          <w:tab w:val="left" w:pos="2127"/>
        </w:tabs>
        <w:jc w:val="both"/>
        <w:outlineLvl w:val="0"/>
        <w:rPr>
          <w:lang w:val="en-US" w:eastAsia="ko-KR"/>
        </w:rPr>
      </w:pPr>
      <w:r>
        <w:rPr>
          <w:rFonts w:hint="eastAsia"/>
          <w:lang w:val="en-US" w:eastAsia="ko-KR"/>
        </w:rPr>
        <w:t>[1]</w:t>
      </w:r>
      <w:r>
        <w:rPr>
          <w:lang w:val="en-US" w:eastAsia="ko-KR"/>
        </w:rPr>
        <w:t xml:space="preserve"> </w:t>
      </w:r>
      <w:r w:rsidRPr="00D06232">
        <w:rPr>
          <w:lang w:val="en-US" w:eastAsia="ko-KR"/>
        </w:rPr>
        <w:t>R4-2522451</w:t>
      </w:r>
      <w:r w:rsidRPr="00AE53B1">
        <w:rPr>
          <w:lang w:val="en-US" w:eastAsia="ko-KR"/>
        </w:rPr>
        <w:t xml:space="preserve">, </w:t>
      </w:r>
      <w:r w:rsidRPr="00D06232">
        <w:rPr>
          <w:lang w:val="en-US" w:eastAsia="ko-KR"/>
        </w:rPr>
        <w:t xml:space="preserve">WF on [117][102] 6G general RF and UE RF </w:t>
      </w:r>
      <w:r>
        <w:rPr>
          <w:rFonts w:hint="eastAsia"/>
          <w:lang w:val="en-US" w:eastAsia="ko-KR"/>
        </w:rPr>
        <w:t>(</w:t>
      </w:r>
      <w:proofErr w:type="spellStart"/>
      <w:r>
        <w:rPr>
          <w:rFonts w:eastAsiaTheme="minorEastAsia" w:hint="eastAsia"/>
          <w:lang w:val="en-US" w:eastAsia="ko-KR"/>
        </w:rPr>
        <w:t>QualComm</w:t>
      </w:r>
      <w:proofErr w:type="spellEnd"/>
      <w:r>
        <w:rPr>
          <w:rFonts w:hint="eastAsia"/>
          <w:lang w:val="en-US" w:eastAsia="ko-KR"/>
        </w:rPr>
        <w:t>)</w:t>
      </w:r>
    </w:p>
    <w:sectPr w:rsidR="00F95FBC" w:rsidRPr="00F95FBC" w:rsidSect="0087006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649E64" w14:textId="77777777" w:rsidR="00711CA6" w:rsidRDefault="00711CA6">
      <w:r>
        <w:separator/>
      </w:r>
    </w:p>
  </w:endnote>
  <w:endnote w:type="continuationSeparator" w:id="0">
    <w:p w14:paraId="17794039" w14:textId="77777777" w:rsidR="00711CA6" w:rsidRDefault="00711C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charset w:val="02"/>
    <w:family w:val="decorative"/>
    <w:pitch w:val="default"/>
    <w:sig w:usb0="00000000" w:usb1="0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FC6A1B" w14:textId="77777777" w:rsidR="00711CA6" w:rsidRDefault="00711CA6">
      <w:r>
        <w:separator/>
      </w:r>
    </w:p>
  </w:footnote>
  <w:footnote w:type="continuationSeparator" w:id="0">
    <w:p w14:paraId="7C873F2C" w14:textId="77777777" w:rsidR="00711CA6" w:rsidRDefault="00711C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D02ACB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006E87"/>
    <w:multiLevelType w:val="hybridMultilevel"/>
    <w:tmpl w:val="F3328B0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286C54"/>
    <w:multiLevelType w:val="hybridMultilevel"/>
    <w:tmpl w:val="3D9AC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6615BA"/>
    <w:multiLevelType w:val="hybridMultilevel"/>
    <w:tmpl w:val="728A748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1520" w:hanging="44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C0014C3"/>
    <w:multiLevelType w:val="hybridMultilevel"/>
    <w:tmpl w:val="736C86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F501603"/>
    <w:multiLevelType w:val="hybridMultilevel"/>
    <w:tmpl w:val="8A74ECA4"/>
    <w:lvl w:ilvl="0" w:tplc="4C8C2B38">
      <w:numFmt w:val="bullet"/>
      <w:lvlText w:val="-"/>
      <w:lvlJc w:val="left"/>
      <w:pPr>
        <w:ind w:left="760" w:hanging="360"/>
      </w:pPr>
      <w:rPr>
        <w:rFonts w:ascii="Times New Roman" w:eastAsia="SimSu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0FEB4AA5"/>
    <w:multiLevelType w:val="hybridMultilevel"/>
    <w:tmpl w:val="B65A44A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2771C35"/>
    <w:multiLevelType w:val="hybridMultilevel"/>
    <w:tmpl w:val="BCDCC8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6172D08"/>
    <w:multiLevelType w:val="hybridMultilevel"/>
    <w:tmpl w:val="970C1EAA"/>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86918EB"/>
    <w:multiLevelType w:val="hybridMultilevel"/>
    <w:tmpl w:val="2C0068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tentative="1">
      <w:start w:val="1"/>
      <w:numFmt w:val="bullet"/>
      <w:lvlText w:val="•"/>
      <w:lvlJc w:val="left"/>
      <w:pPr>
        <w:tabs>
          <w:tab w:val="num" w:pos="2520"/>
        </w:tabs>
        <w:ind w:left="2520" w:hanging="360"/>
      </w:pPr>
      <w:rPr>
        <w:rFonts w:ascii="Arial" w:hAnsi="Arial" w:hint="default"/>
      </w:rPr>
    </w:lvl>
    <w:lvl w:ilvl="4" w:tplc="887EF288" w:tentative="1">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B960BF0"/>
    <w:multiLevelType w:val="hybridMultilevel"/>
    <w:tmpl w:val="0D7A4A84"/>
    <w:lvl w:ilvl="0" w:tplc="43FEF6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1D28413A"/>
    <w:multiLevelType w:val="hybridMultilevel"/>
    <w:tmpl w:val="215627F8"/>
    <w:lvl w:ilvl="0" w:tplc="62828966">
      <w:start w:val="40"/>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1D4D45D5"/>
    <w:multiLevelType w:val="hybridMultilevel"/>
    <w:tmpl w:val="9B327D20"/>
    <w:lvl w:ilvl="0" w:tplc="6172D060">
      <w:start w:val="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33A0DB5"/>
    <w:multiLevelType w:val="hybridMultilevel"/>
    <w:tmpl w:val="9510F5E2"/>
    <w:lvl w:ilvl="0" w:tplc="04090001">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15:restartNumberingAfterBreak="0">
    <w:nsid w:val="27B50C33"/>
    <w:multiLevelType w:val="hybridMultilevel"/>
    <w:tmpl w:val="405A4708"/>
    <w:lvl w:ilvl="0" w:tplc="04090003">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1" w15:restartNumberingAfterBreak="0">
    <w:nsid w:val="281E49B9"/>
    <w:multiLevelType w:val="hybridMultilevel"/>
    <w:tmpl w:val="E15056DE"/>
    <w:lvl w:ilvl="0" w:tplc="6B76F2B6">
      <w:start w:val="202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AD32A51"/>
    <w:multiLevelType w:val="hybridMultilevel"/>
    <w:tmpl w:val="986604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4672" w:hanging="42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C044C46"/>
    <w:multiLevelType w:val="hybridMultilevel"/>
    <w:tmpl w:val="BEDEDD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1E02386"/>
    <w:multiLevelType w:val="multilevel"/>
    <w:tmpl w:val="94B217CC"/>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6"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38EB3F39"/>
    <w:multiLevelType w:val="hybridMultilevel"/>
    <w:tmpl w:val="4C3605E8"/>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9AA6672"/>
    <w:multiLevelType w:val="hybridMultilevel"/>
    <w:tmpl w:val="5448C17A"/>
    <w:lvl w:ilvl="0" w:tplc="B36E1D98">
      <w:start w:val="1"/>
      <w:numFmt w:val="bullet"/>
      <w:lvlText w:val="-"/>
      <w:lvlJc w:val="left"/>
      <w:pPr>
        <w:tabs>
          <w:tab w:val="num" w:pos="360"/>
        </w:tabs>
        <w:ind w:left="360" w:hanging="360"/>
      </w:pPr>
      <w:rPr>
        <w:rFonts w:ascii="Calibri" w:eastAsiaTheme="minorHAnsi" w:hAnsi="Calibri" w:cs="Calibri"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D70800BC">
      <w:numFmt w:val="bullet"/>
      <w:lvlText w:val="-"/>
      <w:lvlJc w:val="left"/>
      <w:pPr>
        <w:ind w:left="3960" w:hanging="360"/>
      </w:pPr>
      <w:rPr>
        <w:rFonts w:ascii="Times New Roman" w:eastAsia="맑은 고딕" w:hAnsi="Times New Roman" w:cs="Times New Roman"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39DB4617"/>
    <w:multiLevelType w:val="hybridMultilevel"/>
    <w:tmpl w:val="A0BA78DC"/>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2EF4A84A">
      <w:start w:val="29"/>
      <w:numFmt w:val="bullet"/>
      <w:lvlText w:val=""/>
      <w:lvlJc w:val="left"/>
      <w:pPr>
        <w:ind w:left="1484" w:hanging="360"/>
      </w:pPr>
      <w:rPr>
        <w:rFonts w:ascii="Wingdings" w:eastAsia="맑은 고딕" w:hAnsi="Wingdings"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3AB03465"/>
    <w:multiLevelType w:val="hybridMultilevel"/>
    <w:tmpl w:val="4530C3B0"/>
    <w:lvl w:ilvl="0" w:tplc="7EB0BD06">
      <w:start w:val="4"/>
      <w:numFmt w:val="bullet"/>
      <w:lvlText w:val=""/>
      <w:lvlJc w:val="left"/>
      <w:pPr>
        <w:ind w:left="800" w:hanging="360"/>
      </w:pPr>
      <w:rPr>
        <w:rFonts w:ascii="Wingdings" w:eastAsiaTheme="minorEastAsia"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2"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3" w15:restartNumberingAfterBreak="0">
    <w:nsid w:val="471942DA"/>
    <w:multiLevelType w:val="hybridMultilevel"/>
    <w:tmpl w:val="EFCAAD1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76D5516"/>
    <w:multiLevelType w:val="hybridMultilevel"/>
    <w:tmpl w:val="4ED4AAF6"/>
    <w:lvl w:ilvl="0" w:tplc="3DE4B8DC">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6" w15:restartNumberingAfterBreak="0">
    <w:nsid w:val="4AAF537C"/>
    <w:multiLevelType w:val="multilevel"/>
    <w:tmpl w:val="15860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CE2381F"/>
    <w:multiLevelType w:val="hybridMultilevel"/>
    <w:tmpl w:val="45309AA0"/>
    <w:lvl w:ilvl="0" w:tplc="73D4F35A">
      <w:start w:val="6"/>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 w15:restartNumberingAfterBreak="0">
    <w:nsid w:val="4E9168EF"/>
    <w:multiLevelType w:val="hybridMultilevel"/>
    <w:tmpl w:val="CF324A3C"/>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50E120A7"/>
    <w:multiLevelType w:val="hybridMultilevel"/>
    <w:tmpl w:val="5BC6536C"/>
    <w:lvl w:ilvl="0" w:tplc="BD12EDBE">
      <w:start w:val="2"/>
      <w:numFmt w:val="bullet"/>
      <w:lvlText w:val=""/>
      <w:lvlJc w:val="left"/>
      <w:pPr>
        <w:ind w:left="760" w:hanging="360"/>
      </w:pPr>
      <w:rPr>
        <w:rFonts w:ascii="Wingdings" w:eastAsia="맑은 고딕" w:hAnsi="Wingdings"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537033A0"/>
    <w:multiLevelType w:val="hybridMultilevel"/>
    <w:tmpl w:val="CAF6FCAE"/>
    <w:lvl w:ilvl="0" w:tplc="9536A8EA">
      <w:start w:val="202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537F69A2"/>
    <w:multiLevelType w:val="hybridMultilevel"/>
    <w:tmpl w:val="88AEF1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5487B53"/>
    <w:multiLevelType w:val="multilevel"/>
    <w:tmpl w:val="E2C64C82"/>
    <w:lvl w:ilvl="0">
      <w:start w:val="1"/>
      <w:numFmt w:val="decimal"/>
      <w:lvlText w:val="%1"/>
      <w:lvlJc w:val="left"/>
      <w:pPr>
        <w:tabs>
          <w:tab w:val="num" w:pos="425"/>
        </w:tabs>
        <w:ind w:left="425" w:hanging="425"/>
      </w:pPr>
      <w:rPr>
        <w:color w:val="auto"/>
      </w:rPr>
    </w:lvl>
    <w:lvl w:ilvl="1">
      <w:start w:val="1"/>
      <w:numFmt w:val="decimal"/>
      <w:lvlText w:val="%1.%2"/>
      <w:lvlJc w:val="left"/>
      <w:pPr>
        <w:tabs>
          <w:tab w:val="num" w:pos="927"/>
        </w:tabs>
        <w:ind w:left="927" w:hanging="567"/>
      </w:pPr>
      <w:rPr>
        <w:b w:val="0"/>
        <w:bCs w:val="0"/>
        <w:strike w:val="0"/>
        <w:dstrike w:val="0"/>
        <w:u w:val="none"/>
        <w:effect w:val="none"/>
      </w:rPr>
    </w:lvl>
    <w:lvl w:ilvl="2">
      <w:start w:val="1"/>
      <w:numFmt w:val="decimal"/>
      <w:lvlText w:val="%1.%2.%3"/>
      <w:lvlJc w:val="left"/>
      <w:pPr>
        <w:tabs>
          <w:tab w:val="num" w:pos="1737"/>
        </w:tabs>
        <w:ind w:left="1737" w:hanging="567"/>
      </w:pPr>
      <w:rPr>
        <w:color w:val="auto"/>
        <w:lang w:val="en-US"/>
      </w:rPr>
    </w:lvl>
    <w:lvl w:ilvl="3">
      <w:start w:val="1"/>
      <w:numFmt w:val="decimal"/>
      <w:lvlText w:val="%1.%2.%3.%4"/>
      <w:lvlJc w:val="left"/>
      <w:pPr>
        <w:tabs>
          <w:tab w:val="num" w:pos="1842"/>
        </w:tabs>
        <w:ind w:left="1985" w:hanging="851"/>
      </w:pPr>
    </w:lvl>
    <w:lvl w:ilvl="4">
      <w:start w:val="1"/>
      <w:numFmt w:val="decimal"/>
      <w:lvlText w:val="%1.%2.%3.%4.%5"/>
      <w:lvlJc w:val="left"/>
      <w:pPr>
        <w:tabs>
          <w:tab w:val="num" w:pos="3402"/>
        </w:tabs>
        <w:ind w:left="3402"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44" w15:restartNumberingAfterBreak="0">
    <w:nsid w:val="556372C1"/>
    <w:multiLevelType w:val="hybridMultilevel"/>
    <w:tmpl w:val="6AB4F1B0"/>
    <w:lvl w:ilvl="0" w:tplc="FF3439B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57EB1D3A"/>
    <w:multiLevelType w:val="hybridMultilevel"/>
    <w:tmpl w:val="80FA79BC"/>
    <w:lvl w:ilvl="0" w:tplc="7B469556">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58B73482"/>
    <w:multiLevelType w:val="hybridMultilevel"/>
    <w:tmpl w:val="1C46F44E"/>
    <w:lvl w:ilvl="0" w:tplc="08090001">
      <w:start w:val="1"/>
      <w:numFmt w:val="bullet"/>
      <w:lvlText w:val=""/>
      <w:lvlJc w:val="left"/>
      <w:pPr>
        <w:ind w:left="502" w:hanging="360"/>
      </w:pPr>
      <w:rPr>
        <w:rFonts w:ascii="Symbol" w:hAnsi="Symbol" w:hint="default"/>
      </w:rPr>
    </w:lvl>
    <w:lvl w:ilvl="1" w:tplc="04190003">
      <w:start w:val="1"/>
      <w:numFmt w:val="bullet"/>
      <w:lvlText w:val="o"/>
      <w:lvlJc w:val="left"/>
      <w:pPr>
        <w:ind w:left="643" w:hanging="360"/>
      </w:pPr>
      <w:rPr>
        <w:rFonts w:ascii="Courier New" w:hAnsi="Courier New" w:cs="Courier New" w:hint="default"/>
      </w:rPr>
    </w:lvl>
    <w:lvl w:ilvl="2" w:tplc="04190005">
      <w:start w:val="1"/>
      <w:numFmt w:val="bullet"/>
      <w:lvlText w:val=""/>
      <w:lvlJc w:val="left"/>
      <w:pPr>
        <w:ind w:left="927" w:hanging="360"/>
      </w:pPr>
      <w:rPr>
        <w:rFonts w:ascii="Wingdings" w:hAnsi="Wingdings" w:hint="default"/>
      </w:rPr>
    </w:lvl>
    <w:lvl w:ilvl="3" w:tplc="04190001">
      <w:start w:val="1"/>
      <w:numFmt w:val="bullet"/>
      <w:lvlText w:val=""/>
      <w:lvlJc w:val="left"/>
      <w:pPr>
        <w:ind w:left="1636"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8" w15:restartNumberingAfterBreak="0">
    <w:nsid w:val="5D0428C3"/>
    <w:multiLevelType w:val="hybridMultilevel"/>
    <w:tmpl w:val="F24E26AE"/>
    <w:lvl w:ilvl="0" w:tplc="04090001">
      <w:start w:val="1"/>
      <w:numFmt w:val="bullet"/>
      <w:lvlText w:val=""/>
      <w:lvlJc w:val="left"/>
      <w:pPr>
        <w:ind w:left="400" w:hanging="40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9" w15:restartNumberingAfterBreak="0">
    <w:nsid w:val="5DB364D8"/>
    <w:multiLevelType w:val="hybridMultilevel"/>
    <w:tmpl w:val="F07A1C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E7752F0"/>
    <w:multiLevelType w:val="hybridMultilevel"/>
    <w:tmpl w:val="149AB7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2B20AB0"/>
    <w:multiLevelType w:val="hybridMultilevel"/>
    <w:tmpl w:val="87CC180C"/>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3" w15:restartNumberingAfterBreak="0">
    <w:nsid w:val="67225D45"/>
    <w:multiLevelType w:val="multilevel"/>
    <w:tmpl w:val="AFC6E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7CE21BD"/>
    <w:multiLevelType w:val="hybridMultilevel"/>
    <w:tmpl w:val="2E9A2172"/>
    <w:lvl w:ilvl="0" w:tplc="43B851CA">
      <w:start w:val="3"/>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5" w15:restartNumberingAfterBreak="0">
    <w:nsid w:val="690542E2"/>
    <w:multiLevelType w:val="multilevel"/>
    <w:tmpl w:val="52F8765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707C0E1A"/>
    <w:multiLevelType w:val="hybridMultilevel"/>
    <w:tmpl w:val="C1929A98"/>
    <w:lvl w:ilvl="0" w:tplc="E8B291D2">
      <w:start w:val="2"/>
      <w:numFmt w:val="bullet"/>
      <w:lvlText w:val=""/>
      <w:lvlJc w:val="left"/>
      <w:pPr>
        <w:ind w:left="800" w:hanging="360"/>
      </w:pPr>
      <w:rPr>
        <w:rFonts w:ascii="Wingdings" w:eastAsia="맑은 고딕" w:hAnsi="Wingdings"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7" w15:restartNumberingAfterBreak="0">
    <w:nsid w:val="72031AC8"/>
    <w:multiLevelType w:val="hybridMultilevel"/>
    <w:tmpl w:val="42D42448"/>
    <w:lvl w:ilvl="0" w:tplc="04090003">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9" w15:restartNumberingAfterBreak="0">
    <w:nsid w:val="74DC7D6E"/>
    <w:multiLevelType w:val="hybridMultilevel"/>
    <w:tmpl w:val="23ACFC96"/>
    <w:lvl w:ilvl="0" w:tplc="04090003">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0" w15:restartNumberingAfterBreak="0">
    <w:nsid w:val="764C12F9"/>
    <w:multiLevelType w:val="hybridMultilevel"/>
    <w:tmpl w:val="FDD461E6"/>
    <w:lvl w:ilvl="0" w:tplc="FFDE7D6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1" w15:restartNumberingAfterBreak="0">
    <w:nsid w:val="78523062"/>
    <w:multiLevelType w:val="hybridMultilevel"/>
    <w:tmpl w:val="1FDA519A"/>
    <w:lvl w:ilvl="0" w:tplc="5A5CF9C8">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A526981"/>
    <w:multiLevelType w:val="hybridMultilevel"/>
    <w:tmpl w:val="536EF56E"/>
    <w:lvl w:ilvl="0" w:tplc="D85CCCA4">
      <w:start w:val="3"/>
      <w:numFmt w:val="bullet"/>
      <w:lvlText w:val="-"/>
      <w:lvlJc w:val="left"/>
      <w:pPr>
        <w:ind w:left="760" w:hanging="360"/>
      </w:pPr>
      <w:rPr>
        <w:rFonts w:ascii="Times New Roman" w:eastAsia="맑은 고딕" w:hAnsi="Times New Roman" w:cs="Times New Roman" w:hint="default"/>
      </w:rPr>
    </w:lvl>
    <w:lvl w:ilvl="1" w:tplc="3A703250">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BD02ACA"/>
    <w:multiLevelType w:val="hybridMultilevel"/>
    <w:tmpl w:val="982408CE"/>
    <w:lvl w:ilvl="0" w:tplc="9CCCCB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7D96448F"/>
    <w:multiLevelType w:val="hybridMultilevel"/>
    <w:tmpl w:val="3E06F79C"/>
    <w:lvl w:ilvl="0" w:tplc="C3BA489E">
      <w:start w:val="1"/>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859541431">
    <w:abstractNumId w:val="24"/>
  </w:num>
  <w:num w:numId="2" w16cid:durableId="2035111391">
    <w:abstractNumId w:val="30"/>
  </w:num>
  <w:num w:numId="3" w16cid:durableId="164129890">
    <w:abstractNumId w:val="64"/>
  </w:num>
  <w:num w:numId="4" w16cid:durableId="955211176">
    <w:abstractNumId w:val="25"/>
  </w:num>
  <w:num w:numId="5" w16cid:durableId="386150596">
    <w:abstractNumId w:val="35"/>
  </w:num>
  <w:num w:numId="6" w16cid:durableId="674579856">
    <w:abstractNumId w:val="63"/>
  </w:num>
  <w:num w:numId="7" w16cid:durableId="938800">
    <w:abstractNumId w:val="18"/>
  </w:num>
  <w:num w:numId="8" w16cid:durableId="1679892369">
    <w:abstractNumId w:val="48"/>
  </w:num>
  <w:num w:numId="9" w16cid:durableId="1600991469">
    <w:abstractNumId w:val="49"/>
  </w:num>
  <w:num w:numId="10" w16cid:durableId="1978293041">
    <w:abstractNumId w:val="9"/>
  </w:num>
  <w:num w:numId="11" w16cid:durableId="1399085895">
    <w:abstractNumId w:val="28"/>
  </w:num>
  <w:num w:numId="12" w16cid:durableId="294912917">
    <w:abstractNumId w:val="20"/>
  </w:num>
  <w:num w:numId="13" w16cid:durableId="273706452">
    <w:abstractNumId w:val="44"/>
  </w:num>
  <w:num w:numId="14" w16cid:durableId="1245918586">
    <w:abstractNumId w:val="60"/>
  </w:num>
  <w:num w:numId="15" w16cid:durableId="1288581863">
    <w:abstractNumId w:val="8"/>
  </w:num>
  <w:num w:numId="16" w16cid:durableId="1416782349">
    <w:abstractNumId w:val="39"/>
  </w:num>
  <w:num w:numId="17" w16cid:durableId="1454055667">
    <w:abstractNumId w:val="21"/>
  </w:num>
  <w:num w:numId="18" w16cid:durableId="1978485689">
    <w:abstractNumId w:val="41"/>
  </w:num>
  <w:num w:numId="19" w16cid:durableId="119306850">
    <w:abstractNumId w:val="13"/>
  </w:num>
  <w:num w:numId="20" w16cid:durableId="450784339">
    <w:abstractNumId w:val="10"/>
  </w:num>
  <w:num w:numId="21" w16cid:durableId="1371763949">
    <w:abstractNumId w:val="29"/>
  </w:num>
  <w:num w:numId="22" w16cid:durableId="2067213968">
    <w:abstractNumId w:val="14"/>
  </w:num>
  <w:num w:numId="23" w16cid:durableId="675499757">
    <w:abstractNumId w:val="65"/>
  </w:num>
  <w:num w:numId="24" w16cid:durableId="168255815">
    <w:abstractNumId w:val="38"/>
  </w:num>
  <w:num w:numId="25" w16cid:durableId="276644436">
    <w:abstractNumId w:val="47"/>
  </w:num>
  <w:num w:numId="26" w16cid:durableId="83186525">
    <w:abstractNumId w:val="17"/>
  </w:num>
  <w:num w:numId="27" w16cid:durableId="1464611927">
    <w:abstractNumId w:val="12"/>
  </w:num>
  <w:num w:numId="28" w16cid:durableId="1450785465">
    <w:abstractNumId w:val="22"/>
  </w:num>
  <w:num w:numId="29" w16cid:durableId="1977221624">
    <w:abstractNumId w:val="22"/>
  </w:num>
  <w:num w:numId="30" w16cid:durableId="1547133492">
    <w:abstractNumId w:val="51"/>
  </w:num>
  <w:num w:numId="31" w16cid:durableId="2050951595">
    <w:abstractNumId w:val="1"/>
  </w:num>
  <w:num w:numId="32" w16cid:durableId="1736077284">
    <w:abstractNumId w:val="45"/>
  </w:num>
  <w:num w:numId="33" w16cid:durableId="839655697">
    <w:abstractNumId w:val="27"/>
  </w:num>
  <w:num w:numId="34" w16cid:durableId="10836431">
    <w:abstractNumId w:val="62"/>
  </w:num>
  <w:num w:numId="35" w16cid:durableId="1526943043">
    <w:abstractNumId w:val="5"/>
  </w:num>
  <w:num w:numId="36" w16cid:durableId="479736374">
    <w:abstractNumId w:val="59"/>
  </w:num>
  <w:num w:numId="37" w16cid:durableId="1207912786">
    <w:abstractNumId w:val="58"/>
  </w:num>
  <w:num w:numId="38" w16cid:durableId="1122764786">
    <w:abstractNumId w:val="11"/>
  </w:num>
  <w:num w:numId="39" w16cid:durableId="536360410">
    <w:abstractNumId w:val="52"/>
  </w:num>
  <w:num w:numId="40" w16cid:durableId="290206156">
    <w:abstractNumId w:val="40"/>
  </w:num>
  <w:num w:numId="41" w16cid:durableId="1495757946">
    <w:abstractNumId w:val="32"/>
  </w:num>
  <w:num w:numId="42" w16cid:durableId="151335650">
    <w:abstractNumId w:val="2"/>
  </w:num>
  <w:num w:numId="43" w16cid:durableId="388069439">
    <w:abstractNumId w:val="6"/>
  </w:num>
  <w:num w:numId="44" w16cid:durableId="610672572">
    <w:abstractNumId w:val="23"/>
  </w:num>
  <w:num w:numId="45" w16cid:durableId="646712119">
    <w:abstractNumId w:val="57"/>
  </w:num>
  <w:num w:numId="46" w16cid:durableId="1944530116">
    <w:abstractNumId w:val="42"/>
  </w:num>
  <w:num w:numId="47" w16cid:durableId="1345521045">
    <w:abstractNumId w:val="7"/>
  </w:num>
  <w:num w:numId="48" w16cid:durableId="731854815">
    <w:abstractNumId w:val="33"/>
  </w:num>
  <w:num w:numId="49" w16cid:durableId="2001737713">
    <w:abstractNumId w:val="3"/>
  </w:num>
  <w:num w:numId="50" w16cid:durableId="1696345980">
    <w:abstractNumId w:val="26"/>
  </w:num>
  <w:num w:numId="51" w16cid:durableId="45340997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778139649">
    <w:abstractNumId w:val="4"/>
  </w:num>
  <w:num w:numId="53" w16cid:durableId="777218402">
    <w:abstractNumId w:val="46"/>
  </w:num>
  <w:num w:numId="54" w16cid:durableId="1339231437">
    <w:abstractNumId w:val="37"/>
  </w:num>
  <w:num w:numId="55" w16cid:durableId="993143215">
    <w:abstractNumId w:val="0"/>
  </w:num>
  <w:num w:numId="56" w16cid:durableId="1195995214">
    <w:abstractNumId w:val="54"/>
  </w:num>
  <w:num w:numId="57" w16cid:durableId="525869826">
    <w:abstractNumId w:val="61"/>
  </w:num>
  <w:num w:numId="58" w16cid:durableId="1989238906">
    <w:abstractNumId w:val="24"/>
  </w:num>
  <w:num w:numId="59" w16cid:durableId="1730373254">
    <w:abstractNumId w:val="53"/>
  </w:num>
  <w:num w:numId="60" w16cid:durableId="1850637928">
    <w:abstractNumId w:val="36"/>
  </w:num>
  <w:num w:numId="61" w16cid:durableId="1799448468">
    <w:abstractNumId w:val="24"/>
  </w:num>
  <w:num w:numId="62" w16cid:durableId="666131672">
    <w:abstractNumId w:val="15"/>
  </w:num>
  <w:num w:numId="63" w16cid:durableId="329409264">
    <w:abstractNumId w:val="50"/>
  </w:num>
  <w:num w:numId="64" w16cid:durableId="1585148187">
    <w:abstractNumId w:val="55"/>
  </w:num>
  <w:num w:numId="65" w16cid:durableId="396519481">
    <w:abstractNumId w:val="34"/>
  </w:num>
  <w:num w:numId="66" w16cid:durableId="1774590544">
    <w:abstractNumId w:val="19"/>
  </w:num>
  <w:num w:numId="67" w16cid:durableId="1993873431">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37264759">
    <w:abstractNumId w:val="47"/>
  </w:num>
  <w:num w:numId="69" w16cid:durableId="1197237227">
    <w:abstractNumId w:val="56"/>
  </w:num>
  <w:num w:numId="70" w16cid:durableId="1151361221">
    <w:abstractNumId w:val="16"/>
  </w:num>
  <w:num w:numId="71" w16cid:durableId="1620527904">
    <w:abstractNumId w:val="66"/>
  </w:num>
  <w:num w:numId="72" w16cid:durableId="1399203703">
    <w:abstractNumId w:val="3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pt-BR"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sDQwNjc3MzUzNDExMjRS0lEKTi0uzszPAykwrgUAq5RA6CwAAAA="/>
  </w:docVars>
  <w:rsids>
    <w:rsidRoot w:val="00586410"/>
    <w:rsid w:val="00000202"/>
    <w:rsid w:val="00001019"/>
    <w:rsid w:val="0000133C"/>
    <w:rsid w:val="00001758"/>
    <w:rsid w:val="00001A21"/>
    <w:rsid w:val="000027AE"/>
    <w:rsid w:val="00003809"/>
    <w:rsid w:val="00003865"/>
    <w:rsid w:val="000038EE"/>
    <w:rsid w:val="00004222"/>
    <w:rsid w:val="00004378"/>
    <w:rsid w:val="000048BC"/>
    <w:rsid w:val="000051AC"/>
    <w:rsid w:val="00005663"/>
    <w:rsid w:val="00005812"/>
    <w:rsid w:val="00005B30"/>
    <w:rsid w:val="00005ECD"/>
    <w:rsid w:val="00006544"/>
    <w:rsid w:val="00006A1D"/>
    <w:rsid w:val="00006C26"/>
    <w:rsid w:val="00006F28"/>
    <w:rsid w:val="000071F2"/>
    <w:rsid w:val="00007466"/>
    <w:rsid w:val="000075E8"/>
    <w:rsid w:val="0000772D"/>
    <w:rsid w:val="00007FCC"/>
    <w:rsid w:val="000106E9"/>
    <w:rsid w:val="00011776"/>
    <w:rsid w:val="00011B6C"/>
    <w:rsid w:val="00011FFC"/>
    <w:rsid w:val="0001233B"/>
    <w:rsid w:val="00012A05"/>
    <w:rsid w:val="00012A70"/>
    <w:rsid w:val="00012D35"/>
    <w:rsid w:val="000139AA"/>
    <w:rsid w:val="000139D7"/>
    <w:rsid w:val="00014883"/>
    <w:rsid w:val="000157BB"/>
    <w:rsid w:val="00015C67"/>
    <w:rsid w:val="000163E5"/>
    <w:rsid w:val="00016438"/>
    <w:rsid w:val="00016A78"/>
    <w:rsid w:val="00016F60"/>
    <w:rsid w:val="0002083D"/>
    <w:rsid w:val="000233B6"/>
    <w:rsid w:val="000237F0"/>
    <w:rsid w:val="0002422D"/>
    <w:rsid w:val="000245B1"/>
    <w:rsid w:val="00024D99"/>
    <w:rsid w:val="00025C67"/>
    <w:rsid w:val="000262E1"/>
    <w:rsid w:val="00026625"/>
    <w:rsid w:val="000267C4"/>
    <w:rsid w:val="00026AA5"/>
    <w:rsid w:val="00026F6E"/>
    <w:rsid w:val="000272E1"/>
    <w:rsid w:val="00027E30"/>
    <w:rsid w:val="00030218"/>
    <w:rsid w:val="0003022D"/>
    <w:rsid w:val="00030706"/>
    <w:rsid w:val="000314F4"/>
    <w:rsid w:val="000316D2"/>
    <w:rsid w:val="00031A51"/>
    <w:rsid w:val="000327F6"/>
    <w:rsid w:val="00032B66"/>
    <w:rsid w:val="00032EED"/>
    <w:rsid w:val="0003395E"/>
    <w:rsid w:val="000340F9"/>
    <w:rsid w:val="00034310"/>
    <w:rsid w:val="000348A1"/>
    <w:rsid w:val="000354D9"/>
    <w:rsid w:val="00035742"/>
    <w:rsid w:val="00035FFD"/>
    <w:rsid w:val="0003685D"/>
    <w:rsid w:val="00037BA8"/>
    <w:rsid w:val="00037EA5"/>
    <w:rsid w:val="00040120"/>
    <w:rsid w:val="00040457"/>
    <w:rsid w:val="0004067A"/>
    <w:rsid w:val="000407F1"/>
    <w:rsid w:val="00040A5F"/>
    <w:rsid w:val="0004141E"/>
    <w:rsid w:val="000417AC"/>
    <w:rsid w:val="000425A7"/>
    <w:rsid w:val="00042CB1"/>
    <w:rsid w:val="00042E6B"/>
    <w:rsid w:val="00043159"/>
    <w:rsid w:val="00043330"/>
    <w:rsid w:val="0004373D"/>
    <w:rsid w:val="00044289"/>
    <w:rsid w:val="000444ED"/>
    <w:rsid w:val="00044D9B"/>
    <w:rsid w:val="00045717"/>
    <w:rsid w:val="00046A40"/>
    <w:rsid w:val="00046CA0"/>
    <w:rsid w:val="00047229"/>
    <w:rsid w:val="0004742B"/>
    <w:rsid w:val="00047A74"/>
    <w:rsid w:val="00047C3B"/>
    <w:rsid w:val="00047FF2"/>
    <w:rsid w:val="00050023"/>
    <w:rsid w:val="00050033"/>
    <w:rsid w:val="0005024B"/>
    <w:rsid w:val="00050264"/>
    <w:rsid w:val="00050882"/>
    <w:rsid w:val="00051F83"/>
    <w:rsid w:val="00052540"/>
    <w:rsid w:val="00052754"/>
    <w:rsid w:val="0005284E"/>
    <w:rsid w:val="00052C4D"/>
    <w:rsid w:val="000535A1"/>
    <w:rsid w:val="0005399B"/>
    <w:rsid w:val="00053BA6"/>
    <w:rsid w:val="00053C07"/>
    <w:rsid w:val="00053CA7"/>
    <w:rsid w:val="00053E45"/>
    <w:rsid w:val="000547C1"/>
    <w:rsid w:val="000548F7"/>
    <w:rsid w:val="00055C20"/>
    <w:rsid w:val="00056D90"/>
    <w:rsid w:val="00057BAA"/>
    <w:rsid w:val="000604A8"/>
    <w:rsid w:val="0006072E"/>
    <w:rsid w:val="0006081C"/>
    <w:rsid w:val="00060F3A"/>
    <w:rsid w:val="00061143"/>
    <w:rsid w:val="000611E1"/>
    <w:rsid w:val="00061F03"/>
    <w:rsid w:val="000625AC"/>
    <w:rsid w:val="0006281E"/>
    <w:rsid w:val="000635B7"/>
    <w:rsid w:val="000635C4"/>
    <w:rsid w:val="00063782"/>
    <w:rsid w:val="000638F6"/>
    <w:rsid w:val="00064171"/>
    <w:rsid w:val="000642BA"/>
    <w:rsid w:val="00065751"/>
    <w:rsid w:val="00066156"/>
    <w:rsid w:val="000662E2"/>
    <w:rsid w:val="00067B1B"/>
    <w:rsid w:val="00070CBA"/>
    <w:rsid w:val="00071239"/>
    <w:rsid w:val="00071686"/>
    <w:rsid w:val="00072377"/>
    <w:rsid w:val="00073168"/>
    <w:rsid w:val="0007404B"/>
    <w:rsid w:val="000760BB"/>
    <w:rsid w:val="00076803"/>
    <w:rsid w:val="000769B6"/>
    <w:rsid w:val="00076B3D"/>
    <w:rsid w:val="00080010"/>
    <w:rsid w:val="000805B6"/>
    <w:rsid w:val="00081269"/>
    <w:rsid w:val="0008134D"/>
    <w:rsid w:val="00081C07"/>
    <w:rsid w:val="00081EAE"/>
    <w:rsid w:val="00082499"/>
    <w:rsid w:val="000837A6"/>
    <w:rsid w:val="000838A6"/>
    <w:rsid w:val="000845F6"/>
    <w:rsid w:val="00085A40"/>
    <w:rsid w:val="00085BB3"/>
    <w:rsid w:val="00086B02"/>
    <w:rsid w:val="000876CF"/>
    <w:rsid w:val="0008775A"/>
    <w:rsid w:val="00090091"/>
    <w:rsid w:val="00090376"/>
    <w:rsid w:val="00091733"/>
    <w:rsid w:val="00091A2F"/>
    <w:rsid w:val="00091A43"/>
    <w:rsid w:val="00091C35"/>
    <w:rsid w:val="00092869"/>
    <w:rsid w:val="00092AF3"/>
    <w:rsid w:val="00093366"/>
    <w:rsid w:val="000938A6"/>
    <w:rsid w:val="00093A63"/>
    <w:rsid w:val="00093DA6"/>
    <w:rsid w:val="0009433B"/>
    <w:rsid w:val="00094739"/>
    <w:rsid w:val="00094939"/>
    <w:rsid w:val="00094D83"/>
    <w:rsid w:val="0009531F"/>
    <w:rsid w:val="000959AF"/>
    <w:rsid w:val="000959BD"/>
    <w:rsid w:val="00095AEF"/>
    <w:rsid w:val="00095D74"/>
    <w:rsid w:val="00096BC3"/>
    <w:rsid w:val="00096C13"/>
    <w:rsid w:val="000A057B"/>
    <w:rsid w:val="000A130D"/>
    <w:rsid w:val="000A17E4"/>
    <w:rsid w:val="000A1A8B"/>
    <w:rsid w:val="000A1AC6"/>
    <w:rsid w:val="000A1B05"/>
    <w:rsid w:val="000A1FF3"/>
    <w:rsid w:val="000A28B4"/>
    <w:rsid w:val="000A3D2D"/>
    <w:rsid w:val="000A5706"/>
    <w:rsid w:val="000A6858"/>
    <w:rsid w:val="000A7249"/>
    <w:rsid w:val="000A7540"/>
    <w:rsid w:val="000A7A4A"/>
    <w:rsid w:val="000B00AF"/>
    <w:rsid w:val="000B024B"/>
    <w:rsid w:val="000B0576"/>
    <w:rsid w:val="000B0FFA"/>
    <w:rsid w:val="000B1B48"/>
    <w:rsid w:val="000B1DC7"/>
    <w:rsid w:val="000B2656"/>
    <w:rsid w:val="000B2D68"/>
    <w:rsid w:val="000B2D97"/>
    <w:rsid w:val="000B30BB"/>
    <w:rsid w:val="000B3173"/>
    <w:rsid w:val="000B3E85"/>
    <w:rsid w:val="000B46D4"/>
    <w:rsid w:val="000B5667"/>
    <w:rsid w:val="000B5668"/>
    <w:rsid w:val="000B5801"/>
    <w:rsid w:val="000B5EA9"/>
    <w:rsid w:val="000B5F4C"/>
    <w:rsid w:val="000B619B"/>
    <w:rsid w:val="000B63F0"/>
    <w:rsid w:val="000B6670"/>
    <w:rsid w:val="000B6B59"/>
    <w:rsid w:val="000B6CE8"/>
    <w:rsid w:val="000B6DEA"/>
    <w:rsid w:val="000B7C10"/>
    <w:rsid w:val="000C12E4"/>
    <w:rsid w:val="000C1F50"/>
    <w:rsid w:val="000C21CC"/>
    <w:rsid w:val="000C2D7C"/>
    <w:rsid w:val="000C2E51"/>
    <w:rsid w:val="000C30AC"/>
    <w:rsid w:val="000C3111"/>
    <w:rsid w:val="000C3717"/>
    <w:rsid w:val="000C3A65"/>
    <w:rsid w:val="000C401E"/>
    <w:rsid w:val="000C420A"/>
    <w:rsid w:val="000C499D"/>
    <w:rsid w:val="000C4B65"/>
    <w:rsid w:val="000C4F1D"/>
    <w:rsid w:val="000C5704"/>
    <w:rsid w:val="000C5C17"/>
    <w:rsid w:val="000C64BD"/>
    <w:rsid w:val="000C6BDE"/>
    <w:rsid w:val="000D010E"/>
    <w:rsid w:val="000D0272"/>
    <w:rsid w:val="000D0C94"/>
    <w:rsid w:val="000D182E"/>
    <w:rsid w:val="000D18DB"/>
    <w:rsid w:val="000D1DC6"/>
    <w:rsid w:val="000D2A77"/>
    <w:rsid w:val="000D2BC1"/>
    <w:rsid w:val="000D45A9"/>
    <w:rsid w:val="000D4BD9"/>
    <w:rsid w:val="000D5993"/>
    <w:rsid w:val="000D6427"/>
    <w:rsid w:val="000D690B"/>
    <w:rsid w:val="000D6E75"/>
    <w:rsid w:val="000D720A"/>
    <w:rsid w:val="000E08A0"/>
    <w:rsid w:val="000E0CAE"/>
    <w:rsid w:val="000E10EE"/>
    <w:rsid w:val="000E1410"/>
    <w:rsid w:val="000E2642"/>
    <w:rsid w:val="000E29D0"/>
    <w:rsid w:val="000E2DC1"/>
    <w:rsid w:val="000E2EF0"/>
    <w:rsid w:val="000E3344"/>
    <w:rsid w:val="000E3699"/>
    <w:rsid w:val="000E4506"/>
    <w:rsid w:val="000E4E4B"/>
    <w:rsid w:val="000E52A5"/>
    <w:rsid w:val="000E534A"/>
    <w:rsid w:val="000E5445"/>
    <w:rsid w:val="000E5D87"/>
    <w:rsid w:val="000E60CD"/>
    <w:rsid w:val="000E717F"/>
    <w:rsid w:val="000E79DE"/>
    <w:rsid w:val="000F0379"/>
    <w:rsid w:val="000F06FC"/>
    <w:rsid w:val="000F1A6F"/>
    <w:rsid w:val="000F3A10"/>
    <w:rsid w:val="000F3F61"/>
    <w:rsid w:val="000F43F1"/>
    <w:rsid w:val="000F4EEF"/>
    <w:rsid w:val="000F5465"/>
    <w:rsid w:val="000F6095"/>
    <w:rsid w:val="000F625E"/>
    <w:rsid w:val="000F65A2"/>
    <w:rsid w:val="000F6724"/>
    <w:rsid w:val="000F68D0"/>
    <w:rsid w:val="000F72FE"/>
    <w:rsid w:val="000F7F74"/>
    <w:rsid w:val="0010028A"/>
    <w:rsid w:val="00101117"/>
    <w:rsid w:val="00101259"/>
    <w:rsid w:val="00101522"/>
    <w:rsid w:val="00101B29"/>
    <w:rsid w:val="001022DE"/>
    <w:rsid w:val="0010279D"/>
    <w:rsid w:val="00103003"/>
    <w:rsid w:val="00103CE8"/>
    <w:rsid w:val="00103CFB"/>
    <w:rsid w:val="00103EDB"/>
    <w:rsid w:val="0010679F"/>
    <w:rsid w:val="00107622"/>
    <w:rsid w:val="00110799"/>
    <w:rsid w:val="001107BB"/>
    <w:rsid w:val="00110BBB"/>
    <w:rsid w:val="00110FD2"/>
    <w:rsid w:val="00111086"/>
    <w:rsid w:val="0011163C"/>
    <w:rsid w:val="00112143"/>
    <w:rsid w:val="0011311D"/>
    <w:rsid w:val="00113182"/>
    <w:rsid w:val="001131FA"/>
    <w:rsid w:val="0011326E"/>
    <w:rsid w:val="0011403C"/>
    <w:rsid w:val="001151BF"/>
    <w:rsid w:val="00115AF9"/>
    <w:rsid w:val="001161BE"/>
    <w:rsid w:val="001174BC"/>
    <w:rsid w:val="00117CF2"/>
    <w:rsid w:val="00117EE3"/>
    <w:rsid w:val="00117F07"/>
    <w:rsid w:val="00120A22"/>
    <w:rsid w:val="00121324"/>
    <w:rsid w:val="0012158E"/>
    <w:rsid w:val="0012160C"/>
    <w:rsid w:val="001231B8"/>
    <w:rsid w:val="00123209"/>
    <w:rsid w:val="001232E2"/>
    <w:rsid w:val="00123B37"/>
    <w:rsid w:val="00124035"/>
    <w:rsid w:val="00124228"/>
    <w:rsid w:val="00124F82"/>
    <w:rsid w:val="001253E7"/>
    <w:rsid w:val="00125F0D"/>
    <w:rsid w:val="001260A0"/>
    <w:rsid w:val="001263D0"/>
    <w:rsid w:val="00126FC9"/>
    <w:rsid w:val="0013002E"/>
    <w:rsid w:val="00130E73"/>
    <w:rsid w:val="001322C3"/>
    <w:rsid w:val="00132C3C"/>
    <w:rsid w:val="00132E4A"/>
    <w:rsid w:val="00133582"/>
    <w:rsid w:val="001337F4"/>
    <w:rsid w:val="00133962"/>
    <w:rsid w:val="00133B5A"/>
    <w:rsid w:val="00134532"/>
    <w:rsid w:val="0013495F"/>
    <w:rsid w:val="00134DE3"/>
    <w:rsid w:val="001350A9"/>
    <w:rsid w:val="001353BD"/>
    <w:rsid w:val="00135797"/>
    <w:rsid w:val="001357BA"/>
    <w:rsid w:val="00135836"/>
    <w:rsid w:val="001366D2"/>
    <w:rsid w:val="001367D9"/>
    <w:rsid w:val="001376C0"/>
    <w:rsid w:val="00137740"/>
    <w:rsid w:val="00137E9A"/>
    <w:rsid w:val="00140142"/>
    <w:rsid w:val="00140D7E"/>
    <w:rsid w:val="00140FC4"/>
    <w:rsid w:val="0014116F"/>
    <w:rsid w:val="00141FB9"/>
    <w:rsid w:val="0014213E"/>
    <w:rsid w:val="00143705"/>
    <w:rsid w:val="001447DB"/>
    <w:rsid w:val="00144BE0"/>
    <w:rsid w:val="001463F8"/>
    <w:rsid w:val="0014661C"/>
    <w:rsid w:val="001468D0"/>
    <w:rsid w:val="00146D23"/>
    <w:rsid w:val="00146DE9"/>
    <w:rsid w:val="00151C94"/>
    <w:rsid w:val="00151CE2"/>
    <w:rsid w:val="00152563"/>
    <w:rsid w:val="00152714"/>
    <w:rsid w:val="00153DB2"/>
    <w:rsid w:val="00154039"/>
    <w:rsid w:val="0015449F"/>
    <w:rsid w:val="001555A7"/>
    <w:rsid w:val="00155DF9"/>
    <w:rsid w:val="00156B4C"/>
    <w:rsid w:val="001572FF"/>
    <w:rsid w:val="00157485"/>
    <w:rsid w:val="001578CC"/>
    <w:rsid w:val="00157C70"/>
    <w:rsid w:val="001601E1"/>
    <w:rsid w:val="001608B9"/>
    <w:rsid w:val="00160BD7"/>
    <w:rsid w:val="00163259"/>
    <w:rsid w:val="00163882"/>
    <w:rsid w:val="001638B9"/>
    <w:rsid w:val="00163975"/>
    <w:rsid w:val="00164099"/>
    <w:rsid w:val="00164AAF"/>
    <w:rsid w:val="001669A0"/>
    <w:rsid w:val="00166AA2"/>
    <w:rsid w:val="001702AB"/>
    <w:rsid w:val="00170662"/>
    <w:rsid w:val="001706A2"/>
    <w:rsid w:val="00170713"/>
    <w:rsid w:val="001713E4"/>
    <w:rsid w:val="001714EA"/>
    <w:rsid w:val="00171565"/>
    <w:rsid w:val="001719AE"/>
    <w:rsid w:val="001720C6"/>
    <w:rsid w:val="00172284"/>
    <w:rsid w:val="0017274A"/>
    <w:rsid w:val="0017298A"/>
    <w:rsid w:val="00172F36"/>
    <w:rsid w:val="00173C77"/>
    <w:rsid w:val="00174101"/>
    <w:rsid w:val="00174AF9"/>
    <w:rsid w:val="00174EDF"/>
    <w:rsid w:val="001752CB"/>
    <w:rsid w:val="00175C01"/>
    <w:rsid w:val="00175FC5"/>
    <w:rsid w:val="00176169"/>
    <w:rsid w:val="00177429"/>
    <w:rsid w:val="001777BF"/>
    <w:rsid w:val="00180798"/>
    <w:rsid w:val="00180AB1"/>
    <w:rsid w:val="00180F1D"/>
    <w:rsid w:val="0018132A"/>
    <w:rsid w:val="001833AA"/>
    <w:rsid w:val="00183416"/>
    <w:rsid w:val="00183DDB"/>
    <w:rsid w:val="00184104"/>
    <w:rsid w:val="0018482E"/>
    <w:rsid w:val="00185672"/>
    <w:rsid w:val="00186472"/>
    <w:rsid w:val="00186925"/>
    <w:rsid w:val="0018717F"/>
    <w:rsid w:val="001909A3"/>
    <w:rsid w:val="00190F0B"/>
    <w:rsid w:val="00190FE5"/>
    <w:rsid w:val="00191020"/>
    <w:rsid w:val="0019198C"/>
    <w:rsid w:val="00192736"/>
    <w:rsid w:val="0019277C"/>
    <w:rsid w:val="001928E3"/>
    <w:rsid w:val="001931E6"/>
    <w:rsid w:val="00193375"/>
    <w:rsid w:val="001935E7"/>
    <w:rsid w:val="001940AC"/>
    <w:rsid w:val="001942ED"/>
    <w:rsid w:val="00194892"/>
    <w:rsid w:val="00194A20"/>
    <w:rsid w:val="00194D68"/>
    <w:rsid w:val="00194F8E"/>
    <w:rsid w:val="001952FC"/>
    <w:rsid w:val="00195776"/>
    <w:rsid w:val="0019577A"/>
    <w:rsid w:val="001958F1"/>
    <w:rsid w:val="00196E2B"/>
    <w:rsid w:val="00196F52"/>
    <w:rsid w:val="00197011"/>
    <w:rsid w:val="0019752A"/>
    <w:rsid w:val="001A0858"/>
    <w:rsid w:val="001A0D43"/>
    <w:rsid w:val="001A157B"/>
    <w:rsid w:val="001A1EA6"/>
    <w:rsid w:val="001A2850"/>
    <w:rsid w:val="001A35CB"/>
    <w:rsid w:val="001A3740"/>
    <w:rsid w:val="001A3AC1"/>
    <w:rsid w:val="001A443E"/>
    <w:rsid w:val="001A46F2"/>
    <w:rsid w:val="001A5586"/>
    <w:rsid w:val="001A6965"/>
    <w:rsid w:val="001A69FD"/>
    <w:rsid w:val="001A7419"/>
    <w:rsid w:val="001A7EF9"/>
    <w:rsid w:val="001B0CEB"/>
    <w:rsid w:val="001B0D15"/>
    <w:rsid w:val="001B0FAA"/>
    <w:rsid w:val="001B1376"/>
    <w:rsid w:val="001B1423"/>
    <w:rsid w:val="001B1A2F"/>
    <w:rsid w:val="001B1C91"/>
    <w:rsid w:val="001B1FBE"/>
    <w:rsid w:val="001B20A7"/>
    <w:rsid w:val="001B23F1"/>
    <w:rsid w:val="001B29A2"/>
    <w:rsid w:val="001B368B"/>
    <w:rsid w:val="001B3CA5"/>
    <w:rsid w:val="001B42BE"/>
    <w:rsid w:val="001B4435"/>
    <w:rsid w:val="001B4F28"/>
    <w:rsid w:val="001B555A"/>
    <w:rsid w:val="001B6151"/>
    <w:rsid w:val="001B76A7"/>
    <w:rsid w:val="001B7AAA"/>
    <w:rsid w:val="001C03E1"/>
    <w:rsid w:val="001C08D8"/>
    <w:rsid w:val="001C0985"/>
    <w:rsid w:val="001C17A8"/>
    <w:rsid w:val="001C19FC"/>
    <w:rsid w:val="001C22CE"/>
    <w:rsid w:val="001C341E"/>
    <w:rsid w:val="001C4394"/>
    <w:rsid w:val="001C46C3"/>
    <w:rsid w:val="001C590A"/>
    <w:rsid w:val="001C5ED9"/>
    <w:rsid w:val="001C60BF"/>
    <w:rsid w:val="001C63C9"/>
    <w:rsid w:val="001C68B4"/>
    <w:rsid w:val="001C6CBA"/>
    <w:rsid w:val="001C6CBE"/>
    <w:rsid w:val="001C71E5"/>
    <w:rsid w:val="001C76B6"/>
    <w:rsid w:val="001C76BC"/>
    <w:rsid w:val="001C7863"/>
    <w:rsid w:val="001D09D8"/>
    <w:rsid w:val="001D1AF4"/>
    <w:rsid w:val="001D1BA7"/>
    <w:rsid w:val="001D254D"/>
    <w:rsid w:val="001D29F5"/>
    <w:rsid w:val="001D3046"/>
    <w:rsid w:val="001D38B2"/>
    <w:rsid w:val="001D3D45"/>
    <w:rsid w:val="001D44BA"/>
    <w:rsid w:val="001D4697"/>
    <w:rsid w:val="001D4CAF"/>
    <w:rsid w:val="001D5ED6"/>
    <w:rsid w:val="001D5F74"/>
    <w:rsid w:val="001D6425"/>
    <w:rsid w:val="001D6B94"/>
    <w:rsid w:val="001D7554"/>
    <w:rsid w:val="001D7D9E"/>
    <w:rsid w:val="001E0211"/>
    <w:rsid w:val="001E06CF"/>
    <w:rsid w:val="001E0ADA"/>
    <w:rsid w:val="001E10D6"/>
    <w:rsid w:val="001E11BB"/>
    <w:rsid w:val="001E1778"/>
    <w:rsid w:val="001E17CA"/>
    <w:rsid w:val="001E189E"/>
    <w:rsid w:val="001E18B4"/>
    <w:rsid w:val="001E1F8B"/>
    <w:rsid w:val="001E2092"/>
    <w:rsid w:val="001E2160"/>
    <w:rsid w:val="001E2298"/>
    <w:rsid w:val="001E2577"/>
    <w:rsid w:val="001E325E"/>
    <w:rsid w:val="001E33D6"/>
    <w:rsid w:val="001E35CF"/>
    <w:rsid w:val="001E394C"/>
    <w:rsid w:val="001E3BF3"/>
    <w:rsid w:val="001E3F42"/>
    <w:rsid w:val="001E4B34"/>
    <w:rsid w:val="001E4D6E"/>
    <w:rsid w:val="001E5758"/>
    <w:rsid w:val="001E578C"/>
    <w:rsid w:val="001E601E"/>
    <w:rsid w:val="001E6134"/>
    <w:rsid w:val="001E6C39"/>
    <w:rsid w:val="001E77CD"/>
    <w:rsid w:val="001E7918"/>
    <w:rsid w:val="001E7A9E"/>
    <w:rsid w:val="001F0BED"/>
    <w:rsid w:val="001F0CB1"/>
    <w:rsid w:val="001F1618"/>
    <w:rsid w:val="001F17E5"/>
    <w:rsid w:val="001F1A91"/>
    <w:rsid w:val="001F1FAF"/>
    <w:rsid w:val="001F23B3"/>
    <w:rsid w:val="001F2737"/>
    <w:rsid w:val="001F2A3C"/>
    <w:rsid w:val="001F38E1"/>
    <w:rsid w:val="001F5B5E"/>
    <w:rsid w:val="001F5C28"/>
    <w:rsid w:val="001F5DA7"/>
    <w:rsid w:val="001F5F0B"/>
    <w:rsid w:val="001F74CA"/>
    <w:rsid w:val="001F78B6"/>
    <w:rsid w:val="001F7B37"/>
    <w:rsid w:val="00200070"/>
    <w:rsid w:val="00200970"/>
    <w:rsid w:val="00200B2D"/>
    <w:rsid w:val="00200F54"/>
    <w:rsid w:val="00201006"/>
    <w:rsid w:val="0020198C"/>
    <w:rsid w:val="0020248C"/>
    <w:rsid w:val="00202E01"/>
    <w:rsid w:val="0020320A"/>
    <w:rsid w:val="002042CB"/>
    <w:rsid w:val="002055B7"/>
    <w:rsid w:val="00205740"/>
    <w:rsid w:val="002057C2"/>
    <w:rsid w:val="00205FFF"/>
    <w:rsid w:val="00206C0F"/>
    <w:rsid w:val="00206CE0"/>
    <w:rsid w:val="00206DA4"/>
    <w:rsid w:val="00207813"/>
    <w:rsid w:val="00210542"/>
    <w:rsid w:val="00210816"/>
    <w:rsid w:val="002108D5"/>
    <w:rsid w:val="002110F7"/>
    <w:rsid w:val="0021115D"/>
    <w:rsid w:val="0021189D"/>
    <w:rsid w:val="00211A63"/>
    <w:rsid w:val="00212BD1"/>
    <w:rsid w:val="00213486"/>
    <w:rsid w:val="00214183"/>
    <w:rsid w:val="002141DC"/>
    <w:rsid w:val="002142C4"/>
    <w:rsid w:val="0021449B"/>
    <w:rsid w:val="00214A7D"/>
    <w:rsid w:val="00215459"/>
    <w:rsid w:val="00215831"/>
    <w:rsid w:val="00215F9C"/>
    <w:rsid w:val="00216649"/>
    <w:rsid w:val="00217161"/>
    <w:rsid w:val="002174D6"/>
    <w:rsid w:val="00217F3B"/>
    <w:rsid w:val="00220107"/>
    <w:rsid w:val="00220311"/>
    <w:rsid w:val="0022036E"/>
    <w:rsid w:val="0022040E"/>
    <w:rsid w:val="00220858"/>
    <w:rsid w:val="0022115A"/>
    <w:rsid w:val="0022170A"/>
    <w:rsid w:val="00221997"/>
    <w:rsid w:val="00221FA3"/>
    <w:rsid w:val="00221FAC"/>
    <w:rsid w:val="002222C3"/>
    <w:rsid w:val="00222CC8"/>
    <w:rsid w:val="002231FC"/>
    <w:rsid w:val="0022328A"/>
    <w:rsid w:val="00224177"/>
    <w:rsid w:val="00224A5C"/>
    <w:rsid w:val="00225541"/>
    <w:rsid w:val="00226B7B"/>
    <w:rsid w:val="00227BA7"/>
    <w:rsid w:val="00227CB2"/>
    <w:rsid w:val="00230761"/>
    <w:rsid w:val="002308FA"/>
    <w:rsid w:val="00230EE5"/>
    <w:rsid w:val="002316F9"/>
    <w:rsid w:val="002320B3"/>
    <w:rsid w:val="00232279"/>
    <w:rsid w:val="00232F53"/>
    <w:rsid w:val="0023308F"/>
    <w:rsid w:val="002331C7"/>
    <w:rsid w:val="00233BA2"/>
    <w:rsid w:val="00234A18"/>
    <w:rsid w:val="00234AD4"/>
    <w:rsid w:val="00235375"/>
    <w:rsid w:val="00236292"/>
    <w:rsid w:val="002364CB"/>
    <w:rsid w:val="002365CF"/>
    <w:rsid w:val="002371C8"/>
    <w:rsid w:val="00237340"/>
    <w:rsid w:val="002374EE"/>
    <w:rsid w:val="002375A4"/>
    <w:rsid w:val="00237D9E"/>
    <w:rsid w:val="00237F54"/>
    <w:rsid w:val="00240207"/>
    <w:rsid w:val="00240616"/>
    <w:rsid w:val="00240DB5"/>
    <w:rsid w:val="00240E62"/>
    <w:rsid w:val="00241016"/>
    <w:rsid w:val="00241996"/>
    <w:rsid w:val="00242649"/>
    <w:rsid w:val="00242BBA"/>
    <w:rsid w:val="00242D61"/>
    <w:rsid w:val="00243427"/>
    <w:rsid w:val="00243F8F"/>
    <w:rsid w:val="00244401"/>
    <w:rsid w:val="00244580"/>
    <w:rsid w:val="00244D2F"/>
    <w:rsid w:val="00245219"/>
    <w:rsid w:val="002454CA"/>
    <w:rsid w:val="00245909"/>
    <w:rsid w:val="00245977"/>
    <w:rsid w:val="00245B7D"/>
    <w:rsid w:val="00246998"/>
    <w:rsid w:val="00246A1F"/>
    <w:rsid w:val="00247B93"/>
    <w:rsid w:val="00247D31"/>
    <w:rsid w:val="00250222"/>
    <w:rsid w:val="0025097D"/>
    <w:rsid w:val="002514D7"/>
    <w:rsid w:val="00251539"/>
    <w:rsid w:val="002529DE"/>
    <w:rsid w:val="00252AE8"/>
    <w:rsid w:val="00253221"/>
    <w:rsid w:val="0025379E"/>
    <w:rsid w:val="002539F7"/>
    <w:rsid w:val="00253AE9"/>
    <w:rsid w:val="00254700"/>
    <w:rsid w:val="00254C3E"/>
    <w:rsid w:val="00254DA7"/>
    <w:rsid w:val="00254E4F"/>
    <w:rsid w:val="00255279"/>
    <w:rsid w:val="00255B3B"/>
    <w:rsid w:val="00256B3B"/>
    <w:rsid w:val="00257065"/>
    <w:rsid w:val="002571D4"/>
    <w:rsid w:val="002574CB"/>
    <w:rsid w:val="0025759D"/>
    <w:rsid w:val="002577B4"/>
    <w:rsid w:val="00257920"/>
    <w:rsid w:val="00257D42"/>
    <w:rsid w:val="00257F3B"/>
    <w:rsid w:val="002604EE"/>
    <w:rsid w:val="0026052F"/>
    <w:rsid w:val="00260950"/>
    <w:rsid w:val="0026136D"/>
    <w:rsid w:val="002615E5"/>
    <w:rsid w:val="00261903"/>
    <w:rsid w:val="00261B0B"/>
    <w:rsid w:val="0026214A"/>
    <w:rsid w:val="00262677"/>
    <w:rsid w:val="002653C8"/>
    <w:rsid w:val="00267059"/>
    <w:rsid w:val="00267A85"/>
    <w:rsid w:val="00270239"/>
    <w:rsid w:val="002704EF"/>
    <w:rsid w:val="00270C16"/>
    <w:rsid w:val="00270C4A"/>
    <w:rsid w:val="00270E59"/>
    <w:rsid w:val="00271075"/>
    <w:rsid w:val="002713D0"/>
    <w:rsid w:val="00271694"/>
    <w:rsid w:val="002723DF"/>
    <w:rsid w:val="00272990"/>
    <w:rsid w:val="0027299F"/>
    <w:rsid w:val="0027420C"/>
    <w:rsid w:val="00274788"/>
    <w:rsid w:val="00274939"/>
    <w:rsid w:val="00274C27"/>
    <w:rsid w:val="00275178"/>
    <w:rsid w:val="00275790"/>
    <w:rsid w:val="00275C94"/>
    <w:rsid w:val="0027789F"/>
    <w:rsid w:val="00277E20"/>
    <w:rsid w:val="00280091"/>
    <w:rsid w:val="00280E3F"/>
    <w:rsid w:val="00281DE1"/>
    <w:rsid w:val="00281E47"/>
    <w:rsid w:val="00282309"/>
    <w:rsid w:val="002828B2"/>
    <w:rsid w:val="002837EF"/>
    <w:rsid w:val="00285015"/>
    <w:rsid w:val="0028541E"/>
    <w:rsid w:val="00285537"/>
    <w:rsid w:val="002859A2"/>
    <w:rsid w:val="00286342"/>
    <w:rsid w:val="0028688D"/>
    <w:rsid w:val="002870C4"/>
    <w:rsid w:val="00287478"/>
    <w:rsid w:val="0028756B"/>
    <w:rsid w:val="002875A3"/>
    <w:rsid w:val="0028764B"/>
    <w:rsid w:val="00287E20"/>
    <w:rsid w:val="00287E74"/>
    <w:rsid w:val="002900E8"/>
    <w:rsid w:val="002904FC"/>
    <w:rsid w:val="00290639"/>
    <w:rsid w:val="00291714"/>
    <w:rsid w:val="00292587"/>
    <w:rsid w:val="00292749"/>
    <w:rsid w:val="00293C39"/>
    <w:rsid w:val="0029474E"/>
    <w:rsid w:val="00294BB1"/>
    <w:rsid w:val="00297C50"/>
    <w:rsid w:val="002A0739"/>
    <w:rsid w:val="002A0F60"/>
    <w:rsid w:val="002A1223"/>
    <w:rsid w:val="002A146F"/>
    <w:rsid w:val="002A1939"/>
    <w:rsid w:val="002A1DEA"/>
    <w:rsid w:val="002A242F"/>
    <w:rsid w:val="002A2489"/>
    <w:rsid w:val="002A33D9"/>
    <w:rsid w:val="002A3EF1"/>
    <w:rsid w:val="002A4267"/>
    <w:rsid w:val="002A4611"/>
    <w:rsid w:val="002A4907"/>
    <w:rsid w:val="002A493F"/>
    <w:rsid w:val="002A50B2"/>
    <w:rsid w:val="002A514A"/>
    <w:rsid w:val="002A59A6"/>
    <w:rsid w:val="002A645A"/>
    <w:rsid w:val="002A6C82"/>
    <w:rsid w:val="002A739C"/>
    <w:rsid w:val="002A784E"/>
    <w:rsid w:val="002A7978"/>
    <w:rsid w:val="002A79CF"/>
    <w:rsid w:val="002B023A"/>
    <w:rsid w:val="002B0EFC"/>
    <w:rsid w:val="002B13E1"/>
    <w:rsid w:val="002B14AB"/>
    <w:rsid w:val="002B1B1A"/>
    <w:rsid w:val="002B201C"/>
    <w:rsid w:val="002B312B"/>
    <w:rsid w:val="002B47F0"/>
    <w:rsid w:val="002B4949"/>
    <w:rsid w:val="002B4969"/>
    <w:rsid w:val="002B5DE6"/>
    <w:rsid w:val="002B6106"/>
    <w:rsid w:val="002B6B5E"/>
    <w:rsid w:val="002B741A"/>
    <w:rsid w:val="002C0912"/>
    <w:rsid w:val="002C0B0C"/>
    <w:rsid w:val="002C0CF3"/>
    <w:rsid w:val="002C1985"/>
    <w:rsid w:val="002C1DC7"/>
    <w:rsid w:val="002C233C"/>
    <w:rsid w:val="002C2D24"/>
    <w:rsid w:val="002C2E65"/>
    <w:rsid w:val="002C31CC"/>
    <w:rsid w:val="002C3ECA"/>
    <w:rsid w:val="002C6237"/>
    <w:rsid w:val="002C7066"/>
    <w:rsid w:val="002C726B"/>
    <w:rsid w:val="002C74DD"/>
    <w:rsid w:val="002C781B"/>
    <w:rsid w:val="002C7A68"/>
    <w:rsid w:val="002D01E2"/>
    <w:rsid w:val="002D054A"/>
    <w:rsid w:val="002D057A"/>
    <w:rsid w:val="002D05AA"/>
    <w:rsid w:val="002D1597"/>
    <w:rsid w:val="002D1795"/>
    <w:rsid w:val="002D1EC9"/>
    <w:rsid w:val="002D229D"/>
    <w:rsid w:val="002D2FD6"/>
    <w:rsid w:val="002D37A7"/>
    <w:rsid w:val="002D3CB4"/>
    <w:rsid w:val="002D3E8E"/>
    <w:rsid w:val="002D4D0E"/>
    <w:rsid w:val="002D5126"/>
    <w:rsid w:val="002D550C"/>
    <w:rsid w:val="002D5877"/>
    <w:rsid w:val="002D6206"/>
    <w:rsid w:val="002D7F8B"/>
    <w:rsid w:val="002E0D75"/>
    <w:rsid w:val="002E1185"/>
    <w:rsid w:val="002E1599"/>
    <w:rsid w:val="002E1B2E"/>
    <w:rsid w:val="002E2630"/>
    <w:rsid w:val="002E28B6"/>
    <w:rsid w:val="002E2F01"/>
    <w:rsid w:val="002E3924"/>
    <w:rsid w:val="002E39EA"/>
    <w:rsid w:val="002E3E1A"/>
    <w:rsid w:val="002E4E19"/>
    <w:rsid w:val="002E5699"/>
    <w:rsid w:val="002F076E"/>
    <w:rsid w:val="002F08FF"/>
    <w:rsid w:val="002F0C5B"/>
    <w:rsid w:val="002F0D69"/>
    <w:rsid w:val="002F0F22"/>
    <w:rsid w:val="002F1438"/>
    <w:rsid w:val="002F144C"/>
    <w:rsid w:val="002F172E"/>
    <w:rsid w:val="002F1885"/>
    <w:rsid w:val="002F1E3A"/>
    <w:rsid w:val="002F26AD"/>
    <w:rsid w:val="002F2A8B"/>
    <w:rsid w:val="002F3BC1"/>
    <w:rsid w:val="002F3DA7"/>
    <w:rsid w:val="002F4274"/>
    <w:rsid w:val="002F4A11"/>
    <w:rsid w:val="002F4E7D"/>
    <w:rsid w:val="002F672A"/>
    <w:rsid w:val="002F7A1C"/>
    <w:rsid w:val="002F7B67"/>
    <w:rsid w:val="002F7BCE"/>
    <w:rsid w:val="002F7D0C"/>
    <w:rsid w:val="00300B7F"/>
    <w:rsid w:val="003011D1"/>
    <w:rsid w:val="003019D7"/>
    <w:rsid w:val="003023F4"/>
    <w:rsid w:val="00302617"/>
    <w:rsid w:val="003038C8"/>
    <w:rsid w:val="003038DE"/>
    <w:rsid w:val="00303A77"/>
    <w:rsid w:val="00304B2F"/>
    <w:rsid w:val="00304EB2"/>
    <w:rsid w:val="0030557E"/>
    <w:rsid w:val="00306952"/>
    <w:rsid w:val="00306E9D"/>
    <w:rsid w:val="00307268"/>
    <w:rsid w:val="003074A2"/>
    <w:rsid w:val="00307AB2"/>
    <w:rsid w:val="00307ECE"/>
    <w:rsid w:val="00310471"/>
    <w:rsid w:val="003133DF"/>
    <w:rsid w:val="00313AB8"/>
    <w:rsid w:val="00313B15"/>
    <w:rsid w:val="00313F78"/>
    <w:rsid w:val="00314123"/>
    <w:rsid w:val="00314EDE"/>
    <w:rsid w:val="00315D04"/>
    <w:rsid w:val="00316255"/>
    <w:rsid w:val="003174F1"/>
    <w:rsid w:val="003176DC"/>
    <w:rsid w:val="00317D64"/>
    <w:rsid w:val="00317E8C"/>
    <w:rsid w:val="00320346"/>
    <w:rsid w:val="003207AC"/>
    <w:rsid w:val="00320A80"/>
    <w:rsid w:val="00320D7B"/>
    <w:rsid w:val="00321CAE"/>
    <w:rsid w:val="00321FF3"/>
    <w:rsid w:val="00322D37"/>
    <w:rsid w:val="00323511"/>
    <w:rsid w:val="00323C2C"/>
    <w:rsid w:val="00324AD2"/>
    <w:rsid w:val="00324E5B"/>
    <w:rsid w:val="00325F68"/>
    <w:rsid w:val="00326A36"/>
    <w:rsid w:val="00326A41"/>
    <w:rsid w:val="0033065F"/>
    <w:rsid w:val="003307A8"/>
    <w:rsid w:val="003307C5"/>
    <w:rsid w:val="00330943"/>
    <w:rsid w:val="00330B3C"/>
    <w:rsid w:val="00330E67"/>
    <w:rsid w:val="0033168A"/>
    <w:rsid w:val="00331785"/>
    <w:rsid w:val="003321F2"/>
    <w:rsid w:val="003323B1"/>
    <w:rsid w:val="0033260B"/>
    <w:rsid w:val="00332C8A"/>
    <w:rsid w:val="003332F4"/>
    <w:rsid w:val="00333C8B"/>
    <w:rsid w:val="00334957"/>
    <w:rsid w:val="00334C75"/>
    <w:rsid w:val="00335EBB"/>
    <w:rsid w:val="00336A59"/>
    <w:rsid w:val="00336DF8"/>
    <w:rsid w:val="003370C4"/>
    <w:rsid w:val="00337365"/>
    <w:rsid w:val="00337630"/>
    <w:rsid w:val="0034168B"/>
    <w:rsid w:val="00341AE0"/>
    <w:rsid w:val="00341EFE"/>
    <w:rsid w:val="0034215F"/>
    <w:rsid w:val="003422AB"/>
    <w:rsid w:val="00343305"/>
    <w:rsid w:val="00343B37"/>
    <w:rsid w:val="00344159"/>
    <w:rsid w:val="003442EB"/>
    <w:rsid w:val="00344682"/>
    <w:rsid w:val="00344ED5"/>
    <w:rsid w:val="00344FF6"/>
    <w:rsid w:val="00345BFE"/>
    <w:rsid w:val="00346412"/>
    <w:rsid w:val="00346483"/>
    <w:rsid w:val="00347D47"/>
    <w:rsid w:val="00350559"/>
    <w:rsid w:val="00350BAE"/>
    <w:rsid w:val="0035137D"/>
    <w:rsid w:val="00351913"/>
    <w:rsid w:val="00351A45"/>
    <w:rsid w:val="00351F49"/>
    <w:rsid w:val="003529A4"/>
    <w:rsid w:val="00352F9A"/>
    <w:rsid w:val="0035399A"/>
    <w:rsid w:val="00354659"/>
    <w:rsid w:val="00354675"/>
    <w:rsid w:val="00354BF6"/>
    <w:rsid w:val="003550C4"/>
    <w:rsid w:val="0035609B"/>
    <w:rsid w:val="00356E63"/>
    <w:rsid w:val="0035747D"/>
    <w:rsid w:val="003578E0"/>
    <w:rsid w:val="0036046A"/>
    <w:rsid w:val="00360D2B"/>
    <w:rsid w:val="00361C41"/>
    <w:rsid w:val="00361EEB"/>
    <w:rsid w:val="00362AC9"/>
    <w:rsid w:val="00362B20"/>
    <w:rsid w:val="00362DA6"/>
    <w:rsid w:val="003632C7"/>
    <w:rsid w:val="003633A9"/>
    <w:rsid w:val="003633E3"/>
    <w:rsid w:val="00363AC5"/>
    <w:rsid w:val="00363C7E"/>
    <w:rsid w:val="00363EDB"/>
    <w:rsid w:val="00363F36"/>
    <w:rsid w:val="00363F9A"/>
    <w:rsid w:val="00365816"/>
    <w:rsid w:val="00365F5D"/>
    <w:rsid w:val="003661F2"/>
    <w:rsid w:val="00366247"/>
    <w:rsid w:val="00366682"/>
    <w:rsid w:val="00366695"/>
    <w:rsid w:val="00366970"/>
    <w:rsid w:val="00367C13"/>
    <w:rsid w:val="00367FE8"/>
    <w:rsid w:val="00370A29"/>
    <w:rsid w:val="00370C1F"/>
    <w:rsid w:val="00371F52"/>
    <w:rsid w:val="00372434"/>
    <w:rsid w:val="003739C5"/>
    <w:rsid w:val="0037428F"/>
    <w:rsid w:val="003748F0"/>
    <w:rsid w:val="00375666"/>
    <w:rsid w:val="00375F1E"/>
    <w:rsid w:val="00376857"/>
    <w:rsid w:val="003771C7"/>
    <w:rsid w:val="003774C9"/>
    <w:rsid w:val="00377E84"/>
    <w:rsid w:val="00380DAB"/>
    <w:rsid w:val="00380E89"/>
    <w:rsid w:val="00381ABC"/>
    <w:rsid w:val="00381CF0"/>
    <w:rsid w:val="00381DC5"/>
    <w:rsid w:val="0038262C"/>
    <w:rsid w:val="00382928"/>
    <w:rsid w:val="003841C3"/>
    <w:rsid w:val="00385047"/>
    <w:rsid w:val="003854A9"/>
    <w:rsid w:val="003855F7"/>
    <w:rsid w:val="00385E65"/>
    <w:rsid w:val="00385E84"/>
    <w:rsid w:val="00385F58"/>
    <w:rsid w:val="0038624B"/>
    <w:rsid w:val="003869E2"/>
    <w:rsid w:val="00386DF9"/>
    <w:rsid w:val="0038741F"/>
    <w:rsid w:val="00387A0B"/>
    <w:rsid w:val="00387CB6"/>
    <w:rsid w:val="00387EF8"/>
    <w:rsid w:val="00390FF9"/>
    <w:rsid w:val="00393899"/>
    <w:rsid w:val="00393CFA"/>
    <w:rsid w:val="0039434D"/>
    <w:rsid w:val="00394A31"/>
    <w:rsid w:val="00394DE0"/>
    <w:rsid w:val="00394FED"/>
    <w:rsid w:val="003952E0"/>
    <w:rsid w:val="00395907"/>
    <w:rsid w:val="00395966"/>
    <w:rsid w:val="00396317"/>
    <w:rsid w:val="0039632B"/>
    <w:rsid w:val="003A05B9"/>
    <w:rsid w:val="003A064A"/>
    <w:rsid w:val="003A0914"/>
    <w:rsid w:val="003A115A"/>
    <w:rsid w:val="003A17E8"/>
    <w:rsid w:val="003A1FD0"/>
    <w:rsid w:val="003A21E8"/>
    <w:rsid w:val="003A27B6"/>
    <w:rsid w:val="003A3386"/>
    <w:rsid w:val="003A338D"/>
    <w:rsid w:val="003A3A40"/>
    <w:rsid w:val="003A3BA2"/>
    <w:rsid w:val="003A3C81"/>
    <w:rsid w:val="003A4125"/>
    <w:rsid w:val="003A4B2F"/>
    <w:rsid w:val="003A5140"/>
    <w:rsid w:val="003A5156"/>
    <w:rsid w:val="003A5E13"/>
    <w:rsid w:val="003A5EDB"/>
    <w:rsid w:val="003A6F70"/>
    <w:rsid w:val="003A7B08"/>
    <w:rsid w:val="003A7EDF"/>
    <w:rsid w:val="003B00D5"/>
    <w:rsid w:val="003B055C"/>
    <w:rsid w:val="003B0C73"/>
    <w:rsid w:val="003B2D37"/>
    <w:rsid w:val="003B2D5C"/>
    <w:rsid w:val="003B303C"/>
    <w:rsid w:val="003B3873"/>
    <w:rsid w:val="003B3B1A"/>
    <w:rsid w:val="003B43DF"/>
    <w:rsid w:val="003B44A5"/>
    <w:rsid w:val="003B50E4"/>
    <w:rsid w:val="003B5B9C"/>
    <w:rsid w:val="003B5DF2"/>
    <w:rsid w:val="003B5E01"/>
    <w:rsid w:val="003B5F4F"/>
    <w:rsid w:val="003B6173"/>
    <w:rsid w:val="003B63F9"/>
    <w:rsid w:val="003B6669"/>
    <w:rsid w:val="003B76F2"/>
    <w:rsid w:val="003B791E"/>
    <w:rsid w:val="003C0981"/>
    <w:rsid w:val="003C0B51"/>
    <w:rsid w:val="003C16C4"/>
    <w:rsid w:val="003C242D"/>
    <w:rsid w:val="003C33CC"/>
    <w:rsid w:val="003C3567"/>
    <w:rsid w:val="003C3E0A"/>
    <w:rsid w:val="003C478C"/>
    <w:rsid w:val="003C4C0B"/>
    <w:rsid w:val="003C5368"/>
    <w:rsid w:val="003C55AC"/>
    <w:rsid w:val="003C5740"/>
    <w:rsid w:val="003C574D"/>
    <w:rsid w:val="003C59FB"/>
    <w:rsid w:val="003C5BCD"/>
    <w:rsid w:val="003C5F96"/>
    <w:rsid w:val="003C6554"/>
    <w:rsid w:val="003C6E41"/>
    <w:rsid w:val="003C73BE"/>
    <w:rsid w:val="003C7466"/>
    <w:rsid w:val="003C76DA"/>
    <w:rsid w:val="003C7854"/>
    <w:rsid w:val="003C795C"/>
    <w:rsid w:val="003C7A91"/>
    <w:rsid w:val="003C7DBE"/>
    <w:rsid w:val="003D0625"/>
    <w:rsid w:val="003D0BDE"/>
    <w:rsid w:val="003D0C05"/>
    <w:rsid w:val="003D0C47"/>
    <w:rsid w:val="003D127C"/>
    <w:rsid w:val="003D1C0E"/>
    <w:rsid w:val="003D1CDE"/>
    <w:rsid w:val="003D211B"/>
    <w:rsid w:val="003D21B8"/>
    <w:rsid w:val="003D2B96"/>
    <w:rsid w:val="003D32A3"/>
    <w:rsid w:val="003D3317"/>
    <w:rsid w:val="003D55C4"/>
    <w:rsid w:val="003D586B"/>
    <w:rsid w:val="003D58AF"/>
    <w:rsid w:val="003D7255"/>
    <w:rsid w:val="003D7A55"/>
    <w:rsid w:val="003D7C6B"/>
    <w:rsid w:val="003E04E3"/>
    <w:rsid w:val="003E0767"/>
    <w:rsid w:val="003E07A9"/>
    <w:rsid w:val="003E083F"/>
    <w:rsid w:val="003E195B"/>
    <w:rsid w:val="003E249C"/>
    <w:rsid w:val="003E3EBA"/>
    <w:rsid w:val="003E4182"/>
    <w:rsid w:val="003E5785"/>
    <w:rsid w:val="003E587F"/>
    <w:rsid w:val="003E594A"/>
    <w:rsid w:val="003E59BE"/>
    <w:rsid w:val="003E5AD4"/>
    <w:rsid w:val="003E5EEE"/>
    <w:rsid w:val="003E6437"/>
    <w:rsid w:val="003E6A48"/>
    <w:rsid w:val="003E6D1F"/>
    <w:rsid w:val="003E720B"/>
    <w:rsid w:val="003F05FB"/>
    <w:rsid w:val="003F0646"/>
    <w:rsid w:val="003F16E1"/>
    <w:rsid w:val="003F2673"/>
    <w:rsid w:val="003F27FF"/>
    <w:rsid w:val="003F280B"/>
    <w:rsid w:val="003F29DA"/>
    <w:rsid w:val="003F2D4C"/>
    <w:rsid w:val="003F301B"/>
    <w:rsid w:val="003F3592"/>
    <w:rsid w:val="003F3A52"/>
    <w:rsid w:val="003F3CCA"/>
    <w:rsid w:val="003F4364"/>
    <w:rsid w:val="003F47CD"/>
    <w:rsid w:val="003F504D"/>
    <w:rsid w:val="003F50F8"/>
    <w:rsid w:val="003F52ED"/>
    <w:rsid w:val="003F5D5A"/>
    <w:rsid w:val="003F7393"/>
    <w:rsid w:val="003F73C3"/>
    <w:rsid w:val="003F7A91"/>
    <w:rsid w:val="00400110"/>
    <w:rsid w:val="004019B0"/>
    <w:rsid w:val="00401EBB"/>
    <w:rsid w:val="004020BA"/>
    <w:rsid w:val="004026EC"/>
    <w:rsid w:val="00402980"/>
    <w:rsid w:val="00403C1B"/>
    <w:rsid w:val="00405526"/>
    <w:rsid w:val="004058DC"/>
    <w:rsid w:val="0040601A"/>
    <w:rsid w:val="004063CD"/>
    <w:rsid w:val="004064EB"/>
    <w:rsid w:val="00407419"/>
    <w:rsid w:val="00407EC8"/>
    <w:rsid w:val="00411806"/>
    <w:rsid w:val="00412358"/>
    <w:rsid w:val="00413205"/>
    <w:rsid w:val="0041350A"/>
    <w:rsid w:val="00413DCC"/>
    <w:rsid w:val="00414244"/>
    <w:rsid w:val="00414980"/>
    <w:rsid w:val="004149C7"/>
    <w:rsid w:val="00415262"/>
    <w:rsid w:val="00415509"/>
    <w:rsid w:val="004156C7"/>
    <w:rsid w:val="00415824"/>
    <w:rsid w:val="004167FB"/>
    <w:rsid w:val="00417651"/>
    <w:rsid w:val="004176F9"/>
    <w:rsid w:val="00420B24"/>
    <w:rsid w:val="004210F0"/>
    <w:rsid w:val="0042164D"/>
    <w:rsid w:val="00421697"/>
    <w:rsid w:val="00421B5F"/>
    <w:rsid w:val="00421F99"/>
    <w:rsid w:val="00422E9B"/>
    <w:rsid w:val="00422EC7"/>
    <w:rsid w:val="00422F8D"/>
    <w:rsid w:val="004233A5"/>
    <w:rsid w:val="004251B0"/>
    <w:rsid w:val="00425637"/>
    <w:rsid w:val="00425B1C"/>
    <w:rsid w:val="00425BCA"/>
    <w:rsid w:val="00426264"/>
    <w:rsid w:val="00426A1F"/>
    <w:rsid w:val="004278F4"/>
    <w:rsid w:val="00427FCE"/>
    <w:rsid w:val="00430B85"/>
    <w:rsid w:val="00431782"/>
    <w:rsid w:val="0043186D"/>
    <w:rsid w:val="00431D7D"/>
    <w:rsid w:val="00433157"/>
    <w:rsid w:val="00433221"/>
    <w:rsid w:val="00433C03"/>
    <w:rsid w:val="00433C9C"/>
    <w:rsid w:val="004340C4"/>
    <w:rsid w:val="00434710"/>
    <w:rsid w:val="0043490E"/>
    <w:rsid w:val="00434FEE"/>
    <w:rsid w:val="0043500E"/>
    <w:rsid w:val="00435019"/>
    <w:rsid w:val="004359B6"/>
    <w:rsid w:val="00436154"/>
    <w:rsid w:val="00436DBC"/>
    <w:rsid w:val="00436F4B"/>
    <w:rsid w:val="00437A18"/>
    <w:rsid w:val="004402E6"/>
    <w:rsid w:val="00440636"/>
    <w:rsid w:val="00440B4F"/>
    <w:rsid w:val="0044110E"/>
    <w:rsid w:val="00441110"/>
    <w:rsid w:val="00441558"/>
    <w:rsid w:val="00441844"/>
    <w:rsid w:val="00441ED6"/>
    <w:rsid w:val="00442A3E"/>
    <w:rsid w:val="00442A82"/>
    <w:rsid w:val="00442BF5"/>
    <w:rsid w:val="00442E02"/>
    <w:rsid w:val="004430A1"/>
    <w:rsid w:val="00443126"/>
    <w:rsid w:val="00443601"/>
    <w:rsid w:val="00443E2E"/>
    <w:rsid w:val="0044429B"/>
    <w:rsid w:val="00445A3D"/>
    <w:rsid w:val="0044632F"/>
    <w:rsid w:val="00446CBE"/>
    <w:rsid w:val="004475A3"/>
    <w:rsid w:val="00447AB4"/>
    <w:rsid w:val="00447ADE"/>
    <w:rsid w:val="00447F7D"/>
    <w:rsid w:val="00450C80"/>
    <w:rsid w:val="0045161F"/>
    <w:rsid w:val="0045173C"/>
    <w:rsid w:val="00451823"/>
    <w:rsid w:val="00451F2B"/>
    <w:rsid w:val="004523E6"/>
    <w:rsid w:val="00452E20"/>
    <w:rsid w:val="0045393B"/>
    <w:rsid w:val="00453B20"/>
    <w:rsid w:val="00453D27"/>
    <w:rsid w:val="0045441F"/>
    <w:rsid w:val="00454444"/>
    <w:rsid w:val="00454C69"/>
    <w:rsid w:val="00454CE8"/>
    <w:rsid w:val="00454D9B"/>
    <w:rsid w:val="004553C9"/>
    <w:rsid w:val="00455B12"/>
    <w:rsid w:val="00455EC9"/>
    <w:rsid w:val="00456305"/>
    <w:rsid w:val="004568C6"/>
    <w:rsid w:val="00456AA3"/>
    <w:rsid w:val="004575B6"/>
    <w:rsid w:val="00457670"/>
    <w:rsid w:val="00457782"/>
    <w:rsid w:val="004577D6"/>
    <w:rsid w:val="00457BA8"/>
    <w:rsid w:val="00460929"/>
    <w:rsid w:val="00461BBB"/>
    <w:rsid w:val="00462FC8"/>
    <w:rsid w:val="00463376"/>
    <w:rsid w:val="004635B3"/>
    <w:rsid w:val="004638AE"/>
    <w:rsid w:val="00463DCA"/>
    <w:rsid w:val="004643B8"/>
    <w:rsid w:val="00465C25"/>
    <w:rsid w:val="0046675E"/>
    <w:rsid w:val="00466D46"/>
    <w:rsid w:val="00467030"/>
    <w:rsid w:val="004674D4"/>
    <w:rsid w:val="00467664"/>
    <w:rsid w:val="00467EEB"/>
    <w:rsid w:val="00470174"/>
    <w:rsid w:val="00470309"/>
    <w:rsid w:val="0047031B"/>
    <w:rsid w:val="004710F6"/>
    <w:rsid w:val="00471349"/>
    <w:rsid w:val="00471BF2"/>
    <w:rsid w:val="00472904"/>
    <w:rsid w:val="00472D56"/>
    <w:rsid w:val="004731FC"/>
    <w:rsid w:val="00473699"/>
    <w:rsid w:val="004740D2"/>
    <w:rsid w:val="00474E7A"/>
    <w:rsid w:val="00474FDF"/>
    <w:rsid w:val="0047577C"/>
    <w:rsid w:val="00475E46"/>
    <w:rsid w:val="0047643E"/>
    <w:rsid w:val="00476C37"/>
    <w:rsid w:val="00477A80"/>
    <w:rsid w:val="004800AF"/>
    <w:rsid w:val="00480298"/>
    <w:rsid w:val="00480B55"/>
    <w:rsid w:val="00480C8D"/>
    <w:rsid w:val="00480F12"/>
    <w:rsid w:val="00481D06"/>
    <w:rsid w:val="00482307"/>
    <w:rsid w:val="00482758"/>
    <w:rsid w:val="00482953"/>
    <w:rsid w:val="00482B1C"/>
    <w:rsid w:val="0048302C"/>
    <w:rsid w:val="00483CA4"/>
    <w:rsid w:val="00483CA8"/>
    <w:rsid w:val="00483EE2"/>
    <w:rsid w:val="0048403B"/>
    <w:rsid w:val="0048428A"/>
    <w:rsid w:val="004842D6"/>
    <w:rsid w:val="00486042"/>
    <w:rsid w:val="004862E3"/>
    <w:rsid w:val="0048689F"/>
    <w:rsid w:val="00487EC2"/>
    <w:rsid w:val="004901BF"/>
    <w:rsid w:val="00490414"/>
    <w:rsid w:val="004906A8"/>
    <w:rsid w:val="00490EEF"/>
    <w:rsid w:val="00491703"/>
    <w:rsid w:val="004926AD"/>
    <w:rsid w:val="004926BD"/>
    <w:rsid w:val="00492735"/>
    <w:rsid w:val="00493B93"/>
    <w:rsid w:val="00493D2A"/>
    <w:rsid w:val="0049427F"/>
    <w:rsid w:val="004946E8"/>
    <w:rsid w:val="00494A1E"/>
    <w:rsid w:val="00494E65"/>
    <w:rsid w:val="004955B6"/>
    <w:rsid w:val="00495D59"/>
    <w:rsid w:val="00496440"/>
    <w:rsid w:val="00496500"/>
    <w:rsid w:val="004967A5"/>
    <w:rsid w:val="0049726D"/>
    <w:rsid w:val="00497354"/>
    <w:rsid w:val="00497FE9"/>
    <w:rsid w:val="004A03DE"/>
    <w:rsid w:val="004A0574"/>
    <w:rsid w:val="004A08D8"/>
    <w:rsid w:val="004A0BBC"/>
    <w:rsid w:val="004A179E"/>
    <w:rsid w:val="004A18E6"/>
    <w:rsid w:val="004A1BB5"/>
    <w:rsid w:val="004A1EC4"/>
    <w:rsid w:val="004A1EC5"/>
    <w:rsid w:val="004A1F0E"/>
    <w:rsid w:val="004A215C"/>
    <w:rsid w:val="004A2408"/>
    <w:rsid w:val="004A2AC2"/>
    <w:rsid w:val="004A2FA8"/>
    <w:rsid w:val="004A304F"/>
    <w:rsid w:val="004A30DF"/>
    <w:rsid w:val="004A31C5"/>
    <w:rsid w:val="004A38F6"/>
    <w:rsid w:val="004A3957"/>
    <w:rsid w:val="004A4047"/>
    <w:rsid w:val="004A4F57"/>
    <w:rsid w:val="004A54BE"/>
    <w:rsid w:val="004A58F4"/>
    <w:rsid w:val="004A605A"/>
    <w:rsid w:val="004A6B2B"/>
    <w:rsid w:val="004B0438"/>
    <w:rsid w:val="004B0F3F"/>
    <w:rsid w:val="004B11BE"/>
    <w:rsid w:val="004B34BC"/>
    <w:rsid w:val="004B36D7"/>
    <w:rsid w:val="004B36F5"/>
    <w:rsid w:val="004B40BE"/>
    <w:rsid w:val="004B4216"/>
    <w:rsid w:val="004B4678"/>
    <w:rsid w:val="004B471B"/>
    <w:rsid w:val="004B593E"/>
    <w:rsid w:val="004B5E5A"/>
    <w:rsid w:val="004B7567"/>
    <w:rsid w:val="004B7C3C"/>
    <w:rsid w:val="004C02D5"/>
    <w:rsid w:val="004C03C5"/>
    <w:rsid w:val="004C180D"/>
    <w:rsid w:val="004C1FBB"/>
    <w:rsid w:val="004C29A1"/>
    <w:rsid w:val="004C2B80"/>
    <w:rsid w:val="004C2C8A"/>
    <w:rsid w:val="004C337E"/>
    <w:rsid w:val="004C4612"/>
    <w:rsid w:val="004C48FD"/>
    <w:rsid w:val="004C4DC2"/>
    <w:rsid w:val="004C4E45"/>
    <w:rsid w:val="004C5456"/>
    <w:rsid w:val="004C589A"/>
    <w:rsid w:val="004C5CD1"/>
    <w:rsid w:val="004C6595"/>
    <w:rsid w:val="004C68EE"/>
    <w:rsid w:val="004C6970"/>
    <w:rsid w:val="004C6CCF"/>
    <w:rsid w:val="004C74A8"/>
    <w:rsid w:val="004C7BE8"/>
    <w:rsid w:val="004C7E4E"/>
    <w:rsid w:val="004D00F5"/>
    <w:rsid w:val="004D0441"/>
    <w:rsid w:val="004D1C43"/>
    <w:rsid w:val="004D2914"/>
    <w:rsid w:val="004D35CE"/>
    <w:rsid w:val="004D369B"/>
    <w:rsid w:val="004D39B6"/>
    <w:rsid w:val="004D3ADB"/>
    <w:rsid w:val="004D3CDC"/>
    <w:rsid w:val="004D4A3F"/>
    <w:rsid w:val="004D4EE7"/>
    <w:rsid w:val="004D4F7E"/>
    <w:rsid w:val="004D5B3D"/>
    <w:rsid w:val="004D62D3"/>
    <w:rsid w:val="004D6B9F"/>
    <w:rsid w:val="004D6EE9"/>
    <w:rsid w:val="004E0840"/>
    <w:rsid w:val="004E09E5"/>
    <w:rsid w:val="004E0CCA"/>
    <w:rsid w:val="004E1068"/>
    <w:rsid w:val="004E2953"/>
    <w:rsid w:val="004E2CEF"/>
    <w:rsid w:val="004E335E"/>
    <w:rsid w:val="004E33A9"/>
    <w:rsid w:val="004E3A94"/>
    <w:rsid w:val="004E3BA0"/>
    <w:rsid w:val="004E3EE6"/>
    <w:rsid w:val="004E5C0A"/>
    <w:rsid w:val="004E64CA"/>
    <w:rsid w:val="004E715F"/>
    <w:rsid w:val="004F01CC"/>
    <w:rsid w:val="004F0707"/>
    <w:rsid w:val="004F0A3D"/>
    <w:rsid w:val="004F0D50"/>
    <w:rsid w:val="004F0D66"/>
    <w:rsid w:val="004F122B"/>
    <w:rsid w:val="004F19C1"/>
    <w:rsid w:val="004F220F"/>
    <w:rsid w:val="004F2B39"/>
    <w:rsid w:val="004F2F53"/>
    <w:rsid w:val="004F2F8C"/>
    <w:rsid w:val="004F335B"/>
    <w:rsid w:val="004F36BC"/>
    <w:rsid w:val="004F44DC"/>
    <w:rsid w:val="004F5351"/>
    <w:rsid w:val="004F5674"/>
    <w:rsid w:val="004F652C"/>
    <w:rsid w:val="004F6641"/>
    <w:rsid w:val="004F7056"/>
    <w:rsid w:val="004F7428"/>
    <w:rsid w:val="004F77E1"/>
    <w:rsid w:val="0050041E"/>
    <w:rsid w:val="0050075C"/>
    <w:rsid w:val="005009C3"/>
    <w:rsid w:val="00501635"/>
    <w:rsid w:val="00501692"/>
    <w:rsid w:val="00501790"/>
    <w:rsid w:val="00501FA3"/>
    <w:rsid w:val="00502541"/>
    <w:rsid w:val="0050391B"/>
    <w:rsid w:val="00504126"/>
    <w:rsid w:val="00504DA0"/>
    <w:rsid w:val="00505DCA"/>
    <w:rsid w:val="00505F8A"/>
    <w:rsid w:val="0050629D"/>
    <w:rsid w:val="005062DD"/>
    <w:rsid w:val="00506565"/>
    <w:rsid w:val="00506CB7"/>
    <w:rsid w:val="00506D63"/>
    <w:rsid w:val="00507F2C"/>
    <w:rsid w:val="005100EC"/>
    <w:rsid w:val="005107BF"/>
    <w:rsid w:val="0051090E"/>
    <w:rsid w:val="00511D43"/>
    <w:rsid w:val="005120B8"/>
    <w:rsid w:val="005127C6"/>
    <w:rsid w:val="00512BD5"/>
    <w:rsid w:val="005132D8"/>
    <w:rsid w:val="00514620"/>
    <w:rsid w:val="005146F9"/>
    <w:rsid w:val="00515B0B"/>
    <w:rsid w:val="00515F88"/>
    <w:rsid w:val="0051602F"/>
    <w:rsid w:val="00516997"/>
    <w:rsid w:val="0051738B"/>
    <w:rsid w:val="005175CA"/>
    <w:rsid w:val="00517B31"/>
    <w:rsid w:val="00517BA4"/>
    <w:rsid w:val="00517C0B"/>
    <w:rsid w:val="00517D0E"/>
    <w:rsid w:val="005206C3"/>
    <w:rsid w:val="005210F1"/>
    <w:rsid w:val="0052178F"/>
    <w:rsid w:val="00521844"/>
    <w:rsid w:val="005218D7"/>
    <w:rsid w:val="005219E8"/>
    <w:rsid w:val="00521E7C"/>
    <w:rsid w:val="0052219E"/>
    <w:rsid w:val="00522469"/>
    <w:rsid w:val="005229C4"/>
    <w:rsid w:val="00523096"/>
    <w:rsid w:val="00523821"/>
    <w:rsid w:val="00525650"/>
    <w:rsid w:val="005256C4"/>
    <w:rsid w:val="00526031"/>
    <w:rsid w:val="00526EBB"/>
    <w:rsid w:val="00527C2E"/>
    <w:rsid w:val="0053162C"/>
    <w:rsid w:val="00531742"/>
    <w:rsid w:val="00531753"/>
    <w:rsid w:val="00531CF9"/>
    <w:rsid w:val="0053232C"/>
    <w:rsid w:val="0053239E"/>
    <w:rsid w:val="00532401"/>
    <w:rsid w:val="0053243E"/>
    <w:rsid w:val="0053276E"/>
    <w:rsid w:val="00532DBB"/>
    <w:rsid w:val="0053363E"/>
    <w:rsid w:val="0053380B"/>
    <w:rsid w:val="00534700"/>
    <w:rsid w:val="00534F8E"/>
    <w:rsid w:val="005361F6"/>
    <w:rsid w:val="005373B5"/>
    <w:rsid w:val="005406E2"/>
    <w:rsid w:val="00541456"/>
    <w:rsid w:val="005418FC"/>
    <w:rsid w:val="00541C7A"/>
    <w:rsid w:val="00541D37"/>
    <w:rsid w:val="00542170"/>
    <w:rsid w:val="00542685"/>
    <w:rsid w:val="00542843"/>
    <w:rsid w:val="0054296C"/>
    <w:rsid w:val="00542B9A"/>
    <w:rsid w:val="00542CA0"/>
    <w:rsid w:val="00543067"/>
    <w:rsid w:val="005448E6"/>
    <w:rsid w:val="00545B40"/>
    <w:rsid w:val="00545C19"/>
    <w:rsid w:val="0054708A"/>
    <w:rsid w:val="005474F0"/>
    <w:rsid w:val="00547BA9"/>
    <w:rsid w:val="00550003"/>
    <w:rsid w:val="005501C3"/>
    <w:rsid w:val="00551262"/>
    <w:rsid w:val="0055168E"/>
    <w:rsid w:val="00552900"/>
    <w:rsid w:val="00552CE8"/>
    <w:rsid w:val="00553A5A"/>
    <w:rsid w:val="00553F21"/>
    <w:rsid w:val="00554557"/>
    <w:rsid w:val="00554EBD"/>
    <w:rsid w:val="005559AE"/>
    <w:rsid w:val="00555A6D"/>
    <w:rsid w:val="00556343"/>
    <w:rsid w:val="005569C9"/>
    <w:rsid w:val="00557432"/>
    <w:rsid w:val="00560804"/>
    <w:rsid w:val="00561AED"/>
    <w:rsid w:val="00561ED3"/>
    <w:rsid w:val="00561F6D"/>
    <w:rsid w:val="0056253D"/>
    <w:rsid w:val="0056257B"/>
    <w:rsid w:val="00562776"/>
    <w:rsid w:val="00562A65"/>
    <w:rsid w:val="00562D8A"/>
    <w:rsid w:val="005637D6"/>
    <w:rsid w:val="00563E35"/>
    <w:rsid w:val="005642F1"/>
    <w:rsid w:val="005643A2"/>
    <w:rsid w:val="00564A7D"/>
    <w:rsid w:val="00564BFB"/>
    <w:rsid w:val="00564D83"/>
    <w:rsid w:val="00565901"/>
    <w:rsid w:val="00565B54"/>
    <w:rsid w:val="00565D0B"/>
    <w:rsid w:val="0056670C"/>
    <w:rsid w:val="00566AFE"/>
    <w:rsid w:val="0056738D"/>
    <w:rsid w:val="00567527"/>
    <w:rsid w:val="005678B9"/>
    <w:rsid w:val="00570074"/>
    <w:rsid w:val="0057069F"/>
    <w:rsid w:val="00570DB5"/>
    <w:rsid w:val="0057119C"/>
    <w:rsid w:val="00571756"/>
    <w:rsid w:val="005719F4"/>
    <w:rsid w:val="00571FAD"/>
    <w:rsid w:val="005722C5"/>
    <w:rsid w:val="00572582"/>
    <w:rsid w:val="0057280E"/>
    <w:rsid w:val="00573E5B"/>
    <w:rsid w:val="0057408C"/>
    <w:rsid w:val="00574458"/>
    <w:rsid w:val="005749C2"/>
    <w:rsid w:val="00574EC4"/>
    <w:rsid w:val="005750FB"/>
    <w:rsid w:val="00576013"/>
    <w:rsid w:val="005764B7"/>
    <w:rsid w:val="0057670D"/>
    <w:rsid w:val="00576CA1"/>
    <w:rsid w:val="00576FCA"/>
    <w:rsid w:val="0057713F"/>
    <w:rsid w:val="00577960"/>
    <w:rsid w:val="00577980"/>
    <w:rsid w:val="00577C58"/>
    <w:rsid w:val="00577E2F"/>
    <w:rsid w:val="00580A00"/>
    <w:rsid w:val="00580C39"/>
    <w:rsid w:val="005815B4"/>
    <w:rsid w:val="00581B64"/>
    <w:rsid w:val="005828EB"/>
    <w:rsid w:val="00582D9E"/>
    <w:rsid w:val="00583594"/>
    <w:rsid w:val="00583C81"/>
    <w:rsid w:val="0058463B"/>
    <w:rsid w:val="00584AD7"/>
    <w:rsid w:val="00585AA8"/>
    <w:rsid w:val="00585BE7"/>
    <w:rsid w:val="00585C91"/>
    <w:rsid w:val="00586129"/>
    <w:rsid w:val="00586410"/>
    <w:rsid w:val="00586AEC"/>
    <w:rsid w:val="005876D0"/>
    <w:rsid w:val="0059082C"/>
    <w:rsid w:val="00590A12"/>
    <w:rsid w:val="0059135C"/>
    <w:rsid w:val="005919C3"/>
    <w:rsid w:val="00591F44"/>
    <w:rsid w:val="005931D6"/>
    <w:rsid w:val="005933C1"/>
    <w:rsid w:val="00593911"/>
    <w:rsid w:val="00593C6B"/>
    <w:rsid w:val="00594B0B"/>
    <w:rsid w:val="00594DB6"/>
    <w:rsid w:val="00594E27"/>
    <w:rsid w:val="00595447"/>
    <w:rsid w:val="0059610C"/>
    <w:rsid w:val="0059677B"/>
    <w:rsid w:val="00596903"/>
    <w:rsid w:val="00596996"/>
    <w:rsid w:val="00596A6C"/>
    <w:rsid w:val="00596C39"/>
    <w:rsid w:val="00597A36"/>
    <w:rsid w:val="005A07A7"/>
    <w:rsid w:val="005A0B5F"/>
    <w:rsid w:val="005A0E3F"/>
    <w:rsid w:val="005A1B73"/>
    <w:rsid w:val="005A227B"/>
    <w:rsid w:val="005A31EA"/>
    <w:rsid w:val="005A3656"/>
    <w:rsid w:val="005A3BDB"/>
    <w:rsid w:val="005A3E43"/>
    <w:rsid w:val="005A3E57"/>
    <w:rsid w:val="005A4401"/>
    <w:rsid w:val="005A4965"/>
    <w:rsid w:val="005A4F64"/>
    <w:rsid w:val="005A5193"/>
    <w:rsid w:val="005A6088"/>
    <w:rsid w:val="005A638F"/>
    <w:rsid w:val="005A7A0B"/>
    <w:rsid w:val="005B0A52"/>
    <w:rsid w:val="005B0E8E"/>
    <w:rsid w:val="005B1698"/>
    <w:rsid w:val="005B1856"/>
    <w:rsid w:val="005B1FB1"/>
    <w:rsid w:val="005B208E"/>
    <w:rsid w:val="005B30BA"/>
    <w:rsid w:val="005B36DA"/>
    <w:rsid w:val="005B3940"/>
    <w:rsid w:val="005B47D9"/>
    <w:rsid w:val="005B4BB8"/>
    <w:rsid w:val="005B53AE"/>
    <w:rsid w:val="005B5834"/>
    <w:rsid w:val="005B6503"/>
    <w:rsid w:val="005B6572"/>
    <w:rsid w:val="005B7B12"/>
    <w:rsid w:val="005B7E29"/>
    <w:rsid w:val="005C01CC"/>
    <w:rsid w:val="005C0528"/>
    <w:rsid w:val="005C19A0"/>
    <w:rsid w:val="005C1D0F"/>
    <w:rsid w:val="005C1E05"/>
    <w:rsid w:val="005C2671"/>
    <w:rsid w:val="005C2D2A"/>
    <w:rsid w:val="005C2FBE"/>
    <w:rsid w:val="005C3335"/>
    <w:rsid w:val="005C3E3F"/>
    <w:rsid w:val="005C3FFF"/>
    <w:rsid w:val="005C4584"/>
    <w:rsid w:val="005C4867"/>
    <w:rsid w:val="005C4B79"/>
    <w:rsid w:val="005C5DA7"/>
    <w:rsid w:val="005C5F8A"/>
    <w:rsid w:val="005C6144"/>
    <w:rsid w:val="005C786A"/>
    <w:rsid w:val="005C7C05"/>
    <w:rsid w:val="005C7F0B"/>
    <w:rsid w:val="005D0846"/>
    <w:rsid w:val="005D0A90"/>
    <w:rsid w:val="005D1379"/>
    <w:rsid w:val="005D1556"/>
    <w:rsid w:val="005D15F3"/>
    <w:rsid w:val="005D177E"/>
    <w:rsid w:val="005D1944"/>
    <w:rsid w:val="005D2898"/>
    <w:rsid w:val="005D2C8A"/>
    <w:rsid w:val="005D4741"/>
    <w:rsid w:val="005D4901"/>
    <w:rsid w:val="005D5867"/>
    <w:rsid w:val="005D5E0A"/>
    <w:rsid w:val="005D60E6"/>
    <w:rsid w:val="005D6B56"/>
    <w:rsid w:val="005D775F"/>
    <w:rsid w:val="005E12DE"/>
    <w:rsid w:val="005E13ED"/>
    <w:rsid w:val="005E190B"/>
    <w:rsid w:val="005E217D"/>
    <w:rsid w:val="005E24CC"/>
    <w:rsid w:val="005E3CD7"/>
    <w:rsid w:val="005E3E9D"/>
    <w:rsid w:val="005E3FA2"/>
    <w:rsid w:val="005E3FB7"/>
    <w:rsid w:val="005E4035"/>
    <w:rsid w:val="005E4730"/>
    <w:rsid w:val="005E47DA"/>
    <w:rsid w:val="005E4B39"/>
    <w:rsid w:val="005E5112"/>
    <w:rsid w:val="005E52BB"/>
    <w:rsid w:val="005E64FA"/>
    <w:rsid w:val="005E6600"/>
    <w:rsid w:val="005E714B"/>
    <w:rsid w:val="005E7A0D"/>
    <w:rsid w:val="005F07CA"/>
    <w:rsid w:val="005F0ED3"/>
    <w:rsid w:val="005F10CE"/>
    <w:rsid w:val="005F1E29"/>
    <w:rsid w:val="005F2B9E"/>
    <w:rsid w:val="005F2DD0"/>
    <w:rsid w:val="005F2F9F"/>
    <w:rsid w:val="005F34F5"/>
    <w:rsid w:val="005F4230"/>
    <w:rsid w:val="005F47D4"/>
    <w:rsid w:val="005F487C"/>
    <w:rsid w:val="005F4F62"/>
    <w:rsid w:val="005F58A9"/>
    <w:rsid w:val="005F60CE"/>
    <w:rsid w:val="005F626A"/>
    <w:rsid w:val="005F6D2A"/>
    <w:rsid w:val="005F740F"/>
    <w:rsid w:val="005F7F83"/>
    <w:rsid w:val="00600150"/>
    <w:rsid w:val="00600659"/>
    <w:rsid w:val="00601FB0"/>
    <w:rsid w:val="00603366"/>
    <w:rsid w:val="006040FF"/>
    <w:rsid w:val="00604771"/>
    <w:rsid w:val="00604AC0"/>
    <w:rsid w:val="0060511A"/>
    <w:rsid w:val="00607102"/>
    <w:rsid w:val="006075E8"/>
    <w:rsid w:val="0060773C"/>
    <w:rsid w:val="00607A14"/>
    <w:rsid w:val="00610A5F"/>
    <w:rsid w:val="00610FDA"/>
    <w:rsid w:val="006117A2"/>
    <w:rsid w:val="006120C3"/>
    <w:rsid w:val="00614249"/>
    <w:rsid w:val="00614657"/>
    <w:rsid w:val="00614C96"/>
    <w:rsid w:val="00614CAC"/>
    <w:rsid w:val="006152E7"/>
    <w:rsid w:val="0061549D"/>
    <w:rsid w:val="00615578"/>
    <w:rsid w:val="006156A1"/>
    <w:rsid w:val="00615A88"/>
    <w:rsid w:val="0061637F"/>
    <w:rsid w:val="00616899"/>
    <w:rsid w:val="006175C7"/>
    <w:rsid w:val="00617AEE"/>
    <w:rsid w:val="00617C11"/>
    <w:rsid w:val="006208A1"/>
    <w:rsid w:val="00620C35"/>
    <w:rsid w:val="00620EAA"/>
    <w:rsid w:val="00620FFF"/>
    <w:rsid w:val="006221B2"/>
    <w:rsid w:val="006223F3"/>
    <w:rsid w:val="006223FE"/>
    <w:rsid w:val="006224B1"/>
    <w:rsid w:val="00622AD7"/>
    <w:rsid w:val="00622B10"/>
    <w:rsid w:val="00622EB7"/>
    <w:rsid w:val="006232B9"/>
    <w:rsid w:val="006237ED"/>
    <w:rsid w:val="00623C17"/>
    <w:rsid w:val="006241FC"/>
    <w:rsid w:val="0062433F"/>
    <w:rsid w:val="00624C36"/>
    <w:rsid w:val="006256D0"/>
    <w:rsid w:val="006256FF"/>
    <w:rsid w:val="00625A29"/>
    <w:rsid w:val="00625FCC"/>
    <w:rsid w:val="006260A7"/>
    <w:rsid w:val="00627220"/>
    <w:rsid w:val="00630450"/>
    <w:rsid w:val="00630451"/>
    <w:rsid w:val="00630CDC"/>
    <w:rsid w:val="00630DD5"/>
    <w:rsid w:val="006326AB"/>
    <w:rsid w:val="00632743"/>
    <w:rsid w:val="00632F3D"/>
    <w:rsid w:val="006331C9"/>
    <w:rsid w:val="00633212"/>
    <w:rsid w:val="00633A53"/>
    <w:rsid w:val="0063496F"/>
    <w:rsid w:val="0063543B"/>
    <w:rsid w:val="0063569F"/>
    <w:rsid w:val="00635998"/>
    <w:rsid w:val="00635D33"/>
    <w:rsid w:val="00635E93"/>
    <w:rsid w:val="00635EAA"/>
    <w:rsid w:val="00636278"/>
    <w:rsid w:val="006363FD"/>
    <w:rsid w:val="00636789"/>
    <w:rsid w:val="0063708F"/>
    <w:rsid w:val="006375F6"/>
    <w:rsid w:val="006376F5"/>
    <w:rsid w:val="00637C57"/>
    <w:rsid w:val="00637EF1"/>
    <w:rsid w:val="00640BE4"/>
    <w:rsid w:val="0064159E"/>
    <w:rsid w:val="0064195C"/>
    <w:rsid w:val="00642F0E"/>
    <w:rsid w:val="00643879"/>
    <w:rsid w:val="006446E0"/>
    <w:rsid w:val="00644EEE"/>
    <w:rsid w:val="00646347"/>
    <w:rsid w:val="006467BF"/>
    <w:rsid w:val="00647533"/>
    <w:rsid w:val="00647FDD"/>
    <w:rsid w:val="00650CD7"/>
    <w:rsid w:val="006510DE"/>
    <w:rsid w:val="0065151F"/>
    <w:rsid w:val="0065156E"/>
    <w:rsid w:val="00653455"/>
    <w:rsid w:val="00653773"/>
    <w:rsid w:val="00653C1B"/>
    <w:rsid w:val="00654FFE"/>
    <w:rsid w:val="0065547F"/>
    <w:rsid w:val="006560FB"/>
    <w:rsid w:val="00656319"/>
    <w:rsid w:val="0065687B"/>
    <w:rsid w:val="006569DD"/>
    <w:rsid w:val="00656DF2"/>
    <w:rsid w:val="006577E1"/>
    <w:rsid w:val="00657AB5"/>
    <w:rsid w:val="00657B9C"/>
    <w:rsid w:val="0066004B"/>
    <w:rsid w:val="0066017E"/>
    <w:rsid w:val="00660BB9"/>
    <w:rsid w:val="006612C4"/>
    <w:rsid w:val="006616EC"/>
    <w:rsid w:val="0066199D"/>
    <w:rsid w:val="00661BA9"/>
    <w:rsid w:val="006624D5"/>
    <w:rsid w:val="00662AD2"/>
    <w:rsid w:val="00662AEC"/>
    <w:rsid w:val="00662E6A"/>
    <w:rsid w:val="006635BF"/>
    <w:rsid w:val="00663C31"/>
    <w:rsid w:val="00663E2E"/>
    <w:rsid w:val="00664402"/>
    <w:rsid w:val="00664A87"/>
    <w:rsid w:val="0066562B"/>
    <w:rsid w:val="00666142"/>
    <w:rsid w:val="006709BE"/>
    <w:rsid w:val="00670E54"/>
    <w:rsid w:val="0067141B"/>
    <w:rsid w:val="0067141F"/>
    <w:rsid w:val="00672017"/>
    <w:rsid w:val="00672274"/>
    <w:rsid w:val="0067235B"/>
    <w:rsid w:val="00673A7E"/>
    <w:rsid w:val="00673CF8"/>
    <w:rsid w:val="00674B58"/>
    <w:rsid w:val="00674F79"/>
    <w:rsid w:val="00675109"/>
    <w:rsid w:val="0067533B"/>
    <w:rsid w:val="00675CC9"/>
    <w:rsid w:val="00676798"/>
    <w:rsid w:val="00676D32"/>
    <w:rsid w:val="00676DCE"/>
    <w:rsid w:val="00676FB7"/>
    <w:rsid w:val="00677639"/>
    <w:rsid w:val="0068038F"/>
    <w:rsid w:val="0068114E"/>
    <w:rsid w:val="006813B5"/>
    <w:rsid w:val="00681695"/>
    <w:rsid w:val="00681AD0"/>
    <w:rsid w:val="006826B8"/>
    <w:rsid w:val="00683293"/>
    <w:rsid w:val="00683713"/>
    <w:rsid w:val="00683AB3"/>
    <w:rsid w:val="00683B3E"/>
    <w:rsid w:val="00683F62"/>
    <w:rsid w:val="0068404A"/>
    <w:rsid w:val="0068424E"/>
    <w:rsid w:val="00684AAC"/>
    <w:rsid w:val="00684D4A"/>
    <w:rsid w:val="00686557"/>
    <w:rsid w:val="00686E58"/>
    <w:rsid w:val="006878F3"/>
    <w:rsid w:val="006900CA"/>
    <w:rsid w:val="00690624"/>
    <w:rsid w:val="00691020"/>
    <w:rsid w:val="006912BE"/>
    <w:rsid w:val="0069258F"/>
    <w:rsid w:val="006927F8"/>
    <w:rsid w:val="0069304A"/>
    <w:rsid w:val="006936C6"/>
    <w:rsid w:val="00694433"/>
    <w:rsid w:val="00694A1A"/>
    <w:rsid w:val="00694E9F"/>
    <w:rsid w:val="006951BA"/>
    <w:rsid w:val="006951F0"/>
    <w:rsid w:val="006961E7"/>
    <w:rsid w:val="006964CF"/>
    <w:rsid w:val="006969DE"/>
    <w:rsid w:val="006975C5"/>
    <w:rsid w:val="00697F80"/>
    <w:rsid w:val="006A083C"/>
    <w:rsid w:val="006A088D"/>
    <w:rsid w:val="006A0953"/>
    <w:rsid w:val="006A0EA9"/>
    <w:rsid w:val="006A111A"/>
    <w:rsid w:val="006A14D4"/>
    <w:rsid w:val="006A2268"/>
    <w:rsid w:val="006A22CD"/>
    <w:rsid w:val="006A239F"/>
    <w:rsid w:val="006A26C8"/>
    <w:rsid w:val="006A33D2"/>
    <w:rsid w:val="006A3797"/>
    <w:rsid w:val="006A396E"/>
    <w:rsid w:val="006A4393"/>
    <w:rsid w:val="006A4658"/>
    <w:rsid w:val="006A4D65"/>
    <w:rsid w:val="006A4FEB"/>
    <w:rsid w:val="006A5516"/>
    <w:rsid w:val="006A5954"/>
    <w:rsid w:val="006A5DAB"/>
    <w:rsid w:val="006A6D3A"/>
    <w:rsid w:val="006B00DE"/>
    <w:rsid w:val="006B020B"/>
    <w:rsid w:val="006B0700"/>
    <w:rsid w:val="006B0DEF"/>
    <w:rsid w:val="006B0FF3"/>
    <w:rsid w:val="006B2501"/>
    <w:rsid w:val="006B3C27"/>
    <w:rsid w:val="006B494B"/>
    <w:rsid w:val="006B4A0D"/>
    <w:rsid w:val="006B4CA0"/>
    <w:rsid w:val="006B5761"/>
    <w:rsid w:val="006B5D4F"/>
    <w:rsid w:val="006B66FC"/>
    <w:rsid w:val="006B7127"/>
    <w:rsid w:val="006B76AA"/>
    <w:rsid w:val="006B7D8D"/>
    <w:rsid w:val="006B7F56"/>
    <w:rsid w:val="006C0041"/>
    <w:rsid w:val="006C168D"/>
    <w:rsid w:val="006C196A"/>
    <w:rsid w:val="006C237B"/>
    <w:rsid w:val="006C2407"/>
    <w:rsid w:val="006C26BE"/>
    <w:rsid w:val="006C2FF9"/>
    <w:rsid w:val="006C345A"/>
    <w:rsid w:val="006C3992"/>
    <w:rsid w:val="006C4977"/>
    <w:rsid w:val="006C543A"/>
    <w:rsid w:val="006C6101"/>
    <w:rsid w:val="006C640C"/>
    <w:rsid w:val="006C64EB"/>
    <w:rsid w:val="006C6D7E"/>
    <w:rsid w:val="006C79D4"/>
    <w:rsid w:val="006D08DE"/>
    <w:rsid w:val="006D09D6"/>
    <w:rsid w:val="006D11B0"/>
    <w:rsid w:val="006D12E0"/>
    <w:rsid w:val="006D1355"/>
    <w:rsid w:val="006D1494"/>
    <w:rsid w:val="006D1A68"/>
    <w:rsid w:val="006D2271"/>
    <w:rsid w:val="006D2D53"/>
    <w:rsid w:val="006D34D9"/>
    <w:rsid w:val="006D394C"/>
    <w:rsid w:val="006D3CD1"/>
    <w:rsid w:val="006D3FB5"/>
    <w:rsid w:val="006D4206"/>
    <w:rsid w:val="006D55C7"/>
    <w:rsid w:val="006D68E3"/>
    <w:rsid w:val="006D7C5E"/>
    <w:rsid w:val="006E007F"/>
    <w:rsid w:val="006E06D1"/>
    <w:rsid w:val="006E31AE"/>
    <w:rsid w:val="006E31C7"/>
    <w:rsid w:val="006E35C4"/>
    <w:rsid w:val="006E37BC"/>
    <w:rsid w:val="006E37C6"/>
    <w:rsid w:val="006E3C59"/>
    <w:rsid w:val="006E5118"/>
    <w:rsid w:val="006E5157"/>
    <w:rsid w:val="006E5717"/>
    <w:rsid w:val="006E6057"/>
    <w:rsid w:val="006E6962"/>
    <w:rsid w:val="006F0AD6"/>
    <w:rsid w:val="006F2196"/>
    <w:rsid w:val="006F23F2"/>
    <w:rsid w:val="006F2ABB"/>
    <w:rsid w:val="006F3061"/>
    <w:rsid w:val="006F3353"/>
    <w:rsid w:val="006F3C5F"/>
    <w:rsid w:val="006F3D6D"/>
    <w:rsid w:val="006F4BC3"/>
    <w:rsid w:val="006F4C59"/>
    <w:rsid w:val="006F4D80"/>
    <w:rsid w:val="006F503E"/>
    <w:rsid w:val="006F61D3"/>
    <w:rsid w:val="006F7343"/>
    <w:rsid w:val="006F77EB"/>
    <w:rsid w:val="007006AC"/>
    <w:rsid w:val="007010BE"/>
    <w:rsid w:val="00701E68"/>
    <w:rsid w:val="007021BF"/>
    <w:rsid w:val="00702D33"/>
    <w:rsid w:val="00703533"/>
    <w:rsid w:val="007040FA"/>
    <w:rsid w:val="00704504"/>
    <w:rsid w:val="007048E1"/>
    <w:rsid w:val="00705144"/>
    <w:rsid w:val="0070547D"/>
    <w:rsid w:val="00705673"/>
    <w:rsid w:val="00705BAB"/>
    <w:rsid w:val="00706053"/>
    <w:rsid w:val="00706360"/>
    <w:rsid w:val="00706902"/>
    <w:rsid w:val="00706B9A"/>
    <w:rsid w:val="007072F8"/>
    <w:rsid w:val="007076F3"/>
    <w:rsid w:val="00707B4B"/>
    <w:rsid w:val="007101B4"/>
    <w:rsid w:val="0071044E"/>
    <w:rsid w:val="00711577"/>
    <w:rsid w:val="00711CA6"/>
    <w:rsid w:val="007121D5"/>
    <w:rsid w:val="0071336B"/>
    <w:rsid w:val="007138D3"/>
    <w:rsid w:val="00714EC1"/>
    <w:rsid w:val="00715AC5"/>
    <w:rsid w:val="00715E1B"/>
    <w:rsid w:val="00715EEF"/>
    <w:rsid w:val="00715F36"/>
    <w:rsid w:val="0071672E"/>
    <w:rsid w:val="00716D58"/>
    <w:rsid w:val="00717103"/>
    <w:rsid w:val="00720A29"/>
    <w:rsid w:val="00721CFB"/>
    <w:rsid w:val="00721E37"/>
    <w:rsid w:val="007221BD"/>
    <w:rsid w:val="00722333"/>
    <w:rsid w:val="00722CFC"/>
    <w:rsid w:val="0072436D"/>
    <w:rsid w:val="00724627"/>
    <w:rsid w:val="00724ABE"/>
    <w:rsid w:val="00724D01"/>
    <w:rsid w:val="00725A7B"/>
    <w:rsid w:val="00725A99"/>
    <w:rsid w:val="00726212"/>
    <w:rsid w:val="00726F94"/>
    <w:rsid w:val="00730F02"/>
    <w:rsid w:val="007315FD"/>
    <w:rsid w:val="007317F3"/>
    <w:rsid w:val="00731A74"/>
    <w:rsid w:val="0073241E"/>
    <w:rsid w:val="007324C4"/>
    <w:rsid w:val="00732503"/>
    <w:rsid w:val="00732BBC"/>
    <w:rsid w:val="00732F37"/>
    <w:rsid w:val="00733692"/>
    <w:rsid w:val="0073462D"/>
    <w:rsid w:val="0073594B"/>
    <w:rsid w:val="00735FBD"/>
    <w:rsid w:val="0073725A"/>
    <w:rsid w:val="007379DF"/>
    <w:rsid w:val="00737B53"/>
    <w:rsid w:val="00737B89"/>
    <w:rsid w:val="00740A1E"/>
    <w:rsid w:val="00740A45"/>
    <w:rsid w:val="00740F17"/>
    <w:rsid w:val="007416ED"/>
    <w:rsid w:val="00741757"/>
    <w:rsid w:val="00742983"/>
    <w:rsid w:val="00743534"/>
    <w:rsid w:val="007438AA"/>
    <w:rsid w:val="007438E3"/>
    <w:rsid w:val="00743B89"/>
    <w:rsid w:val="00744ED4"/>
    <w:rsid w:val="007453E0"/>
    <w:rsid w:val="007459A7"/>
    <w:rsid w:val="007467A5"/>
    <w:rsid w:val="0074731A"/>
    <w:rsid w:val="0074739B"/>
    <w:rsid w:val="007475E1"/>
    <w:rsid w:val="0074776E"/>
    <w:rsid w:val="00747EC0"/>
    <w:rsid w:val="00750047"/>
    <w:rsid w:val="007506EF"/>
    <w:rsid w:val="00751903"/>
    <w:rsid w:val="00751AC4"/>
    <w:rsid w:val="00751B75"/>
    <w:rsid w:val="00751E2C"/>
    <w:rsid w:val="0075289D"/>
    <w:rsid w:val="00753610"/>
    <w:rsid w:val="00753986"/>
    <w:rsid w:val="00754245"/>
    <w:rsid w:val="00754436"/>
    <w:rsid w:val="00754C22"/>
    <w:rsid w:val="007554CE"/>
    <w:rsid w:val="00756256"/>
    <w:rsid w:val="00756C5B"/>
    <w:rsid w:val="007604B3"/>
    <w:rsid w:val="00760FBF"/>
    <w:rsid w:val="0076173F"/>
    <w:rsid w:val="00761F28"/>
    <w:rsid w:val="007624CC"/>
    <w:rsid w:val="00765405"/>
    <w:rsid w:val="00765954"/>
    <w:rsid w:val="00765D55"/>
    <w:rsid w:val="0076687C"/>
    <w:rsid w:val="00766DD9"/>
    <w:rsid w:val="00767040"/>
    <w:rsid w:val="00767101"/>
    <w:rsid w:val="00767607"/>
    <w:rsid w:val="007676C2"/>
    <w:rsid w:val="00770128"/>
    <w:rsid w:val="007701AE"/>
    <w:rsid w:val="00770755"/>
    <w:rsid w:val="00770F38"/>
    <w:rsid w:val="00771CAB"/>
    <w:rsid w:val="00771DAB"/>
    <w:rsid w:val="007722E1"/>
    <w:rsid w:val="007734FA"/>
    <w:rsid w:val="007743A7"/>
    <w:rsid w:val="0077446B"/>
    <w:rsid w:val="00774F4E"/>
    <w:rsid w:val="00775752"/>
    <w:rsid w:val="007757CC"/>
    <w:rsid w:val="00775C8D"/>
    <w:rsid w:val="00775E85"/>
    <w:rsid w:val="007769DD"/>
    <w:rsid w:val="00776B87"/>
    <w:rsid w:val="00777D0A"/>
    <w:rsid w:val="00780733"/>
    <w:rsid w:val="007808D2"/>
    <w:rsid w:val="0078197E"/>
    <w:rsid w:val="007825FE"/>
    <w:rsid w:val="00783419"/>
    <w:rsid w:val="007834EC"/>
    <w:rsid w:val="0078361F"/>
    <w:rsid w:val="007840C8"/>
    <w:rsid w:val="00784C6A"/>
    <w:rsid w:val="00784FBD"/>
    <w:rsid w:val="0078625A"/>
    <w:rsid w:val="0078648D"/>
    <w:rsid w:val="00786A00"/>
    <w:rsid w:val="00786E64"/>
    <w:rsid w:val="00787178"/>
    <w:rsid w:val="0078770F"/>
    <w:rsid w:val="007904A1"/>
    <w:rsid w:val="007904B1"/>
    <w:rsid w:val="0079188B"/>
    <w:rsid w:val="007928BB"/>
    <w:rsid w:val="00792947"/>
    <w:rsid w:val="0079359C"/>
    <w:rsid w:val="0079383A"/>
    <w:rsid w:val="00793B1F"/>
    <w:rsid w:val="0079473B"/>
    <w:rsid w:val="00794850"/>
    <w:rsid w:val="007949F3"/>
    <w:rsid w:val="00794DE7"/>
    <w:rsid w:val="0079504B"/>
    <w:rsid w:val="00795B10"/>
    <w:rsid w:val="00796074"/>
    <w:rsid w:val="007960CE"/>
    <w:rsid w:val="00796AB2"/>
    <w:rsid w:val="00796B59"/>
    <w:rsid w:val="00796EAC"/>
    <w:rsid w:val="00796FDC"/>
    <w:rsid w:val="007973EB"/>
    <w:rsid w:val="007974C8"/>
    <w:rsid w:val="00797A22"/>
    <w:rsid w:val="00797A4F"/>
    <w:rsid w:val="00797CF5"/>
    <w:rsid w:val="007A021F"/>
    <w:rsid w:val="007A0BEB"/>
    <w:rsid w:val="007A0F04"/>
    <w:rsid w:val="007A1602"/>
    <w:rsid w:val="007A2CC7"/>
    <w:rsid w:val="007A2E01"/>
    <w:rsid w:val="007A3526"/>
    <w:rsid w:val="007A3A6C"/>
    <w:rsid w:val="007A3AC3"/>
    <w:rsid w:val="007A3AE4"/>
    <w:rsid w:val="007A3E90"/>
    <w:rsid w:val="007A3E9B"/>
    <w:rsid w:val="007A4563"/>
    <w:rsid w:val="007A477E"/>
    <w:rsid w:val="007A48D6"/>
    <w:rsid w:val="007A4CA5"/>
    <w:rsid w:val="007A687A"/>
    <w:rsid w:val="007A6E00"/>
    <w:rsid w:val="007A76A1"/>
    <w:rsid w:val="007A7C5D"/>
    <w:rsid w:val="007A7EAC"/>
    <w:rsid w:val="007B0046"/>
    <w:rsid w:val="007B1359"/>
    <w:rsid w:val="007B14B1"/>
    <w:rsid w:val="007B1716"/>
    <w:rsid w:val="007B18E0"/>
    <w:rsid w:val="007B2AD2"/>
    <w:rsid w:val="007B3098"/>
    <w:rsid w:val="007B36A0"/>
    <w:rsid w:val="007B37E5"/>
    <w:rsid w:val="007B3FB6"/>
    <w:rsid w:val="007B443A"/>
    <w:rsid w:val="007B44B2"/>
    <w:rsid w:val="007B4624"/>
    <w:rsid w:val="007B4AB4"/>
    <w:rsid w:val="007B4E36"/>
    <w:rsid w:val="007B6056"/>
    <w:rsid w:val="007B653E"/>
    <w:rsid w:val="007B6593"/>
    <w:rsid w:val="007B6D53"/>
    <w:rsid w:val="007B7222"/>
    <w:rsid w:val="007B746D"/>
    <w:rsid w:val="007B787E"/>
    <w:rsid w:val="007C034A"/>
    <w:rsid w:val="007C1688"/>
    <w:rsid w:val="007C17A9"/>
    <w:rsid w:val="007C27C8"/>
    <w:rsid w:val="007C3933"/>
    <w:rsid w:val="007C4EEE"/>
    <w:rsid w:val="007C5033"/>
    <w:rsid w:val="007C5ADD"/>
    <w:rsid w:val="007C5E66"/>
    <w:rsid w:val="007C729A"/>
    <w:rsid w:val="007D0118"/>
    <w:rsid w:val="007D02F2"/>
    <w:rsid w:val="007D0774"/>
    <w:rsid w:val="007D07DD"/>
    <w:rsid w:val="007D08A2"/>
    <w:rsid w:val="007D0EFB"/>
    <w:rsid w:val="007D136F"/>
    <w:rsid w:val="007D147B"/>
    <w:rsid w:val="007D1B71"/>
    <w:rsid w:val="007D2107"/>
    <w:rsid w:val="007D2F24"/>
    <w:rsid w:val="007D32D6"/>
    <w:rsid w:val="007D33EF"/>
    <w:rsid w:val="007D36D7"/>
    <w:rsid w:val="007D42E6"/>
    <w:rsid w:val="007D4F74"/>
    <w:rsid w:val="007D5158"/>
    <w:rsid w:val="007D6B82"/>
    <w:rsid w:val="007D6C23"/>
    <w:rsid w:val="007D7D37"/>
    <w:rsid w:val="007D7E15"/>
    <w:rsid w:val="007E0317"/>
    <w:rsid w:val="007E041C"/>
    <w:rsid w:val="007E23E0"/>
    <w:rsid w:val="007E2B39"/>
    <w:rsid w:val="007E351E"/>
    <w:rsid w:val="007E430A"/>
    <w:rsid w:val="007E4A18"/>
    <w:rsid w:val="007E545A"/>
    <w:rsid w:val="007E7009"/>
    <w:rsid w:val="007E7275"/>
    <w:rsid w:val="007E79D5"/>
    <w:rsid w:val="007E7D39"/>
    <w:rsid w:val="007F0147"/>
    <w:rsid w:val="007F036E"/>
    <w:rsid w:val="007F0D9E"/>
    <w:rsid w:val="007F1418"/>
    <w:rsid w:val="007F1676"/>
    <w:rsid w:val="007F1879"/>
    <w:rsid w:val="007F22F0"/>
    <w:rsid w:val="007F2A71"/>
    <w:rsid w:val="007F4894"/>
    <w:rsid w:val="007F5327"/>
    <w:rsid w:val="007F53CE"/>
    <w:rsid w:val="007F6396"/>
    <w:rsid w:val="007F66FB"/>
    <w:rsid w:val="007F6B9D"/>
    <w:rsid w:val="007F6E94"/>
    <w:rsid w:val="007F6FB1"/>
    <w:rsid w:val="007F71D6"/>
    <w:rsid w:val="007F7E0F"/>
    <w:rsid w:val="0080016E"/>
    <w:rsid w:val="008005CA"/>
    <w:rsid w:val="00800AA4"/>
    <w:rsid w:val="00800CED"/>
    <w:rsid w:val="00800D7D"/>
    <w:rsid w:val="008014F4"/>
    <w:rsid w:val="00801847"/>
    <w:rsid w:val="00802DBA"/>
    <w:rsid w:val="0080326B"/>
    <w:rsid w:val="008032C3"/>
    <w:rsid w:val="008035BD"/>
    <w:rsid w:val="00804564"/>
    <w:rsid w:val="008046B2"/>
    <w:rsid w:val="008046C5"/>
    <w:rsid w:val="00805088"/>
    <w:rsid w:val="00805217"/>
    <w:rsid w:val="008053D0"/>
    <w:rsid w:val="008054FC"/>
    <w:rsid w:val="00806347"/>
    <w:rsid w:val="00806B01"/>
    <w:rsid w:val="00806B92"/>
    <w:rsid w:val="00806CBF"/>
    <w:rsid w:val="00807D3D"/>
    <w:rsid w:val="00807DCC"/>
    <w:rsid w:val="00807FC0"/>
    <w:rsid w:val="00810BD9"/>
    <w:rsid w:val="00810CD3"/>
    <w:rsid w:val="008115D9"/>
    <w:rsid w:val="0081285F"/>
    <w:rsid w:val="00812AB9"/>
    <w:rsid w:val="00813169"/>
    <w:rsid w:val="00813451"/>
    <w:rsid w:val="00813593"/>
    <w:rsid w:val="00813C59"/>
    <w:rsid w:val="0081404A"/>
    <w:rsid w:val="00814357"/>
    <w:rsid w:val="008143CD"/>
    <w:rsid w:val="008155D9"/>
    <w:rsid w:val="0081604B"/>
    <w:rsid w:val="008162D8"/>
    <w:rsid w:val="00816E7D"/>
    <w:rsid w:val="00816E93"/>
    <w:rsid w:val="00817135"/>
    <w:rsid w:val="0081767E"/>
    <w:rsid w:val="00817AE1"/>
    <w:rsid w:val="0082005D"/>
    <w:rsid w:val="008205B7"/>
    <w:rsid w:val="00820AAE"/>
    <w:rsid w:val="00820E92"/>
    <w:rsid w:val="008211A5"/>
    <w:rsid w:val="00821925"/>
    <w:rsid w:val="00821C93"/>
    <w:rsid w:val="00822130"/>
    <w:rsid w:val="00822227"/>
    <w:rsid w:val="00822C81"/>
    <w:rsid w:val="0082361B"/>
    <w:rsid w:val="008237AD"/>
    <w:rsid w:val="008239C4"/>
    <w:rsid w:val="00823E0E"/>
    <w:rsid w:val="00823FCE"/>
    <w:rsid w:val="00824292"/>
    <w:rsid w:val="0082472A"/>
    <w:rsid w:val="008250FA"/>
    <w:rsid w:val="00825C1F"/>
    <w:rsid w:val="0082618E"/>
    <w:rsid w:val="0082665E"/>
    <w:rsid w:val="00827AC4"/>
    <w:rsid w:val="00827CE9"/>
    <w:rsid w:val="0083064A"/>
    <w:rsid w:val="008309CC"/>
    <w:rsid w:val="00830DD2"/>
    <w:rsid w:val="008312F6"/>
    <w:rsid w:val="00831ABB"/>
    <w:rsid w:val="00831E42"/>
    <w:rsid w:val="008328E5"/>
    <w:rsid w:val="008334CD"/>
    <w:rsid w:val="00833972"/>
    <w:rsid w:val="00836A46"/>
    <w:rsid w:val="00836B80"/>
    <w:rsid w:val="00836B96"/>
    <w:rsid w:val="00836C79"/>
    <w:rsid w:val="00837B9D"/>
    <w:rsid w:val="00840E03"/>
    <w:rsid w:val="00841A7D"/>
    <w:rsid w:val="00842A86"/>
    <w:rsid w:val="00842B5D"/>
    <w:rsid w:val="00843387"/>
    <w:rsid w:val="00843904"/>
    <w:rsid w:val="008445BE"/>
    <w:rsid w:val="00844B4C"/>
    <w:rsid w:val="00844BE9"/>
    <w:rsid w:val="0084684F"/>
    <w:rsid w:val="00847756"/>
    <w:rsid w:val="00847955"/>
    <w:rsid w:val="008501BD"/>
    <w:rsid w:val="00851072"/>
    <w:rsid w:val="0085230E"/>
    <w:rsid w:val="00852478"/>
    <w:rsid w:val="00852526"/>
    <w:rsid w:val="00853E79"/>
    <w:rsid w:val="0085436D"/>
    <w:rsid w:val="008547BB"/>
    <w:rsid w:val="00854EB1"/>
    <w:rsid w:val="00856262"/>
    <w:rsid w:val="00856799"/>
    <w:rsid w:val="008568D0"/>
    <w:rsid w:val="00856E4E"/>
    <w:rsid w:val="00856EFA"/>
    <w:rsid w:val="0086026C"/>
    <w:rsid w:val="00860D0A"/>
    <w:rsid w:val="00861134"/>
    <w:rsid w:val="00862597"/>
    <w:rsid w:val="00862651"/>
    <w:rsid w:val="00863322"/>
    <w:rsid w:val="008637B5"/>
    <w:rsid w:val="008639BB"/>
    <w:rsid w:val="00864376"/>
    <w:rsid w:val="00864D74"/>
    <w:rsid w:val="008650D2"/>
    <w:rsid w:val="008652DC"/>
    <w:rsid w:val="00865CDA"/>
    <w:rsid w:val="00865E46"/>
    <w:rsid w:val="00866398"/>
    <w:rsid w:val="008665F2"/>
    <w:rsid w:val="00866874"/>
    <w:rsid w:val="008671EF"/>
    <w:rsid w:val="00867343"/>
    <w:rsid w:val="008674BC"/>
    <w:rsid w:val="00867E98"/>
    <w:rsid w:val="00870069"/>
    <w:rsid w:val="00870359"/>
    <w:rsid w:val="008707D0"/>
    <w:rsid w:val="00870DA9"/>
    <w:rsid w:val="00871F83"/>
    <w:rsid w:val="008722EE"/>
    <w:rsid w:val="008729CA"/>
    <w:rsid w:val="00872D27"/>
    <w:rsid w:val="00873C9E"/>
    <w:rsid w:val="00873E50"/>
    <w:rsid w:val="008743E1"/>
    <w:rsid w:val="0087446F"/>
    <w:rsid w:val="00874A39"/>
    <w:rsid w:val="00874F3F"/>
    <w:rsid w:val="00875A11"/>
    <w:rsid w:val="00877CD4"/>
    <w:rsid w:val="00877DB1"/>
    <w:rsid w:val="008803B6"/>
    <w:rsid w:val="008804E2"/>
    <w:rsid w:val="00881A5A"/>
    <w:rsid w:val="008826E6"/>
    <w:rsid w:val="00882CE2"/>
    <w:rsid w:val="00882DAC"/>
    <w:rsid w:val="00882E9C"/>
    <w:rsid w:val="008833C1"/>
    <w:rsid w:val="008835E1"/>
    <w:rsid w:val="00883F6D"/>
    <w:rsid w:val="00884AF7"/>
    <w:rsid w:val="00886A0F"/>
    <w:rsid w:val="00887309"/>
    <w:rsid w:val="00887FA9"/>
    <w:rsid w:val="008915C4"/>
    <w:rsid w:val="00891CAB"/>
    <w:rsid w:val="00893082"/>
    <w:rsid w:val="00894593"/>
    <w:rsid w:val="00895F10"/>
    <w:rsid w:val="00896147"/>
    <w:rsid w:val="00896663"/>
    <w:rsid w:val="00896C6F"/>
    <w:rsid w:val="0089797B"/>
    <w:rsid w:val="008A005F"/>
    <w:rsid w:val="008A016E"/>
    <w:rsid w:val="008A0231"/>
    <w:rsid w:val="008A04AC"/>
    <w:rsid w:val="008A0BCB"/>
    <w:rsid w:val="008A0E39"/>
    <w:rsid w:val="008A1DF5"/>
    <w:rsid w:val="008A1F02"/>
    <w:rsid w:val="008A257A"/>
    <w:rsid w:val="008A2EC1"/>
    <w:rsid w:val="008A31FE"/>
    <w:rsid w:val="008A335C"/>
    <w:rsid w:val="008A4E1A"/>
    <w:rsid w:val="008A4E33"/>
    <w:rsid w:val="008A50CC"/>
    <w:rsid w:val="008A5A8D"/>
    <w:rsid w:val="008A5BB8"/>
    <w:rsid w:val="008A5BF1"/>
    <w:rsid w:val="008A6087"/>
    <w:rsid w:val="008A6AC2"/>
    <w:rsid w:val="008A7D4B"/>
    <w:rsid w:val="008B08A4"/>
    <w:rsid w:val="008B168E"/>
    <w:rsid w:val="008B1BB9"/>
    <w:rsid w:val="008B209A"/>
    <w:rsid w:val="008B2715"/>
    <w:rsid w:val="008B31E6"/>
    <w:rsid w:val="008B33CA"/>
    <w:rsid w:val="008B58D6"/>
    <w:rsid w:val="008B5D4C"/>
    <w:rsid w:val="008B6156"/>
    <w:rsid w:val="008B6809"/>
    <w:rsid w:val="008C048B"/>
    <w:rsid w:val="008C0991"/>
    <w:rsid w:val="008C1150"/>
    <w:rsid w:val="008C158B"/>
    <w:rsid w:val="008C1755"/>
    <w:rsid w:val="008C189B"/>
    <w:rsid w:val="008C1B72"/>
    <w:rsid w:val="008C1C42"/>
    <w:rsid w:val="008C20A0"/>
    <w:rsid w:val="008C2100"/>
    <w:rsid w:val="008C2730"/>
    <w:rsid w:val="008C3B47"/>
    <w:rsid w:val="008C3EAA"/>
    <w:rsid w:val="008C429B"/>
    <w:rsid w:val="008C4558"/>
    <w:rsid w:val="008C4BDF"/>
    <w:rsid w:val="008C5026"/>
    <w:rsid w:val="008C5544"/>
    <w:rsid w:val="008C64A4"/>
    <w:rsid w:val="008C6A63"/>
    <w:rsid w:val="008C6BA3"/>
    <w:rsid w:val="008C7085"/>
    <w:rsid w:val="008C7306"/>
    <w:rsid w:val="008C78B4"/>
    <w:rsid w:val="008D044D"/>
    <w:rsid w:val="008D061E"/>
    <w:rsid w:val="008D0C9B"/>
    <w:rsid w:val="008D0F00"/>
    <w:rsid w:val="008D12C9"/>
    <w:rsid w:val="008D17CE"/>
    <w:rsid w:val="008D200A"/>
    <w:rsid w:val="008D2745"/>
    <w:rsid w:val="008D278C"/>
    <w:rsid w:val="008D2869"/>
    <w:rsid w:val="008D2C2F"/>
    <w:rsid w:val="008D35A2"/>
    <w:rsid w:val="008D4AFB"/>
    <w:rsid w:val="008D4D89"/>
    <w:rsid w:val="008D53A3"/>
    <w:rsid w:val="008D53F8"/>
    <w:rsid w:val="008D5D3C"/>
    <w:rsid w:val="008D5EDD"/>
    <w:rsid w:val="008D6ECE"/>
    <w:rsid w:val="008D6F0F"/>
    <w:rsid w:val="008D731C"/>
    <w:rsid w:val="008D7ED9"/>
    <w:rsid w:val="008E0528"/>
    <w:rsid w:val="008E084D"/>
    <w:rsid w:val="008E0DEE"/>
    <w:rsid w:val="008E0E22"/>
    <w:rsid w:val="008E0FD5"/>
    <w:rsid w:val="008E182D"/>
    <w:rsid w:val="008E18FF"/>
    <w:rsid w:val="008E30F2"/>
    <w:rsid w:val="008E412C"/>
    <w:rsid w:val="008E4257"/>
    <w:rsid w:val="008E4265"/>
    <w:rsid w:val="008E431A"/>
    <w:rsid w:val="008E4BA9"/>
    <w:rsid w:val="008E4D37"/>
    <w:rsid w:val="008E5750"/>
    <w:rsid w:val="008E5967"/>
    <w:rsid w:val="008E6E09"/>
    <w:rsid w:val="008E750D"/>
    <w:rsid w:val="008F38D3"/>
    <w:rsid w:val="008F3FD0"/>
    <w:rsid w:val="008F444F"/>
    <w:rsid w:val="008F45E2"/>
    <w:rsid w:val="008F4642"/>
    <w:rsid w:val="008F4768"/>
    <w:rsid w:val="008F4E8E"/>
    <w:rsid w:val="008F51B2"/>
    <w:rsid w:val="008F56EE"/>
    <w:rsid w:val="008F5A41"/>
    <w:rsid w:val="008F5E1F"/>
    <w:rsid w:val="008F620C"/>
    <w:rsid w:val="008F705E"/>
    <w:rsid w:val="00900026"/>
    <w:rsid w:val="0090028D"/>
    <w:rsid w:val="00900597"/>
    <w:rsid w:val="00900C64"/>
    <w:rsid w:val="00900E41"/>
    <w:rsid w:val="00902228"/>
    <w:rsid w:val="00903546"/>
    <w:rsid w:val="00903C9D"/>
    <w:rsid w:val="00904200"/>
    <w:rsid w:val="00904685"/>
    <w:rsid w:val="00905AB0"/>
    <w:rsid w:val="00905ADD"/>
    <w:rsid w:val="00905B13"/>
    <w:rsid w:val="00905F35"/>
    <w:rsid w:val="009062D0"/>
    <w:rsid w:val="0090634B"/>
    <w:rsid w:val="009068A1"/>
    <w:rsid w:val="009068DD"/>
    <w:rsid w:val="00906A91"/>
    <w:rsid w:val="00906F71"/>
    <w:rsid w:val="009073D3"/>
    <w:rsid w:val="009075E2"/>
    <w:rsid w:val="00907C4B"/>
    <w:rsid w:val="0091059A"/>
    <w:rsid w:val="00910AC9"/>
    <w:rsid w:val="00911356"/>
    <w:rsid w:val="0091143B"/>
    <w:rsid w:val="00911C46"/>
    <w:rsid w:val="00912677"/>
    <w:rsid w:val="00912700"/>
    <w:rsid w:val="00912E6A"/>
    <w:rsid w:val="00913774"/>
    <w:rsid w:val="00913CD3"/>
    <w:rsid w:val="00914376"/>
    <w:rsid w:val="0091444E"/>
    <w:rsid w:val="00914883"/>
    <w:rsid w:val="0091499E"/>
    <w:rsid w:val="009149B3"/>
    <w:rsid w:val="009154C9"/>
    <w:rsid w:val="00915698"/>
    <w:rsid w:val="00915920"/>
    <w:rsid w:val="0091594C"/>
    <w:rsid w:val="00915B84"/>
    <w:rsid w:val="00916557"/>
    <w:rsid w:val="00916B7F"/>
    <w:rsid w:val="009177A5"/>
    <w:rsid w:val="00917A3F"/>
    <w:rsid w:val="00917BE3"/>
    <w:rsid w:val="00917C80"/>
    <w:rsid w:val="00920291"/>
    <w:rsid w:val="009210C4"/>
    <w:rsid w:val="00921181"/>
    <w:rsid w:val="00922445"/>
    <w:rsid w:val="009226B6"/>
    <w:rsid w:val="00922A96"/>
    <w:rsid w:val="0092341D"/>
    <w:rsid w:val="0092483A"/>
    <w:rsid w:val="00924BB2"/>
    <w:rsid w:val="00924BBD"/>
    <w:rsid w:val="00924E43"/>
    <w:rsid w:val="00925835"/>
    <w:rsid w:val="00925BE7"/>
    <w:rsid w:val="00927396"/>
    <w:rsid w:val="009274A1"/>
    <w:rsid w:val="0092765E"/>
    <w:rsid w:val="0093059D"/>
    <w:rsid w:val="00930E50"/>
    <w:rsid w:val="0093165B"/>
    <w:rsid w:val="00931838"/>
    <w:rsid w:val="00932B84"/>
    <w:rsid w:val="00933032"/>
    <w:rsid w:val="00933E5F"/>
    <w:rsid w:val="00934398"/>
    <w:rsid w:val="00934F23"/>
    <w:rsid w:val="0093674C"/>
    <w:rsid w:val="009374CB"/>
    <w:rsid w:val="0093785B"/>
    <w:rsid w:val="00937DB3"/>
    <w:rsid w:val="0094081F"/>
    <w:rsid w:val="0094144F"/>
    <w:rsid w:val="00941927"/>
    <w:rsid w:val="00941F4E"/>
    <w:rsid w:val="00942697"/>
    <w:rsid w:val="00943622"/>
    <w:rsid w:val="00943AC5"/>
    <w:rsid w:val="009440BF"/>
    <w:rsid w:val="009444CD"/>
    <w:rsid w:val="009453F2"/>
    <w:rsid w:val="00945D28"/>
    <w:rsid w:val="00945EC7"/>
    <w:rsid w:val="00946A52"/>
    <w:rsid w:val="00951940"/>
    <w:rsid w:val="00951CD4"/>
    <w:rsid w:val="0095249C"/>
    <w:rsid w:val="0095259E"/>
    <w:rsid w:val="009526D0"/>
    <w:rsid w:val="00953237"/>
    <w:rsid w:val="009536A8"/>
    <w:rsid w:val="009542B2"/>
    <w:rsid w:val="00954A47"/>
    <w:rsid w:val="00954CBA"/>
    <w:rsid w:val="00954DB8"/>
    <w:rsid w:val="00955371"/>
    <w:rsid w:val="009568FA"/>
    <w:rsid w:val="00956BA2"/>
    <w:rsid w:val="00956F10"/>
    <w:rsid w:val="00957030"/>
    <w:rsid w:val="00957486"/>
    <w:rsid w:val="009577B0"/>
    <w:rsid w:val="0095783D"/>
    <w:rsid w:val="00960044"/>
    <w:rsid w:val="009600BD"/>
    <w:rsid w:val="00960618"/>
    <w:rsid w:val="009606CF"/>
    <w:rsid w:val="009616ED"/>
    <w:rsid w:val="0096198B"/>
    <w:rsid w:val="009623CD"/>
    <w:rsid w:val="009626AB"/>
    <w:rsid w:val="009627AD"/>
    <w:rsid w:val="00963184"/>
    <w:rsid w:val="0096382B"/>
    <w:rsid w:val="0096560D"/>
    <w:rsid w:val="009659FC"/>
    <w:rsid w:val="00965E71"/>
    <w:rsid w:val="0096682D"/>
    <w:rsid w:val="00967E90"/>
    <w:rsid w:val="009701EF"/>
    <w:rsid w:val="00970462"/>
    <w:rsid w:val="009704BB"/>
    <w:rsid w:val="00970716"/>
    <w:rsid w:val="00970B35"/>
    <w:rsid w:val="00970FD9"/>
    <w:rsid w:val="00971387"/>
    <w:rsid w:val="00971586"/>
    <w:rsid w:val="00971637"/>
    <w:rsid w:val="009717F0"/>
    <w:rsid w:val="00971BC2"/>
    <w:rsid w:val="00971ED6"/>
    <w:rsid w:val="0097396D"/>
    <w:rsid w:val="0097493C"/>
    <w:rsid w:val="00974AB9"/>
    <w:rsid w:val="00975B5E"/>
    <w:rsid w:val="00976250"/>
    <w:rsid w:val="00976EA1"/>
    <w:rsid w:val="009771AA"/>
    <w:rsid w:val="00977533"/>
    <w:rsid w:val="009775C5"/>
    <w:rsid w:val="00977F64"/>
    <w:rsid w:val="00981225"/>
    <w:rsid w:val="00981899"/>
    <w:rsid w:val="009819A0"/>
    <w:rsid w:val="009819CB"/>
    <w:rsid w:val="00981F19"/>
    <w:rsid w:val="009827D7"/>
    <w:rsid w:val="00982FFB"/>
    <w:rsid w:val="00983238"/>
    <w:rsid w:val="009832C4"/>
    <w:rsid w:val="0098339C"/>
    <w:rsid w:val="009833D2"/>
    <w:rsid w:val="0098340F"/>
    <w:rsid w:val="00983597"/>
    <w:rsid w:val="00983F99"/>
    <w:rsid w:val="009848CB"/>
    <w:rsid w:val="00985B05"/>
    <w:rsid w:val="00985D75"/>
    <w:rsid w:val="00986DA2"/>
    <w:rsid w:val="00987A7E"/>
    <w:rsid w:val="00987F0B"/>
    <w:rsid w:val="00990790"/>
    <w:rsid w:val="0099117B"/>
    <w:rsid w:val="00991569"/>
    <w:rsid w:val="009935AF"/>
    <w:rsid w:val="00994542"/>
    <w:rsid w:val="00994A90"/>
    <w:rsid w:val="0099579F"/>
    <w:rsid w:val="00996347"/>
    <w:rsid w:val="009972FA"/>
    <w:rsid w:val="009974D8"/>
    <w:rsid w:val="00997844"/>
    <w:rsid w:val="009A0E1C"/>
    <w:rsid w:val="009A100A"/>
    <w:rsid w:val="009A1763"/>
    <w:rsid w:val="009A295D"/>
    <w:rsid w:val="009A2D35"/>
    <w:rsid w:val="009A36DB"/>
    <w:rsid w:val="009A3B43"/>
    <w:rsid w:val="009A441A"/>
    <w:rsid w:val="009A4489"/>
    <w:rsid w:val="009A448F"/>
    <w:rsid w:val="009A48BC"/>
    <w:rsid w:val="009A510C"/>
    <w:rsid w:val="009A5C4D"/>
    <w:rsid w:val="009A5EF1"/>
    <w:rsid w:val="009A620B"/>
    <w:rsid w:val="009A6C1A"/>
    <w:rsid w:val="009A6C32"/>
    <w:rsid w:val="009A6F04"/>
    <w:rsid w:val="009A6F1C"/>
    <w:rsid w:val="009A72D7"/>
    <w:rsid w:val="009A73BD"/>
    <w:rsid w:val="009A7A42"/>
    <w:rsid w:val="009A7C3F"/>
    <w:rsid w:val="009A7DA9"/>
    <w:rsid w:val="009B2232"/>
    <w:rsid w:val="009B27AA"/>
    <w:rsid w:val="009B2D2C"/>
    <w:rsid w:val="009B313E"/>
    <w:rsid w:val="009B34ED"/>
    <w:rsid w:val="009B4584"/>
    <w:rsid w:val="009B4C55"/>
    <w:rsid w:val="009B4C7D"/>
    <w:rsid w:val="009B4D76"/>
    <w:rsid w:val="009B5FF8"/>
    <w:rsid w:val="009B61E9"/>
    <w:rsid w:val="009B68FB"/>
    <w:rsid w:val="009B6A41"/>
    <w:rsid w:val="009B6C03"/>
    <w:rsid w:val="009B771E"/>
    <w:rsid w:val="009B7B12"/>
    <w:rsid w:val="009C0857"/>
    <w:rsid w:val="009C10FB"/>
    <w:rsid w:val="009C1154"/>
    <w:rsid w:val="009C17B5"/>
    <w:rsid w:val="009C1D1E"/>
    <w:rsid w:val="009C1E6C"/>
    <w:rsid w:val="009C2500"/>
    <w:rsid w:val="009C2F66"/>
    <w:rsid w:val="009C32D3"/>
    <w:rsid w:val="009C3C6D"/>
    <w:rsid w:val="009C3CC3"/>
    <w:rsid w:val="009C3F60"/>
    <w:rsid w:val="009C44F3"/>
    <w:rsid w:val="009C5223"/>
    <w:rsid w:val="009C5A94"/>
    <w:rsid w:val="009C74D0"/>
    <w:rsid w:val="009C7F8C"/>
    <w:rsid w:val="009D0094"/>
    <w:rsid w:val="009D03BB"/>
    <w:rsid w:val="009D074C"/>
    <w:rsid w:val="009D0C6A"/>
    <w:rsid w:val="009D0D10"/>
    <w:rsid w:val="009D190E"/>
    <w:rsid w:val="009D1FA8"/>
    <w:rsid w:val="009D35CF"/>
    <w:rsid w:val="009D3DD0"/>
    <w:rsid w:val="009D454B"/>
    <w:rsid w:val="009D458A"/>
    <w:rsid w:val="009D4E30"/>
    <w:rsid w:val="009D5005"/>
    <w:rsid w:val="009D5AA2"/>
    <w:rsid w:val="009D6026"/>
    <w:rsid w:val="009D60BF"/>
    <w:rsid w:val="009D61EE"/>
    <w:rsid w:val="009D65AC"/>
    <w:rsid w:val="009D66A8"/>
    <w:rsid w:val="009E025C"/>
    <w:rsid w:val="009E16E0"/>
    <w:rsid w:val="009E19D4"/>
    <w:rsid w:val="009E2007"/>
    <w:rsid w:val="009E2369"/>
    <w:rsid w:val="009E23D7"/>
    <w:rsid w:val="009E2A35"/>
    <w:rsid w:val="009E3900"/>
    <w:rsid w:val="009E3B87"/>
    <w:rsid w:val="009E44F9"/>
    <w:rsid w:val="009E49AC"/>
    <w:rsid w:val="009E5B08"/>
    <w:rsid w:val="009E61D8"/>
    <w:rsid w:val="009E6273"/>
    <w:rsid w:val="009E6645"/>
    <w:rsid w:val="009E6FA1"/>
    <w:rsid w:val="009E716B"/>
    <w:rsid w:val="009E72DD"/>
    <w:rsid w:val="009E771B"/>
    <w:rsid w:val="009E77D6"/>
    <w:rsid w:val="009F0037"/>
    <w:rsid w:val="009F014E"/>
    <w:rsid w:val="009F0F7A"/>
    <w:rsid w:val="009F11F3"/>
    <w:rsid w:val="009F1F1D"/>
    <w:rsid w:val="009F21A0"/>
    <w:rsid w:val="009F24C4"/>
    <w:rsid w:val="009F3E3C"/>
    <w:rsid w:val="009F4030"/>
    <w:rsid w:val="009F4961"/>
    <w:rsid w:val="009F4FC0"/>
    <w:rsid w:val="009F5489"/>
    <w:rsid w:val="009F5684"/>
    <w:rsid w:val="009F5CFC"/>
    <w:rsid w:val="009F6C81"/>
    <w:rsid w:val="009F716F"/>
    <w:rsid w:val="009F7379"/>
    <w:rsid w:val="009F798C"/>
    <w:rsid w:val="00A012E2"/>
    <w:rsid w:val="00A0135A"/>
    <w:rsid w:val="00A014A1"/>
    <w:rsid w:val="00A025F5"/>
    <w:rsid w:val="00A02A2D"/>
    <w:rsid w:val="00A02E3D"/>
    <w:rsid w:val="00A03719"/>
    <w:rsid w:val="00A03AEC"/>
    <w:rsid w:val="00A042E5"/>
    <w:rsid w:val="00A056C2"/>
    <w:rsid w:val="00A05707"/>
    <w:rsid w:val="00A05B8B"/>
    <w:rsid w:val="00A06804"/>
    <w:rsid w:val="00A06856"/>
    <w:rsid w:val="00A07448"/>
    <w:rsid w:val="00A11079"/>
    <w:rsid w:val="00A11243"/>
    <w:rsid w:val="00A1181A"/>
    <w:rsid w:val="00A11A5F"/>
    <w:rsid w:val="00A126BC"/>
    <w:rsid w:val="00A1283C"/>
    <w:rsid w:val="00A133F0"/>
    <w:rsid w:val="00A14146"/>
    <w:rsid w:val="00A1423E"/>
    <w:rsid w:val="00A145EE"/>
    <w:rsid w:val="00A1597D"/>
    <w:rsid w:val="00A15B83"/>
    <w:rsid w:val="00A15E6F"/>
    <w:rsid w:val="00A163F8"/>
    <w:rsid w:val="00A16882"/>
    <w:rsid w:val="00A17D3C"/>
    <w:rsid w:val="00A17E0E"/>
    <w:rsid w:val="00A20B7B"/>
    <w:rsid w:val="00A21723"/>
    <w:rsid w:val="00A224B9"/>
    <w:rsid w:val="00A22FF4"/>
    <w:rsid w:val="00A230EC"/>
    <w:rsid w:val="00A23DCC"/>
    <w:rsid w:val="00A2470B"/>
    <w:rsid w:val="00A250A5"/>
    <w:rsid w:val="00A25366"/>
    <w:rsid w:val="00A25373"/>
    <w:rsid w:val="00A264C8"/>
    <w:rsid w:val="00A26A60"/>
    <w:rsid w:val="00A27CED"/>
    <w:rsid w:val="00A309C1"/>
    <w:rsid w:val="00A31224"/>
    <w:rsid w:val="00A312F6"/>
    <w:rsid w:val="00A316A2"/>
    <w:rsid w:val="00A3191B"/>
    <w:rsid w:val="00A34875"/>
    <w:rsid w:val="00A34CC1"/>
    <w:rsid w:val="00A3510B"/>
    <w:rsid w:val="00A35251"/>
    <w:rsid w:val="00A354C1"/>
    <w:rsid w:val="00A3597F"/>
    <w:rsid w:val="00A36D3A"/>
    <w:rsid w:val="00A3705A"/>
    <w:rsid w:val="00A371FD"/>
    <w:rsid w:val="00A37644"/>
    <w:rsid w:val="00A40385"/>
    <w:rsid w:val="00A407CF"/>
    <w:rsid w:val="00A41681"/>
    <w:rsid w:val="00A41753"/>
    <w:rsid w:val="00A41817"/>
    <w:rsid w:val="00A41DA1"/>
    <w:rsid w:val="00A4366D"/>
    <w:rsid w:val="00A43822"/>
    <w:rsid w:val="00A43964"/>
    <w:rsid w:val="00A4421E"/>
    <w:rsid w:val="00A4450E"/>
    <w:rsid w:val="00A4454B"/>
    <w:rsid w:val="00A44820"/>
    <w:rsid w:val="00A455FE"/>
    <w:rsid w:val="00A46338"/>
    <w:rsid w:val="00A46708"/>
    <w:rsid w:val="00A46A44"/>
    <w:rsid w:val="00A46B6E"/>
    <w:rsid w:val="00A47F61"/>
    <w:rsid w:val="00A5095C"/>
    <w:rsid w:val="00A51586"/>
    <w:rsid w:val="00A51E90"/>
    <w:rsid w:val="00A52589"/>
    <w:rsid w:val="00A52D0A"/>
    <w:rsid w:val="00A52F27"/>
    <w:rsid w:val="00A53272"/>
    <w:rsid w:val="00A534BE"/>
    <w:rsid w:val="00A53635"/>
    <w:rsid w:val="00A53BB0"/>
    <w:rsid w:val="00A54B62"/>
    <w:rsid w:val="00A54F80"/>
    <w:rsid w:val="00A558C9"/>
    <w:rsid w:val="00A55E49"/>
    <w:rsid w:val="00A55F44"/>
    <w:rsid w:val="00A56DFD"/>
    <w:rsid w:val="00A57722"/>
    <w:rsid w:val="00A577A8"/>
    <w:rsid w:val="00A578C1"/>
    <w:rsid w:val="00A57A6B"/>
    <w:rsid w:val="00A57FB8"/>
    <w:rsid w:val="00A6027C"/>
    <w:rsid w:val="00A606DD"/>
    <w:rsid w:val="00A6082D"/>
    <w:rsid w:val="00A60CE6"/>
    <w:rsid w:val="00A614C8"/>
    <w:rsid w:val="00A6161B"/>
    <w:rsid w:val="00A6197F"/>
    <w:rsid w:val="00A61C67"/>
    <w:rsid w:val="00A61D99"/>
    <w:rsid w:val="00A6284D"/>
    <w:rsid w:val="00A62888"/>
    <w:rsid w:val="00A62CCE"/>
    <w:rsid w:val="00A640DC"/>
    <w:rsid w:val="00A6568D"/>
    <w:rsid w:val="00A657A9"/>
    <w:rsid w:val="00A6607F"/>
    <w:rsid w:val="00A664F6"/>
    <w:rsid w:val="00A66B3B"/>
    <w:rsid w:val="00A67122"/>
    <w:rsid w:val="00A6795C"/>
    <w:rsid w:val="00A67CB8"/>
    <w:rsid w:val="00A67E6E"/>
    <w:rsid w:val="00A70006"/>
    <w:rsid w:val="00A705E7"/>
    <w:rsid w:val="00A71134"/>
    <w:rsid w:val="00A717DA"/>
    <w:rsid w:val="00A71F81"/>
    <w:rsid w:val="00A721C7"/>
    <w:rsid w:val="00A726C0"/>
    <w:rsid w:val="00A72825"/>
    <w:rsid w:val="00A72B0F"/>
    <w:rsid w:val="00A73D0C"/>
    <w:rsid w:val="00A7414C"/>
    <w:rsid w:val="00A748E8"/>
    <w:rsid w:val="00A762E0"/>
    <w:rsid w:val="00A76810"/>
    <w:rsid w:val="00A76B8F"/>
    <w:rsid w:val="00A778D8"/>
    <w:rsid w:val="00A8047A"/>
    <w:rsid w:val="00A80ADE"/>
    <w:rsid w:val="00A80EFB"/>
    <w:rsid w:val="00A81B69"/>
    <w:rsid w:val="00A82433"/>
    <w:rsid w:val="00A8312B"/>
    <w:rsid w:val="00A83372"/>
    <w:rsid w:val="00A83829"/>
    <w:rsid w:val="00A83D50"/>
    <w:rsid w:val="00A83F62"/>
    <w:rsid w:val="00A844CC"/>
    <w:rsid w:val="00A84586"/>
    <w:rsid w:val="00A8477F"/>
    <w:rsid w:val="00A847CC"/>
    <w:rsid w:val="00A856E4"/>
    <w:rsid w:val="00A85BA1"/>
    <w:rsid w:val="00A868EC"/>
    <w:rsid w:val="00A86968"/>
    <w:rsid w:val="00A87E7E"/>
    <w:rsid w:val="00A90367"/>
    <w:rsid w:val="00A91855"/>
    <w:rsid w:val="00A92A7E"/>
    <w:rsid w:val="00A92D95"/>
    <w:rsid w:val="00A94AAA"/>
    <w:rsid w:val="00A94B5F"/>
    <w:rsid w:val="00A94BF6"/>
    <w:rsid w:val="00A959FB"/>
    <w:rsid w:val="00A95AEB"/>
    <w:rsid w:val="00A966AD"/>
    <w:rsid w:val="00A97147"/>
    <w:rsid w:val="00A975D2"/>
    <w:rsid w:val="00A97C3B"/>
    <w:rsid w:val="00A97D49"/>
    <w:rsid w:val="00AA04BB"/>
    <w:rsid w:val="00AA05D6"/>
    <w:rsid w:val="00AA07C8"/>
    <w:rsid w:val="00AA0CC9"/>
    <w:rsid w:val="00AA1176"/>
    <w:rsid w:val="00AA2C0A"/>
    <w:rsid w:val="00AA2D1D"/>
    <w:rsid w:val="00AA3691"/>
    <w:rsid w:val="00AA473E"/>
    <w:rsid w:val="00AA4DFC"/>
    <w:rsid w:val="00AA5634"/>
    <w:rsid w:val="00AA5C75"/>
    <w:rsid w:val="00AA5DBC"/>
    <w:rsid w:val="00AA5E18"/>
    <w:rsid w:val="00AA65EF"/>
    <w:rsid w:val="00AA672D"/>
    <w:rsid w:val="00AA6883"/>
    <w:rsid w:val="00AA6A79"/>
    <w:rsid w:val="00AA771F"/>
    <w:rsid w:val="00AA7E70"/>
    <w:rsid w:val="00AB0056"/>
    <w:rsid w:val="00AB118E"/>
    <w:rsid w:val="00AB148C"/>
    <w:rsid w:val="00AB1997"/>
    <w:rsid w:val="00AB1AF0"/>
    <w:rsid w:val="00AB2564"/>
    <w:rsid w:val="00AB2810"/>
    <w:rsid w:val="00AB2BE1"/>
    <w:rsid w:val="00AB413B"/>
    <w:rsid w:val="00AB454E"/>
    <w:rsid w:val="00AB472E"/>
    <w:rsid w:val="00AB4A15"/>
    <w:rsid w:val="00AB4CA3"/>
    <w:rsid w:val="00AB528A"/>
    <w:rsid w:val="00AB5997"/>
    <w:rsid w:val="00AB5B04"/>
    <w:rsid w:val="00AB60C0"/>
    <w:rsid w:val="00AB61B2"/>
    <w:rsid w:val="00AB6F02"/>
    <w:rsid w:val="00AB6F72"/>
    <w:rsid w:val="00AB7192"/>
    <w:rsid w:val="00AB74E4"/>
    <w:rsid w:val="00AC0046"/>
    <w:rsid w:val="00AC0317"/>
    <w:rsid w:val="00AC096F"/>
    <w:rsid w:val="00AC0C1C"/>
    <w:rsid w:val="00AC26E0"/>
    <w:rsid w:val="00AC2733"/>
    <w:rsid w:val="00AC29C2"/>
    <w:rsid w:val="00AC2E9F"/>
    <w:rsid w:val="00AC325C"/>
    <w:rsid w:val="00AC33CA"/>
    <w:rsid w:val="00AC368F"/>
    <w:rsid w:val="00AC3796"/>
    <w:rsid w:val="00AC390A"/>
    <w:rsid w:val="00AC4099"/>
    <w:rsid w:val="00AC500A"/>
    <w:rsid w:val="00AC605A"/>
    <w:rsid w:val="00AC621C"/>
    <w:rsid w:val="00AC6F7E"/>
    <w:rsid w:val="00AC7C57"/>
    <w:rsid w:val="00AD05AF"/>
    <w:rsid w:val="00AD0691"/>
    <w:rsid w:val="00AD0F43"/>
    <w:rsid w:val="00AD11BA"/>
    <w:rsid w:val="00AD1AC8"/>
    <w:rsid w:val="00AD3563"/>
    <w:rsid w:val="00AD366E"/>
    <w:rsid w:val="00AD3961"/>
    <w:rsid w:val="00AD3AF1"/>
    <w:rsid w:val="00AD3BE3"/>
    <w:rsid w:val="00AD3D12"/>
    <w:rsid w:val="00AD4231"/>
    <w:rsid w:val="00AD4323"/>
    <w:rsid w:val="00AD47F2"/>
    <w:rsid w:val="00AD629B"/>
    <w:rsid w:val="00AD65BB"/>
    <w:rsid w:val="00AD68EB"/>
    <w:rsid w:val="00AD6B6D"/>
    <w:rsid w:val="00AD79B1"/>
    <w:rsid w:val="00AD7B85"/>
    <w:rsid w:val="00AE07C4"/>
    <w:rsid w:val="00AE09BE"/>
    <w:rsid w:val="00AE10E4"/>
    <w:rsid w:val="00AE126F"/>
    <w:rsid w:val="00AE18AA"/>
    <w:rsid w:val="00AE1E6B"/>
    <w:rsid w:val="00AE1F05"/>
    <w:rsid w:val="00AE2336"/>
    <w:rsid w:val="00AE260E"/>
    <w:rsid w:val="00AE298E"/>
    <w:rsid w:val="00AE2C28"/>
    <w:rsid w:val="00AE3662"/>
    <w:rsid w:val="00AE4319"/>
    <w:rsid w:val="00AE4C55"/>
    <w:rsid w:val="00AE53B1"/>
    <w:rsid w:val="00AE5A8E"/>
    <w:rsid w:val="00AE5D39"/>
    <w:rsid w:val="00AE6424"/>
    <w:rsid w:val="00AE6D57"/>
    <w:rsid w:val="00AE6DFA"/>
    <w:rsid w:val="00AE7047"/>
    <w:rsid w:val="00AE71A3"/>
    <w:rsid w:val="00AE7299"/>
    <w:rsid w:val="00AE7F59"/>
    <w:rsid w:val="00AF10BC"/>
    <w:rsid w:val="00AF1A82"/>
    <w:rsid w:val="00AF29D9"/>
    <w:rsid w:val="00AF3A23"/>
    <w:rsid w:val="00AF3AB6"/>
    <w:rsid w:val="00AF3AC8"/>
    <w:rsid w:val="00AF3E9B"/>
    <w:rsid w:val="00AF4F13"/>
    <w:rsid w:val="00AF544C"/>
    <w:rsid w:val="00AF577B"/>
    <w:rsid w:val="00AF5A52"/>
    <w:rsid w:val="00AF5F6C"/>
    <w:rsid w:val="00AF6100"/>
    <w:rsid w:val="00AF64AD"/>
    <w:rsid w:val="00AF6BDE"/>
    <w:rsid w:val="00B0059F"/>
    <w:rsid w:val="00B0099E"/>
    <w:rsid w:val="00B0142C"/>
    <w:rsid w:val="00B03606"/>
    <w:rsid w:val="00B03DA4"/>
    <w:rsid w:val="00B05B86"/>
    <w:rsid w:val="00B062CC"/>
    <w:rsid w:val="00B0692C"/>
    <w:rsid w:val="00B06E3C"/>
    <w:rsid w:val="00B0728E"/>
    <w:rsid w:val="00B07D7C"/>
    <w:rsid w:val="00B07E1F"/>
    <w:rsid w:val="00B102A8"/>
    <w:rsid w:val="00B10639"/>
    <w:rsid w:val="00B1065C"/>
    <w:rsid w:val="00B108CB"/>
    <w:rsid w:val="00B111B4"/>
    <w:rsid w:val="00B11798"/>
    <w:rsid w:val="00B11937"/>
    <w:rsid w:val="00B11B2B"/>
    <w:rsid w:val="00B11F4A"/>
    <w:rsid w:val="00B127BE"/>
    <w:rsid w:val="00B12DC2"/>
    <w:rsid w:val="00B12FBA"/>
    <w:rsid w:val="00B1356C"/>
    <w:rsid w:val="00B135B2"/>
    <w:rsid w:val="00B13B3D"/>
    <w:rsid w:val="00B13ECC"/>
    <w:rsid w:val="00B140E9"/>
    <w:rsid w:val="00B16080"/>
    <w:rsid w:val="00B16788"/>
    <w:rsid w:val="00B16FCB"/>
    <w:rsid w:val="00B17933"/>
    <w:rsid w:val="00B17AC1"/>
    <w:rsid w:val="00B17F59"/>
    <w:rsid w:val="00B2008E"/>
    <w:rsid w:val="00B200C5"/>
    <w:rsid w:val="00B208CA"/>
    <w:rsid w:val="00B213B9"/>
    <w:rsid w:val="00B21A31"/>
    <w:rsid w:val="00B21CF1"/>
    <w:rsid w:val="00B21D07"/>
    <w:rsid w:val="00B21F55"/>
    <w:rsid w:val="00B226DD"/>
    <w:rsid w:val="00B228D3"/>
    <w:rsid w:val="00B23070"/>
    <w:rsid w:val="00B23452"/>
    <w:rsid w:val="00B23DF0"/>
    <w:rsid w:val="00B241D5"/>
    <w:rsid w:val="00B241E7"/>
    <w:rsid w:val="00B2442C"/>
    <w:rsid w:val="00B247FD"/>
    <w:rsid w:val="00B257E6"/>
    <w:rsid w:val="00B25E03"/>
    <w:rsid w:val="00B2631A"/>
    <w:rsid w:val="00B26723"/>
    <w:rsid w:val="00B305B8"/>
    <w:rsid w:val="00B3088B"/>
    <w:rsid w:val="00B30B72"/>
    <w:rsid w:val="00B310A3"/>
    <w:rsid w:val="00B3192A"/>
    <w:rsid w:val="00B31949"/>
    <w:rsid w:val="00B31A6A"/>
    <w:rsid w:val="00B32252"/>
    <w:rsid w:val="00B323C0"/>
    <w:rsid w:val="00B33B44"/>
    <w:rsid w:val="00B340C5"/>
    <w:rsid w:val="00B34CC6"/>
    <w:rsid w:val="00B34E3A"/>
    <w:rsid w:val="00B35CE7"/>
    <w:rsid w:val="00B37287"/>
    <w:rsid w:val="00B37961"/>
    <w:rsid w:val="00B379C9"/>
    <w:rsid w:val="00B37FCF"/>
    <w:rsid w:val="00B40F93"/>
    <w:rsid w:val="00B4113F"/>
    <w:rsid w:val="00B41588"/>
    <w:rsid w:val="00B418F5"/>
    <w:rsid w:val="00B4315B"/>
    <w:rsid w:val="00B44298"/>
    <w:rsid w:val="00B443B0"/>
    <w:rsid w:val="00B445A4"/>
    <w:rsid w:val="00B44AD6"/>
    <w:rsid w:val="00B44AEA"/>
    <w:rsid w:val="00B454A5"/>
    <w:rsid w:val="00B467AC"/>
    <w:rsid w:val="00B46A94"/>
    <w:rsid w:val="00B471F7"/>
    <w:rsid w:val="00B47275"/>
    <w:rsid w:val="00B472E2"/>
    <w:rsid w:val="00B47F97"/>
    <w:rsid w:val="00B5031D"/>
    <w:rsid w:val="00B50DEE"/>
    <w:rsid w:val="00B511C4"/>
    <w:rsid w:val="00B51985"/>
    <w:rsid w:val="00B51AF9"/>
    <w:rsid w:val="00B51F9F"/>
    <w:rsid w:val="00B5224E"/>
    <w:rsid w:val="00B53228"/>
    <w:rsid w:val="00B53459"/>
    <w:rsid w:val="00B5388D"/>
    <w:rsid w:val="00B53E04"/>
    <w:rsid w:val="00B5448D"/>
    <w:rsid w:val="00B544FD"/>
    <w:rsid w:val="00B55DDB"/>
    <w:rsid w:val="00B562AE"/>
    <w:rsid w:val="00B562C5"/>
    <w:rsid w:val="00B56988"/>
    <w:rsid w:val="00B57014"/>
    <w:rsid w:val="00B6003F"/>
    <w:rsid w:val="00B605E7"/>
    <w:rsid w:val="00B6075A"/>
    <w:rsid w:val="00B60B7B"/>
    <w:rsid w:val="00B60FF5"/>
    <w:rsid w:val="00B611C0"/>
    <w:rsid w:val="00B61525"/>
    <w:rsid w:val="00B635AF"/>
    <w:rsid w:val="00B64BE9"/>
    <w:rsid w:val="00B64C45"/>
    <w:rsid w:val="00B650D8"/>
    <w:rsid w:val="00B65EE9"/>
    <w:rsid w:val="00B66587"/>
    <w:rsid w:val="00B665F4"/>
    <w:rsid w:val="00B667A7"/>
    <w:rsid w:val="00B66C5B"/>
    <w:rsid w:val="00B6729E"/>
    <w:rsid w:val="00B7002B"/>
    <w:rsid w:val="00B718FB"/>
    <w:rsid w:val="00B72203"/>
    <w:rsid w:val="00B73A2B"/>
    <w:rsid w:val="00B73BF7"/>
    <w:rsid w:val="00B73D36"/>
    <w:rsid w:val="00B74088"/>
    <w:rsid w:val="00B745B1"/>
    <w:rsid w:val="00B74CB7"/>
    <w:rsid w:val="00B74D9C"/>
    <w:rsid w:val="00B753D6"/>
    <w:rsid w:val="00B75935"/>
    <w:rsid w:val="00B760E8"/>
    <w:rsid w:val="00B761A7"/>
    <w:rsid w:val="00B76596"/>
    <w:rsid w:val="00B768FF"/>
    <w:rsid w:val="00B77155"/>
    <w:rsid w:val="00B77221"/>
    <w:rsid w:val="00B774EE"/>
    <w:rsid w:val="00B77878"/>
    <w:rsid w:val="00B77AFA"/>
    <w:rsid w:val="00B80476"/>
    <w:rsid w:val="00B80503"/>
    <w:rsid w:val="00B81607"/>
    <w:rsid w:val="00B8161D"/>
    <w:rsid w:val="00B81752"/>
    <w:rsid w:val="00B81C9B"/>
    <w:rsid w:val="00B822CC"/>
    <w:rsid w:val="00B827BD"/>
    <w:rsid w:val="00B828E7"/>
    <w:rsid w:val="00B82A78"/>
    <w:rsid w:val="00B82C14"/>
    <w:rsid w:val="00B82E22"/>
    <w:rsid w:val="00B82F00"/>
    <w:rsid w:val="00B8336E"/>
    <w:rsid w:val="00B8460A"/>
    <w:rsid w:val="00B84627"/>
    <w:rsid w:val="00B84D9A"/>
    <w:rsid w:val="00B8694D"/>
    <w:rsid w:val="00B86D05"/>
    <w:rsid w:val="00B8797C"/>
    <w:rsid w:val="00B87E55"/>
    <w:rsid w:val="00B87F7A"/>
    <w:rsid w:val="00B91B9B"/>
    <w:rsid w:val="00B91BB2"/>
    <w:rsid w:val="00B94461"/>
    <w:rsid w:val="00B95335"/>
    <w:rsid w:val="00B9563C"/>
    <w:rsid w:val="00B961C9"/>
    <w:rsid w:val="00B96D80"/>
    <w:rsid w:val="00B974B4"/>
    <w:rsid w:val="00B97E05"/>
    <w:rsid w:val="00BA09BA"/>
    <w:rsid w:val="00BA0D9A"/>
    <w:rsid w:val="00BA15F1"/>
    <w:rsid w:val="00BA184B"/>
    <w:rsid w:val="00BA1E37"/>
    <w:rsid w:val="00BA2726"/>
    <w:rsid w:val="00BA2985"/>
    <w:rsid w:val="00BA29B2"/>
    <w:rsid w:val="00BA3610"/>
    <w:rsid w:val="00BA3B29"/>
    <w:rsid w:val="00BA4026"/>
    <w:rsid w:val="00BA4A77"/>
    <w:rsid w:val="00BA4A85"/>
    <w:rsid w:val="00BA4E08"/>
    <w:rsid w:val="00BA4EBE"/>
    <w:rsid w:val="00BA6A74"/>
    <w:rsid w:val="00BA72ED"/>
    <w:rsid w:val="00BB1145"/>
    <w:rsid w:val="00BB17D6"/>
    <w:rsid w:val="00BB1AA3"/>
    <w:rsid w:val="00BB1D0C"/>
    <w:rsid w:val="00BB1F12"/>
    <w:rsid w:val="00BB1F91"/>
    <w:rsid w:val="00BB1FF9"/>
    <w:rsid w:val="00BB25A0"/>
    <w:rsid w:val="00BB2ACF"/>
    <w:rsid w:val="00BB2DEC"/>
    <w:rsid w:val="00BB3A1C"/>
    <w:rsid w:val="00BB3C02"/>
    <w:rsid w:val="00BB40BB"/>
    <w:rsid w:val="00BB48A3"/>
    <w:rsid w:val="00BB4A75"/>
    <w:rsid w:val="00BB5A16"/>
    <w:rsid w:val="00BB5B9C"/>
    <w:rsid w:val="00BB5EE2"/>
    <w:rsid w:val="00BB5F0B"/>
    <w:rsid w:val="00BB5F90"/>
    <w:rsid w:val="00BB61A5"/>
    <w:rsid w:val="00BB6FF5"/>
    <w:rsid w:val="00BC00FB"/>
    <w:rsid w:val="00BC054F"/>
    <w:rsid w:val="00BC09B3"/>
    <w:rsid w:val="00BC0AE9"/>
    <w:rsid w:val="00BC11A3"/>
    <w:rsid w:val="00BC1636"/>
    <w:rsid w:val="00BC1DFB"/>
    <w:rsid w:val="00BC2042"/>
    <w:rsid w:val="00BC281B"/>
    <w:rsid w:val="00BC3959"/>
    <w:rsid w:val="00BC3F30"/>
    <w:rsid w:val="00BC41D3"/>
    <w:rsid w:val="00BC4833"/>
    <w:rsid w:val="00BC48B6"/>
    <w:rsid w:val="00BC4A75"/>
    <w:rsid w:val="00BC52F2"/>
    <w:rsid w:val="00BC5753"/>
    <w:rsid w:val="00BC5F6B"/>
    <w:rsid w:val="00BC63B9"/>
    <w:rsid w:val="00BC6745"/>
    <w:rsid w:val="00BC697D"/>
    <w:rsid w:val="00BC738B"/>
    <w:rsid w:val="00BC75E6"/>
    <w:rsid w:val="00BC7935"/>
    <w:rsid w:val="00BD07D3"/>
    <w:rsid w:val="00BD0C53"/>
    <w:rsid w:val="00BD0C81"/>
    <w:rsid w:val="00BD1060"/>
    <w:rsid w:val="00BD1454"/>
    <w:rsid w:val="00BD16EF"/>
    <w:rsid w:val="00BD3631"/>
    <w:rsid w:val="00BD3F3E"/>
    <w:rsid w:val="00BD4881"/>
    <w:rsid w:val="00BD49DA"/>
    <w:rsid w:val="00BD5199"/>
    <w:rsid w:val="00BD5619"/>
    <w:rsid w:val="00BD5B7E"/>
    <w:rsid w:val="00BD6281"/>
    <w:rsid w:val="00BD63AF"/>
    <w:rsid w:val="00BD74E5"/>
    <w:rsid w:val="00BD7802"/>
    <w:rsid w:val="00BD784C"/>
    <w:rsid w:val="00BE0835"/>
    <w:rsid w:val="00BE160E"/>
    <w:rsid w:val="00BE1FB3"/>
    <w:rsid w:val="00BE3567"/>
    <w:rsid w:val="00BE57A5"/>
    <w:rsid w:val="00BE5857"/>
    <w:rsid w:val="00BE59E1"/>
    <w:rsid w:val="00BE5A0F"/>
    <w:rsid w:val="00BE6062"/>
    <w:rsid w:val="00BE6400"/>
    <w:rsid w:val="00BE6905"/>
    <w:rsid w:val="00BE6CF3"/>
    <w:rsid w:val="00BE6D59"/>
    <w:rsid w:val="00BE7C60"/>
    <w:rsid w:val="00BF002B"/>
    <w:rsid w:val="00BF0836"/>
    <w:rsid w:val="00BF1478"/>
    <w:rsid w:val="00BF1B09"/>
    <w:rsid w:val="00BF1CCE"/>
    <w:rsid w:val="00BF2D88"/>
    <w:rsid w:val="00BF2DF1"/>
    <w:rsid w:val="00BF3613"/>
    <w:rsid w:val="00BF37CF"/>
    <w:rsid w:val="00BF4694"/>
    <w:rsid w:val="00BF5064"/>
    <w:rsid w:val="00BF59A1"/>
    <w:rsid w:val="00BF647C"/>
    <w:rsid w:val="00BF6495"/>
    <w:rsid w:val="00BF660A"/>
    <w:rsid w:val="00BF67FA"/>
    <w:rsid w:val="00BF6B49"/>
    <w:rsid w:val="00BF6C27"/>
    <w:rsid w:val="00BF6C78"/>
    <w:rsid w:val="00BF7506"/>
    <w:rsid w:val="00BF7839"/>
    <w:rsid w:val="00BF7A9C"/>
    <w:rsid w:val="00BF7DA4"/>
    <w:rsid w:val="00C017DC"/>
    <w:rsid w:val="00C02AA3"/>
    <w:rsid w:val="00C02BDD"/>
    <w:rsid w:val="00C02FFF"/>
    <w:rsid w:val="00C0336B"/>
    <w:rsid w:val="00C03F94"/>
    <w:rsid w:val="00C03FBB"/>
    <w:rsid w:val="00C043C2"/>
    <w:rsid w:val="00C04A59"/>
    <w:rsid w:val="00C056D7"/>
    <w:rsid w:val="00C058D5"/>
    <w:rsid w:val="00C05B29"/>
    <w:rsid w:val="00C05EFB"/>
    <w:rsid w:val="00C05F53"/>
    <w:rsid w:val="00C061B6"/>
    <w:rsid w:val="00C065B4"/>
    <w:rsid w:val="00C06913"/>
    <w:rsid w:val="00C06AF4"/>
    <w:rsid w:val="00C07EC8"/>
    <w:rsid w:val="00C107BA"/>
    <w:rsid w:val="00C112EC"/>
    <w:rsid w:val="00C11491"/>
    <w:rsid w:val="00C11DEB"/>
    <w:rsid w:val="00C12A2F"/>
    <w:rsid w:val="00C12AEE"/>
    <w:rsid w:val="00C12B55"/>
    <w:rsid w:val="00C14514"/>
    <w:rsid w:val="00C146AE"/>
    <w:rsid w:val="00C15194"/>
    <w:rsid w:val="00C15660"/>
    <w:rsid w:val="00C15A48"/>
    <w:rsid w:val="00C15B1A"/>
    <w:rsid w:val="00C1639A"/>
    <w:rsid w:val="00C1649F"/>
    <w:rsid w:val="00C16660"/>
    <w:rsid w:val="00C17F96"/>
    <w:rsid w:val="00C20982"/>
    <w:rsid w:val="00C21697"/>
    <w:rsid w:val="00C22ACA"/>
    <w:rsid w:val="00C235ED"/>
    <w:rsid w:val="00C2424A"/>
    <w:rsid w:val="00C245F2"/>
    <w:rsid w:val="00C24E43"/>
    <w:rsid w:val="00C25487"/>
    <w:rsid w:val="00C25590"/>
    <w:rsid w:val="00C25602"/>
    <w:rsid w:val="00C25606"/>
    <w:rsid w:val="00C25F4A"/>
    <w:rsid w:val="00C26E92"/>
    <w:rsid w:val="00C2721F"/>
    <w:rsid w:val="00C2747E"/>
    <w:rsid w:val="00C27615"/>
    <w:rsid w:val="00C3088B"/>
    <w:rsid w:val="00C30A34"/>
    <w:rsid w:val="00C30F8E"/>
    <w:rsid w:val="00C3107A"/>
    <w:rsid w:val="00C318FD"/>
    <w:rsid w:val="00C31B71"/>
    <w:rsid w:val="00C327B8"/>
    <w:rsid w:val="00C3321C"/>
    <w:rsid w:val="00C337FF"/>
    <w:rsid w:val="00C33B0D"/>
    <w:rsid w:val="00C342BA"/>
    <w:rsid w:val="00C34518"/>
    <w:rsid w:val="00C347AC"/>
    <w:rsid w:val="00C349D8"/>
    <w:rsid w:val="00C353D8"/>
    <w:rsid w:val="00C365D7"/>
    <w:rsid w:val="00C3662C"/>
    <w:rsid w:val="00C3739E"/>
    <w:rsid w:val="00C37A1B"/>
    <w:rsid w:val="00C37EF0"/>
    <w:rsid w:val="00C405F4"/>
    <w:rsid w:val="00C40EE4"/>
    <w:rsid w:val="00C41380"/>
    <w:rsid w:val="00C4218C"/>
    <w:rsid w:val="00C42954"/>
    <w:rsid w:val="00C42C3D"/>
    <w:rsid w:val="00C431BE"/>
    <w:rsid w:val="00C43714"/>
    <w:rsid w:val="00C4495F"/>
    <w:rsid w:val="00C45B3A"/>
    <w:rsid w:val="00C46751"/>
    <w:rsid w:val="00C46B73"/>
    <w:rsid w:val="00C46CA3"/>
    <w:rsid w:val="00C46E3E"/>
    <w:rsid w:val="00C46E81"/>
    <w:rsid w:val="00C4729C"/>
    <w:rsid w:val="00C50516"/>
    <w:rsid w:val="00C51452"/>
    <w:rsid w:val="00C5152A"/>
    <w:rsid w:val="00C5175C"/>
    <w:rsid w:val="00C5182B"/>
    <w:rsid w:val="00C51DD3"/>
    <w:rsid w:val="00C52A21"/>
    <w:rsid w:val="00C52AF4"/>
    <w:rsid w:val="00C5400B"/>
    <w:rsid w:val="00C546A8"/>
    <w:rsid w:val="00C5498A"/>
    <w:rsid w:val="00C5499C"/>
    <w:rsid w:val="00C55326"/>
    <w:rsid w:val="00C56191"/>
    <w:rsid w:val="00C5660D"/>
    <w:rsid w:val="00C56C72"/>
    <w:rsid w:val="00C56F4F"/>
    <w:rsid w:val="00C57453"/>
    <w:rsid w:val="00C57491"/>
    <w:rsid w:val="00C5752A"/>
    <w:rsid w:val="00C57F59"/>
    <w:rsid w:val="00C6064F"/>
    <w:rsid w:val="00C60F85"/>
    <w:rsid w:val="00C617CE"/>
    <w:rsid w:val="00C62451"/>
    <w:rsid w:val="00C62602"/>
    <w:rsid w:val="00C6418D"/>
    <w:rsid w:val="00C64D28"/>
    <w:rsid w:val="00C64F32"/>
    <w:rsid w:val="00C65420"/>
    <w:rsid w:val="00C6560D"/>
    <w:rsid w:val="00C65AC4"/>
    <w:rsid w:val="00C66475"/>
    <w:rsid w:val="00C6654B"/>
    <w:rsid w:val="00C669F2"/>
    <w:rsid w:val="00C66F28"/>
    <w:rsid w:val="00C6748B"/>
    <w:rsid w:val="00C6773C"/>
    <w:rsid w:val="00C67842"/>
    <w:rsid w:val="00C678AD"/>
    <w:rsid w:val="00C67CD7"/>
    <w:rsid w:val="00C70768"/>
    <w:rsid w:val="00C707B5"/>
    <w:rsid w:val="00C70854"/>
    <w:rsid w:val="00C70B14"/>
    <w:rsid w:val="00C71621"/>
    <w:rsid w:val="00C72942"/>
    <w:rsid w:val="00C72993"/>
    <w:rsid w:val="00C72CF2"/>
    <w:rsid w:val="00C7344B"/>
    <w:rsid w:val="00C73527"/>
    <w:rsid w:val="00C735D2"/>
    <w:rsid w:val="00C73D7F"/>
    <w:rsid w:val="00C73DD1"/>
    <w:rsid w:val="00C75406"/>
    <w:rsid w:val="00C7634D"/>
    <w:rsid w:val="00C763AE"/>
    <w:rsid w:val="00C76E32"/>
    <w:rsid w:val="00C77DD8"/>
    <w:rsid w:val="00C80384"/>
    <w:rsid w:val="00C80521"/>
    <w:rsid w:val="00C80782"/>
    <w:rsid w:val="00C80B7F"/>
    <w:rsid w:val="00C81023"/>
    <w:rsid w:val="00C8165F"/>
    <w:rsid w:val="00C822A5"/>
    <w:rsid w:val="00C82B76"/>
    <w:rsid w:val="00C82BF5"/>
    <w:rsid w:val="00C82FE8"/>
    <w:rsid w:val="00C8353C"/>
    <w:rsid w:val="00C8374A"/>
    <w:rsid w:val="00C8440B"/>
    <w:rsid w:val="00C84410"/>
    <w:rsid w:val="00C85ED2"/>
    <w:rsid w:val="00C87E7F"/>
    <w:rsid w:val="00C91A9C"/>
    <w:rsid w:val="00C92A5B"/>
    <w:rsid w:val="00C92A81"/>
    <w:rsid w:val="00C93493"/>
    <w:rsid w:val="00C93D56"/>
    <w:rsid w:val="00C93DDD"/>
    <w:rsid w:val="00C940C5"/>
    <w:rsid w:val="00C9437F"/>
    <w:rsid w:val="00C95425"/>
    <w:rsid w:val="00C95826"/>
    <w:rsid w:val="00C958EF"/>
    <w:rsid w:val="00C96E7F"/>
    <w:rsid w:val="00C96EB4"/>
    <w:rsid w:val="00C96F62"/>
    <w:rsid w:val="00C97908"/>
    <w:rsid w:val="00C97C0C"/>
    <w:rsid w:val="00CA02A1"/>
    <w:rsid w:val="00CA08C1"/>
    <w:rsid w:val="00CA09C8"/>
    <w:rsid w:val="00CA0A47"/>
    <w:rsid w:val="00CA1407"/>
    <w:rsid w:val="00CA23D1"/>
    <w:rsid w:val="00CA243A"/>
    <w:rsid w:val="00CA3D07"/>
    <w:rsid w:val="00CA3E2C"/>
    <w:rsid w:val="00CA3F17"/>
    <w:rsid w:val="00CA4ED0"/>
    <w:rsid w:val="00CA548D"/>
    <w:rsid w:val="00CA5628"/>
    <w:rsid w:val="00CA5F60"/>
    <w:rsid w:val="00CA6A47"/>
    <w:rsid w:val="00CA6D2F"/>
    <w:rsid w:val="00CA6F3C"/>
    <w:rsid w:val="00CA79F3"/>
    <w:rsid w:val="00CB023C"/>
    <w:rsid w:val="00CB198E"/>
    <w:rsid w:val="00CB1E51"/>
    <w:rsid w:val="00CB2470"/>
    <w:rsid w:val="00CB38CE"/>
    <w:rsid w:val="00CB39F8"/>
    <w:rsid w:val="00CB45DF"/>
    <w:rsid w:val="00CB4611"/>
    <w:rsid w:val="00CB4B55"/>
    <w:rsid w:val="00CB59A4"/>
    <w:rsid w:val="00CB5C8A"/>
    <w:rsid w:val="00CB5C91"/>
    <w:rsid w:val="00CB5E6D"/>
    <w:rsid w:val="00CB6F5C"/>
    <w:rsid w:val="00CB751D"/>
    <w:rsid w:val="00CB7521"/>
    <w:rsid w:val="00CB7A5C"/>
    <w:rsid w:val="00CC0096"/>
    <w:rsid w:val="00CC00BD"/>
    <w:rsid w:val="00CC06A1"/>
    <w:rsid w:val="00CC13A0"/>
    <w:rsid w:val="00CC1FFD"/>
    <w:rsid w:val="00CC21BF"/>
    <w:rsid w:val="00CC247B"/>
    <w:rsid w:val="00CC3CDB"/>
    <w:rsid w:val="00CC3E6F"/>
    <w:rsid w:val="00CC482C"/>
    <w:rsid w:val="00CC598C"/>
    <w:rsid w:val="00CC5C26"/>
    <w:rsid w:val="00CC6328"/>
    <w:rsid w:val="00CC6811"/>
    <w:rsid w:val="00CC6C54"/>
    <w:rsid w:val="00CD02B5"/>
    <w:rsid w:val="00CD05B2"/>
    <w:rsid w:val="00CD161A"/>
    <w:rsid w:val="00CD18D7"/>
    <w:rsid w:val="00CD2036"/>
    <w:rsid w:val="00CD2E5A"/>
    <w:rsid w:val="00CD3A07"/>
    <w:rsid w:val="00CD3CB9"/>
    <w:rsid w:val="00CD3E63"/>
    <w:rsid w:val="00CD445F"/>
    <w:rsid w:val="00CD4A57"/>
    <w:rsid w:val="00CD530E"/>
    <w:rsid w:val="00CD533E"/>
    <w:rsid w:val="00CD5AB3"/>
    <w:rsid w:val="00CD5E5C"/>
    <w:rsid w:val="00CD5E9F"/>
    <w:rsid w:val="00CD6AD2"/>
    <w:rsid w:val="00CD7F7E"/>
    <w:rsid w:val="00CE0429"/>
    <w:rsid w:val="00CE0A2D"/>
    <w:rsid w:val="00CE0E84"/>
    <w:rsid w:val="00CE1DD7"/>
    <w:rsid w:val="00CE1EFA"/>
    <w:rsid w:val="00CE1FF8"/>
    <w:rsid w:val="00CE206F"/>
    <w:rsid w:val="00CE37F5"/>
    <w:rsid w:val="00CE3995"/>
    <w:rsid w:val="00CE39D5"/>
    <w:rsid w:val="00CE4A61"/>
    <w:rsid w:val="00CE5213"/>
    <w:rsid w:val="00CE562F"/>
    <w:rsid w:val="00CE5BBA"/>
    <w:rsid w:val="00CE6AEB"/>
    <w:rsid w:val="00CE6EA6"/>
    <w:rsid w:val="00CF038D"/>
    <w:rsid w:val="00CF05CC"/>
    <w:rsid w:val="00CF0D82"/>
    <w:rsid w:val="00CF1BF6"/>
    <w:rsid w:val="00CF2055"/>
    <w:rsid w:val="00CF2056"/>
    <w:rsid w:val="00CF2265"/>
    <w:rsid w:val="00CF2B28"/>
    <w:rsid w:val="00CF39CB"/>
    <w:rsid w:val="00CF3F2D"/>
    <w:rsid w:val="00CF476A"/>
    <w:rsid w:val="00CF4A80"/>
    <w:rsid w:val="00CF4B12"/>
    <w:rsid w:val="00CF4CE1"/>
    <w:rsid w:val="00CF4F27"/>
    <w:rsid w:val="00CF4F4B"/>
    <w:rsid w:val="00CF520F"/>
    <w:rsid w:val="00CF60D7"/>
    <w:rsid w:val="00CF75B2"/>
    <w:rsid w:val="00CF7C01"/>
    <w:rsid w:val="00CF7F23"/>
    <w:rsid w:val="00D00460"/>
    <w:rsid w:val="00D00EB0"/>
    <w:rsid w:val="00D019C6"/>
    <w:rsid w:val="00D01A95"/>
    <w:rsid w:val="00D01F9A"/>
    <w:rsid w:val="00D0505D"/>
    <w:rsid w:val="00D05922"/>
    <w:rsid w:val="00D05B60"/>
    <w:rsid w:val="00D06F8B"/>
    <w:rsid w:val="00D075CA"/>
    <w:rsid w:val="00D0798D"/>
    <w:rsid w:val="00D079F3"/>
    <w:rsid w:val="00D106E0"/>
    <w:rsid w:val="00D11572"/>
    <w:rsid w:val="00D117E5"/>
    <w:rsid w:val="00D11B0F"/>
    <w:rsid w:val="00D1244E"/>
    <w:rsid w:val="00D12766"/>
    <w:rsid w:val="00D129F2"/>
    <w:rsid w:val="00D12AB4"/>
    <w:rsid w:val="00D13C72"/>
    <w:rsid w:val="00D14CF4"/>
    <w:rsid w:val="00D16A5E"/>
    <w:rsid w:val="00D16EC3"/>
    <w:rsid w:val="00D17284"/>
    <w:rsid w:val="00D17613"/>
    <w:rsid w:val="00D17684"/>
    <w:rsid w:val="00D17A2B"/>
    <w:rsid w:val="00D17C50"/>
    <w:rsid w:val="00D2017A"/>
    <w:rsid w:val="00D218EB"/>
    <w:rsid w:val="00D21A75"/>
    <w:rsid w:val="00D21AD0"/>
    <w:rsid w:val="00D21C80"/>
    <w:rsid w:val="00D22547"/>
    <w:rsid w:val="00D2274A"/>
    <w:rsid w:val="00D22D2F"/>
    <w:rsid w:val="00D23409"/>
    <w:rsid w:val="00D23B1C"/>
    <w:rsid w:val="00D255DA"/>
    <w:rsid w:val="00D26328"/>
    <w:rsid w:val="00D26737"/>
    <w:rsid w:val="00D2678D"/>
    <w:rsid w:val="00D26B71"/>
    <w:rsid w:val="00D26E3F"/>
    <w:rsid w:val="00D26F61"/>
    <w:rsid w:val="00D27816"/>
    <w:rsid w:val="00D2796C"/>
    <w:rsid w:val="00D27A7A"/>
    <w:rsid w:val="00D305C1"/>
    <w:rsid w:val="00D30FC3"/>
    <w:rsid w:val="00D3103A"/>
    <w:rsid w:val="00D314CA"/>
    <w:rsid w:val="00D31605"/>
    <w:rsid w:val="00D31A15"/>
    <w:rsid w:val="00D341C4"/>
    <w:rsid w:val="00D34E04"/>
    <w:rsid w:val="00D35816"/>
    <w:rsid w:val="00D3598E"/>
    <w:rsid w:val="00D35EC1"/>
    <w:rsid w:val="00D36CB7"/>
    <w:rsid w:val="00D36DF3"/>
    <w:rsid w:val="00D3700A"/>
    <w:rsid w:val="00D378CB"/>
    <w:rsid w:val="00D37ABA"/>
    <w:rsid w:val="00D40DA5"/>
    <w:rsid w:val="00D41B7D"/>
    <w:rsid w:val="00D41F58"/>
    <w:rsid w:val="00D4260B"/>
    <w:rsid w:val="00D44466"/>
    <w:rsid w:val="00D44726"/>
    <w:rsid w:val="00D44DCE"/>
    <w:rsid w:val="00D454D3"/>
    <w:rsid w:val="00D455C7"/>
    <w:rsid w:val="00D466E4"/>
    <w:rsid w:val="00D467FD"/>
    <w:rsid w:val="00D47DB6"/>
    <w:rsid w:val="00D47EA6"/>
    <w:rsid w:val="00D503BF"/>
    <w:rsid w:val="00D5101B"/>
    <w:rsid w:val="00D511F6"/>
    <w:rsid w:val="00D51FBE"/>
    <w:rsid w:val="00D522E0"/>
    <w:rsid w:val="00D52EF9"/>
    <w:rsid w:val="00D536B9"/>
    <w:rsid w:val="00D53BBB"/>
    <w:rsid w:val="00D54F5F"/>
    <w:rsid w:val="00D57060"/>
    <w:rsid w:val="00D578CF"/>
    <w:rsid w:val="00D604CA"/>
    <w:rsid w:val="00D60E12"/>
    <w:rsid w:val="00D610BD"/>
    <w:rsid w:val="00D6268F"/>
    <w:rsid w:val="00D62848"/>
    <w:rsid w:val="00D628A9"/>
    <w:rsid w:val="00D629F9"/>
    <w:rsid w:val="00D63433"/>
    <w:rsid w:val="00D6408E"/>
    <w:rsid w:val="00D64409"/>
    <w:rsid w:val="00D64943"/>
    <w:rsid w:val="00D65073"/>
    <w:rsid w:val="00D65A92"/>
    <w:rsid w:val="00D66B61"/>
    <w:rsid w:val="00D67CCF"/>
    <w:rsid w:val="00D67F22"/>
    <w:rsid w:val="00D70067"/>
    <w:rsid w:val="00D7203E"/>
    <w:rsid w:val="00D72055"/>
    <w:rsid w:val="00D720F5"/>
    <w:rsid w:val="00D72507"/>
    <w:rsid w:val="00D7275F"/>
    <w:rsid w:val="00D72880"/>
    <w:rsid w:val="00D72B7D"/>
    <w:rsid w:val="00D73261"/>
    <w:rsid w:val="00D74A29"/>
    <w:rsid w:val="00D74BEC"/>
    <w:rsid w:val="00D750C0"/>
    <w:rsid w:val="00D75AFC"/>
    <w:rsid w:val="00D75F70"/>
    <w:rsid w:val="00D76821"/>
    <w:rsid w:val="00D77242"/>
    <w:rsid w:val="00D7734F"/>
    <w:rsid w:val="00D77B0D"/>
    <w:rsid w:val="00D8048C"/>
    <w:rsid w:val="00D81316"/>
    <w:rsid w:val="00D82275"/>
    <w:rsid w:val="00D825EF"/>
    <w:rsid w:val="00D82679"/>
    <w:rsid w:val="00D828B6"/>
    <w:rsid w:val="00D83142"/>
    <w:rsid w:val="00D83CB4"/>
    <w:rsid w:val="00D840C7"/>
    <w:rsid w:val="00D84298"/>
    <w:rsid w:val="00D842E7"/>
    <w:rsid w:val="00D845C7"/>
    <w:rsid w:val="00D84C70"/>
    <w:rsid w:val="00D84EC7"/>
    <w:rsid w:val="00D857B9"/>
    <w:rsid w:val="00D86C2B"/>
    <w:rsid w:val="00D87ADC"/>
    <w:rsid w:val="00D87CC2"/>
    <w:rsid w:val="00D90ECA"/>
    <w:rsid w:val="00D91BAD"/>
    <w:rsid w:val="00D92027"/>
    <w:rsid w:val="00D9203B"/>
    <w:rsid w:val="00D92470"/>
    <w:rsid w:val="00D92F26"/>
    <w:rsid w:val="00D933C2"/>
    <w:rsid w:val="00D93626"/>
    <w:rsid w:val="00D937AC"/>
    <w:rsid w:val="00D945AC"/>
    <w:rsid w:val="00D9476E"/>
    <w:rsid w:val="00D94A11"/>
    <w:rsid w:val="00D95E49"/>
    <w:rsid w:val="00D95F35"/>
    <w:rsid w:val="00D96665"/>
    <w:rsid w:val="00D96AEC"/>
    <w:rsid w:val="00D974D0"/>
    <w:rsid w:val="00D97EAF"/>
    <w:rsid w:val="00DA0895"/>
    <w:rsid w:val="00DA1B00"/>
    <w:rsid w:val="00DA1E9E"/>
    <w:rsid w:val="00DA253C"/>
    <w:rsid w:val="00DA3A89"/>
    <w:rsid w:val="00DA4EF0"/>
    <w:rsid w:val="00DA614D"/>
    <w:rsid w:val="00DA6479"/>
    <w:rsid w:val="00DA73F6"/>
    <w:rsid w:val="00DA772D"/>
    <w:rsid w:val="00DB0BEF"/>
    <w:rsid w:val="00DB0FC8"/>
    <w:rsid w:val="00DB2C93"/>
    <w:rsid w:val="00DB3747"/>
    <w:rsid w:val="00DB3F3F"/>
    <w:rsid w:val="00DB4772"/>
    <w:rsid w:val="00DB47B5"/>
    <w:rsid w:val="00DB56A2"/>
    <w:rsid w:val="00DB5FC0"/>
    <w:rsid w:val="00DB67DA"/>
    <w:rsid w:val="00DB6D8C"/>
    <w:rsid w:val="00DB7301"/>
    <w:rsid w:val="00DB7809"/>
    <w:rsid w:val="00DB7A50"/>
    <w:rsid w:val="00DB7B76"/>
    <w:rsid w:val="00DB7EFC"/>
    <w:rsid w:val="00DC0C9A"/>
    <w:rsid w:val="00DC0F7B"/>
    <w:rsid w:val="00DC12A6"/>
    <w:rsid w:val="00DC136F"/>
    <w:rsid w:val="00DC1CA4"/>
    <w:rsid w:val="00DC23D4"/>
    <w:rsid w:val="00DC254C"/>
    <w:rsid w:val="00DC2CD7"/>
    <w:rsid w:val="00DC3148"/>
    <w:rsid w:val="00DC3927"/>
    <w:rsid w:val="00DC45DD"/>
    <w:rsid w:val="00DC4CCF"/>
    <w:rsid w:val="00DC512D"/>
    <w:rsid w:val="00DC5162"/>
    <w:rsid w:val="00DC51C1"/>
    <w:rsid w:val="00DC5AE1"/>
    <w:rsid w:val="00DC71B0"/>
    <w:rsid w:val="00DC74AF"/>
    <w:rsid w:val="00DC7D39"/>
    <w:rsid w:val="00DC7EE2"/>
    <w:rsid w:val="00DD02C1"/>
    <w:rsid w:val="00DD0E87"/>
    <w:rsid w:val="00DD11EE"/>
    <w:rsid w:val="00DD1FC7"/>
    <w:rsid w:val="00DD227F"/>
    <w:rsid w:val="00DD29D7"/>
    <w:rsid w:val="00DD37E9"/>
    <w:rsid w:val="00DD3916"/>
    <w:rsid w:val="00DD3991"/>
    <w:rsid w:val="00DD3C83"/>
    <w:rsid w:val="00DD3E2A"/>
    <w:rsid w:val="00DD4A3C"/>
    <w:rsid w:val="00DD51C0"/>
    <w:rsid w:val="00DD52BB"/>
    <w:rsid w:val="00DD5A11"/>
    <w:rsid w:val="00DD5AEE"/>
    <w:rsid w:val="00DD5DDE"/>
    <w:rsid w:val="00DD7DE8"/>
    <w:rsid w:val="00DD7ED1"/>
    <w:rsid w:val="00DE0107"/>
    <w:rsid w:val="00DE0881"/>
    <w:rsid w:val="00DE09F6"/>
    <w:rsid w:val="00DE122A"/>
    <w:rsid w:val="00DE1C08"/>
    <w:rsid w:val="00DE1D84"/>
    <w:rsid w:val="00DE2012"/>
    <w:rsid w:val="00DE23E5"/>
    <w:rsid w:val="00DE2911"/>
    <w:rsid w:val="00DE2AC7"/>
    <w:rsid w:val="00DE2BD7"/>
    <w:rsid w:val="00DE2E08"/>
    <w:rsid w:val="00DE33CA"/>
    <w:rsid w:val="00DE350B"/>
    <w:rsid w:val="00DE3B55"/>
    <w:rsid w:val="00DE4CC0"/>
    <w:rsid w:val="00DE527F"/>
    <w:rsid w:val="00DE52A8"/>
    <w:rsid w:val="00DE5371"/>
    <w:rsid w:val="00DE5BB8"/>
    <w:rsid w:val="00DE63DA"/>
    <w:rsid w:val="00DF0049"/>
    <w:rsid w:val="00DF1B44"/>
    <w:rsid w:val="00DF1B9B"/>
    <w:rsid w:val="00DF1F60"/>
    <w:rsid w:val="00DF2B83"/>
    <w:rsid w:val="00DF2B92"/>
    <w:rsid w:val="00DF3E0C"/>
    <w:rsid w:val="00DF403E"/>
    <w:rsid w:val="00DF485D"/>
    <w:rsid w:val="00DF4DA4"/>
    <w:rsid w:val="00DF52F9"/>
    <w:rsid w:val="00DF53F4"/>
    <w:rsid w:val="00DF5B6D"/>
    <w:rsid w:val="00DF5B81"/>
    <w:rsid w:val="00DF5FF5"/>
    <w:rsid w:val="00DF6C95"/>
    <w:rsid w:val="00DF72CF"/>
    <w:rsid w:val="00DF779B"/>
    <w:rsid w:val="00DF7AB0"/>
    <w:rsid w:val="00E000F1"/>
    <w:rsid w:val="00E001FB"/>
    <w:rsid w:val="00E0140A"/>
    <w:rsid w:val="00E02B7A"/>
    <w:rsid w:val="00E0302D"/>
    <w:rsid w:val="00E03307"/>
    <w:rsid w:val="00E0361F"/>
    <w:rsid w:val="00E0416C"/>
    <w:rsid w:val="00E045B3"/>
    <w:rsid w:val="00E04D04"/>
    <w:rsid w:val="00E04FC6"/>
    <w:rsid w:val="00E054BF"/>
    <w:rsid w:val="00E05EBE"/>
    <w:rsid w:val="00E05F8A"/>
    <w:rsid w:val="00E0652E"/>
    <w:rsid w:val="00E07A87"/>
    <w:rsid w:val="00E07D32"/>
    <w:rsid w:val="00E07DCF"/>
    <w:rsid w:val="00E105E5"/>
    <w:rsid w:val="00E10EE1"/>
    <w:rsid w:val="00E11445"/>
    <w:rsid w:val="00E11F33"/>
    <w:rsid w:val="00E12A0B"/>
    <w:rsid w:val="00E12C98"/>
    <w:rsid w:val="00E12CF3"/>
    <w:rsid w:val="00E12E32"/>
    <w:rsid w:val="00E144EF"/>
    <w:rsid w:val="00E14871"/>
    <w:rsid w:val="00E15BF6"/>
    <w:rsid w:val="00E15E1C"/>
    <w:rsid w:val="00E161F4"/>
    <w:rsid w:val="00E1636A"/>
    <w:rsid w:val="00E1646B"/>
    <w:rsid w:val="00E16935"/>
    <w:rsid w:val="00E17130"/>
    <w:rsid w:val="00E17AFB"/>
    <w:rsid w:val="00E17E94"/>
    <w:rsid w:val="00E20102"/>
    <w:rsid w:val="00E20895"/>
    <w:rsid w:val="00E2093D"/>
    <w:rsid w:val="00E20D55"/>
    <w:rsid w:val="00E20E0B"/>
    <w:rsid w:val="00E20F73"/>
    <w:rsid w:val="00E228AF"/>
    <w:rsid w:val="00E23BB7"/>
    <w:rsid w:val="00E23D9F"/>
    <w:rsid w:val="00E24765"/>
    <w:rsid w:val="00E25324"/>
    <w:rsid w:val="00E25574"/>
    <w:rsid w:val="00E27ADD"/>
    <w:rsid w:val="00E3050C"/>
    <w:rsid w:val="00E310F9"/>
    <w:rsid w:val="00E3166B"/>
    <w:rsid w:val="00E31E71"/>
    <w:rsid w:val="00E32AAB"/>
    <w:rsid w:val="00E33692"/>
    <w:rsid w:val="00E34DBD"/>
    <w:rsid w:val="00E34FF7"/>
    <w:rsid w:val="00E355B5"/>
    <w:rsid w:val="00E3582E"/>
    <w:rsid w:val="00E36898"/>
    <w:rsid w:val="00E36B1F"/>
    <w:rsid w:val="00E36FA8"/>
    <w:rsid w:val="00E3722E"/>
    <w:rsid w:val="00E37622"/>
    <w:rsid w:val="00E379AC"/>
    <w:rsid w:val="00E37FEC"/>
    <w:rsid w:val="00E40C2C"/>
    <w:rsid w:val="00E414A6"/>
    <w:rsid w:val="00E414A7"/>
    <w:rsid w:val="00E415C6"/>
    <w:rsid w:val="00E41D80"/>
    <w:rsid w:val="00E42411"/>
    <w:rsid w:val="00E42527"/>
    <w:rsid w:val="00E42627"/>
    <w:rsid w:val="00E429F0"/>
    <w:rsid w:val="00E43301"/>
    <w:rsid w:val="00E433BE"/>
    <w:rsid w:val="00E43C60"/>
    <w:rsid w:val="00E44D40"/>
    <w:rsid w:val="00E45374"/>
    <w:rsid w:val="00E46192"/>
    <w:rsid w:val="00E4625F"/>
    <w:rsid w:val="00E46889"/>
    <w:rsid w:val="00E46F78"/>
    <w:rsid w:val="00E47395"/>
    <w:rsid w:val="00E47833"/>
    <w:rsid w:val="00E47946"/>
    <w:rsid w:val="00E47E9E"/>
    <w:rsid w:val="00E50769"/>
    <w:rsid w:val="00E50B20"/>
    <w:rsid w:val="00E50B43"/>
    <w:rsid w:val="00E51525"/>
    <w:rsid w:val="00E52110"/>
    <w:rsid w:val="00E524E6"/>
    <w:rsid w:val="00E52FD3"/>
    <w:rsid w:val="00E537CB"/>
    <w:rsid w:val="00E5380F"/>
    <w:rsid w:val="00E53C7C"/>
    <w:rsid w:val="00E53D09"/>
    <w:rsid w:val="00E546C3"/>
    <w:rsid w:val="00E547CB"/>
    <w:rsid w:val="00E54860"/>
    <w:rsid w:val="00E54B3E"/>
    <w:rsid w:val="00E552C3"/>
    <w:rsid w:val="00E555D4"/>
    <w:rsid w:val="00E55855"/>
    <w:rsid w:val="00E55FB5"/>
    <w:rsid w:val="00E56744"/>
    <w:rsid w:val="00E5762F"/>
    <w:rsid w:val="00E576C4"/>
    <w:rsid w:val="00E60454"/>
    <w:rsid w:val="00E607BF"/>
    <w:rsid w:val="00E60916"/>
    <w:rsid w:val="00E60A6C"/>
    <w:rsid w:val="00E60E21"/>
    <w:rsid w:val="00E61FBC"/>
    <w:rsid w:val="00E62A20"/>
    <w:rsid w:val="00E630C8"/>
    <w:rsid w:val="00E63283"/>
    <w:rsid w:val="00E634A5"/>
    <w:rsid w:val="00E636CA"/>
    <w:rsid w:val="00E63ADB"/>
    <w:rsid w:val="00E63FD6"/>
    <w:rsid w:val="00E64CD9"/>
    <w:rsid w:val="00E65329"/>
    <w:rsid w:val="00E653AD"/>
    <w:rsid w:val="00E658C5"/>
    <w:rsid w:val="00E65927"/>
    <w:rsid w:val="00E65B65"/>
    <w:rsid w:val="00E669A3"/>
    <w:rsid w:val="00E671AD"/>
    <w:rsid w:val="00E67AE0"/>
    <w:rsid w:val="00E70365"/>
    <w:rsid w:val="00E71A1A"/>
    <w:rsid w:val="00E71BF2"/>
    <w:rsid w:val="00E72DDC"/>
    <w:rsid w:val="00E72EA0"/>
    <w:rsid w:val="00E7313C"/>
    <w:rsid w:val="00E74076"/>
    <w:rsid w:val="00E74100"/>
    <w:rsid w:val="00E745E8"/>
    <w:rsid w:val="00E74BB6"/>
    <w:rsid w:val="00E74F39"/>
    <w:rsid w:val="00E75065"/>
    <w:rsid w:val="00E75310"/>
    <w:rsid w:val="00E7583B"/>
    <w:rsid w:val="00E75FF3"/>
    <w:rsid w:val="00E7658C"/>
    <w:rsid w:val="00E77643"/>
    <w:rsid w:val="00E80566"/>
    <w:rsid w:val="00E80FF9"/>
    <w:rsid w:val="00E81034"/>
    <w:rsid w:val="00E8128E"/>
    <w:rsid w:val="00E81459"/>
    <w:rsid w:val="00E81549"/>
    <w:rsid w:val="00E81CB8"/>
    <w:rsid w:val="00E8201C"/>
    <w:rsid w:val="00E82246"/>
    <w:rsid w:val="00E82D63"/>
    <w:rsid w:val="00E831E2"/>
    <w:rsid w:val="00E834C4"/>
    <w:rsid w:val="00E83B67"/>
    <w:rsid w:val="00E8412A"/>
    <w:rsid w:val="00E84A00"/>
    <w:rsid w:val="00E84F4E"/>
    <w:rsid w:val="00E85053"/>
    <w:rsid w:val="00E8557B"/>
    <w:rsid w:val="00E85C26"/>
    <w:rsid w:val="00E85E22"/>
    <w:rsid w:val="00E85FD1"/>
    <w:rsid w:val="00E862A7"/>
    <w:rsid w:val="00E86309"/>
    <w:rsid w:val="00E86414"/>
    <w:rsid w:val="00E8736B"/>
    <w:rsid w:val="00E87CEC"/>
    <w:rsid w:val="00E908C5"/>
    <w:rsid w:val="00E909D7"/>
    <w:rsid w:val="00E91757"/>
    <w:rsid w:val="00E92E61"/>
    <w:rsid w:val="00E93081"/>
    <w:rsid w:val="00E936DC"/>
    <w:rsid w:val="00E93905"/>
    <w:rsid w:val="00E93D47"/>
    <w:rsid w:val="00E94072"/>
    <w:rsid w:val="00E9449A"/>
    <w:rsid w:val="00E94F1A"/>
    <w:rsid w:val="00E95114"/>
    <w:rsid w:val="00E95D51"/>
    <w:rsid w:val="00E95E05"/>
    <w:rsid w:val="00E96315"/>
    <w:rsid w:val="00E96516"/>
    <w:rsid w:val="00E96CFC"/>
    <w:rsid w:val="00E96D3A"/>
    <w:rsid w:val="00E97C7C"/>
    <w:rsid w:val="00EA04E5"/>
    <w:rsid w:val="00EA108C"/>
    <w:rsid w:val="00EA1132"/>
    <w:rsid w:val="00EA1F2C"/>
    <w:rsid w:val="00EA2ABB"/>
    <w:rsid w:val="00EA3988"/>
    <w:rsid w:val="00EA3A26"/>
    <w:rsid w:val="00EA3B4A"/>
    <w:rsid w:val="00EA3D4E"/>
    <w:rsid w:val="00EA4216"/>
    <w:rsid w:val="00EA4EE8"/>
    <w:rsid w:val="00EA5374"/>
    <w:rsid w:val="00EA5557"/>
    <w:rsid w:val="00EA56E4"/>
    <w:rsid w:val="00EA5E23"/>
    <w:rsid w:val="00EA5FD3"/>
    <w:rsid w:val="00EA6958"/>
    <w:rsid w:val="00EA7202"/>
    <w:rsid w:val="00EA7844"/>
    <w:rsid w:val="00EB0C16"/>
    <w:rsid w:val="00EB1DBB"/>
    <w:rsid w:val="00EB1E82"/>
    <w:rsid w:val="00EB258B"/>
    <w:rsid w:val="00EB2AC9"/>
    <w:rsid w:val="00EB4267"/>
    <w:rsid w:val="00EB4906"/>
    <w:rsid w:val="00EB49FF"/>
    <w:rsid w:val="00EB4EB8"/>
    <w:rsid w:val="00EB57B9"/>
    <w:rsid w:val="00EB5CBC"/>
    <w:rsid w:val="00EB68C8"/>
    <w:rsid w:val="00EB6C98"/>
    <w:rsid w:val="00EB7687"/>
    <w:rsid w:val="00EB7A8D"/>
    <w:rsid w:val="00EC0815"/>
    <w:rsid w:val="00EC086A"/>
    <w:rsid w:val="00EC1377"/>
    <w:rsid w:val="00EC236A"/>
    <w:rsid w:val="00EC2FA6"/>
    <w:rsid w:val="00EC4943"/>
    <w:rsid w:val="00EC49F1"/>
    <w:rsid w:val="00EC4A0B"/>
    <w:rsid w:val="00EC4A45"/>
    <w:rsid w:val="00EC4F69"/>
    <w:rsid w:val="00EC511D"/>
    <w:rsid w:val="00EC5A4C"/>
    <w:rsid w:val="00EC5F4C"/>
    <w:rsid w:val="00EC643D"/>
    <w:rsid w:val="00EC644F"/>
    <w:rsid w:val="00EC64F0"/>
    <w:rsid w:val="00EC65CF"/>
    <w:rsid w:val="00EC6742"/>
    <w:rsid w:val="00EC749D"/>
    <w:rsid w:val="00EC7DEB"/>
    <w:rsid w:val="00EC7EF9"/>
    <w:rsid w:val="00ED064B"/>
    <w:rsid w:val="00ED1A5F"/>
    <w:rsid w:val="00ED2316"/>
    <w:rsid w:val="00ED2492"/>
    <w:rsid w:val="00ED2B04"/>
    <w:rsid w:val="00ED38E0"/>
    <w:rsid w:val="00ED4948"/>
    <w:rsid w:val="00ED49C5"/>
    <w:rsid w:val="00ED4F3A"/>
    <w:rsid w:val="00ED520E"/>
    <w:rsid w:val="00ED5598"/>
    <w:rsid w:val="00ED5677"/>
    <w:rsid w:val="00ED57E7"/>
    <w:rsid w:val="00ED58EA"/>
    <w:rsid w:val="00ED5EE4"/>
    <w:rsid w:val="00ED60D6"/>
    <w:rsid w:val="00ED62CC"/>
    <w:rsid w:val="00ED67D8"/>
    <w:rsid w:val="00ED6AD6"/>
    <w:rsid w:val="00ED7EB5"/>
    <w:rsid w:val="00ED7ECA"/>
    <w:rsid w:val="00ED7F74"/>
    <w:rsid w:val="00EE0EAB"/>
    <w:rsid w:val="00EE1082"/>
    <w:rsid w:val="00EE10DC"/>
    <w:rsid w:val="00EE2691"/>
    <w:rsid w:val="00EE33D4"/>
    <w:rsid w:val="00EE3821"/>
    <w:rsid w:val="00EE3F74"/>
    <w:rsid w:val="00EE4156"/>
    <w:rsid w:val="00EE4A69"/>
    <w:rsid w:val="00EE5CBF"/>
    <w:rsid w:val="00EE5EF2"/>
    <w:rsid w:val="00EE62BF"/>
    <w:rsid w:val="00EE6EA9"/>
    <w:rsid w:val="00EE7106"/>
    <w:rsid w:val="00EE7E33"/>
    <w:rsid w:val="00EF0079"/>
    <w:rsid w:val="00EF0149"/>
    <w:rsid w:val="00EF0BC3"/>
    <w:rsid w:val="00EF0C02"/>
    <w:rsid w:val="00EF1F27"/>
    <w:rsid w:val="00EF2AD1"/>
    <w:rsid w:val="00EF3142"/>
    <w:rsid w:val="00EF3528"/>
    <w:rsid w:val="00EF3CC1"/>
    <w:rsid w:val="00EF4E45"/>
    <w:rsid w:val="00EF51CE"/>
    <w:rsid w:val="00EF5390"/>
    <w:rsid w:val="00EF64EB"/>
    <w:rsid w:val="00EF6A30"/>
    <w:rsid w:val="00EF7FBE"/>
    <w:rsid w:val="00F003ED"/>
    <w:rsid w:val="00F00F85"/>
    <w:rsid w:val="00F0181C"/>
    <w:rsid w:val="00F019C7"/>
    <w:rsid w:val="00F02842"/>
    <w:rsid w:val="00F032D5"/>
    <w:rsid w:val="00F0336F"/>
    <w:rsid w:val="00F03375"/>
    <w:rsid w:val="00F0356D"/>
    <w:rsid w:val="00F0396B"/>
    <w:rsid w:val="00F03AFC"/>
    <w:rsid w:val="00F03E88"/>
    <w:rsid w:val="00F0404F"/>
    <w:rsid w:val="00F05589"/>
    <w:rsid w:val="00F066B3"/>
    <w:rsid w:val="00F06D4C"/>
    <w:rsid w:val="00F06E85"/>
    <w:rsid w:val="00F07AD6"/>
    <w:rsid w:val="00F07D16"/>
    <w:rsid w:val="00F07D4C"/>
    <w:rsid w:val="00F101BB"/>
    <w:rsid w:val="00F10B2B"/>
    <w:rsid w:val="00F114ED"/>
    <w:rsid w:val="00F11554"/>
    <w:rsid w:val="00F116B5"/>
    <w:rsid w:val="00F118FE"/>
    <w:rsid w:val="00F11F98"/>
    <w:rsid w:val="00F120DA"/>
    <w:rsid w:val="00F124FE"/>
    <w:rsid w:val="00F125CE"/>
    <w:rsid w:val="00F12D8A"/>
    <w:rsid w:val="00F134C6"/>
    <w:rsid w:val="00F1359F"/>
    <w:rsid w:val="00F138F3"/>
    <w:rsid w:val="00F13B92"/>
    <w:rsid w:val="00F140CD"/>
    <w:rsid w:val="00F14A18"/>
    <w:rsid w:val="00F14D57"/>
    <w:rsid w:val="00F14EFD"/>
    <w:rsid w:val="00F14F63"/>
    <w:rsid w:val="00F15436"/>
    <w:rsid w:val="00F167CF"/>
    <w:rsid w:val="00F16F39"/>
    <w:rsid w:val="00F170F2"/>
    <w:rsid w:val="00F17AB3"/>
    <w:rsid w:val="00F17BFB"/>
    <w:rsid w:val="00F17D95"/>
    <w:rsid w:val="00F202A6"/>
    <w:rsid w:val="00F20835"/>
    <w:rsid w:val="00F2088B"/>
    <w:rsid w:val="00F2099D"/>
    <w:rsid w:val="00F20F4C"/>
    <w:rsid w:val="00F217BB"/>
    <w:rsid w:val="00F21C39"/>
    <w:rsid w:val="00F22592"/>
    <w:rsid w:val="00F233C7"/>
    <w:rsid w:val="00F23574"/>
    <w:rsid w:val="00F23BB6"/>
    <w:rsid w:val="00F25833"/>
    <w:rsid w:val="00F260FB"/>
    <w:rsid w:val="00F263A5"/>
    <w:rsid w:val="00F272FC"/>
    <w:rsid w:val="00F276A6"/>
    <w:rsid w:val="00F27943"/>
    <w:rsid w:val="00F27B11"/>
    <w:rsid w:val="00F300D0"/>
    <w:rsid w:val="00F30402"/>
    <w:rsid w:val="00F30574"/>
    <w:rsid w:val="00F305CF"/>
    <w:rsid w:val="00F3090A"/>
    <w:rsid w:val="00F30963"/>
    <w:rsid w:val="00F30D66"/>
    <w:rsid w:val="00F31195"/>
    <w:rsid w:val="00F31C7F"/>
    <w:rsid w:val="00F328D1"/>
    <w:rsid w:val="00F3353D"/>
    <w:rsid w:val="00F34109"/>
    <w:rsid w:val="00F3466E"/>
    <w:rsid w:val="00F3469D"/>
    <w:rsid w:val="00F3659C"/>
    <w:rsid w:val="00F36F35"/>
    <w:rsid w:val="00F371BD"/>
    <w:rsid w:val="00F402AF"/>
    <w:rsid w:val="00F40B52"/>
    <w:rsid w:val="00F4160D"/>
    <w:rsid w:val="00F421B2"/>
    <w:rsid w:val="00F42204"/>
    <w:rsid w:val="00F42B28"/>
    <w:rsid w:val="00F437E6"/>
    <w:rsid w:val="00F43827"/>
    <w:rsid w:val="00F44B08"/>
    <w:rsid w:val="00F4514E"/>
    <w:rsid w:val="00F455DB"/>
    <w:rsid w:val="00F4560E"/>
    <w:rsid w:val="00F466E2"/>
    <w:rsid w:val="00F51451"/>
    <w:rsid w:val="00F51BF2"/>
    <w:rsid w:val="00F52A3E"/>
    <w:rsid w:val="00F53A99"/>
    <w:rsid w:val="00F5403A"/>
    <w:rsid w:val="00F5462B"/>
    <w:rsid w:val="00F54BED"/>
    <w:rsid w:val="00F55153"/>
    <w:rsid w:val="00F5529F"/>
    <w:rsid w:val="00F5544C"/>
    <w:rsid w:val="00F558BD"/>
    <w:rsid w:val="00F559AB"/>
    <w:rsid w:val="00F55FEB"/>
    <w:rsid w:val="00F564A4"/>
    <w:rsid w:val="00F56778"/>
    <w:rsid w:val="00F56808"/>
    <w:rsid w:val="00F56EBC"/>
    <w:rsid w:val="00F56ED5"/>
    <w:rsid w:val="00F56F33"/>
    <w:rsid w:val="00F573FE"/>
    <w:rsid w:val="00F57B93"/>
    <w:rsid w:val="00F60203"/>
    <w:rsid w:val="00F6026D"/>
    <w:rsid w:val="00F602BA"/>
    <w:rsid w:val="00F60300"/>
    <w:rsid w:val="00F606FE"/>
    <w:rsid w:val="00F60954"/>
    <w:rsid w:val="00F6100A"/>
    <w:rsid w:val="00F611B4"/>
    <w:rsid w:val="00F6291E"/>
    <w:rsid w:val="00F62CEC"/>
    <w:rsid w:val="00F62FEB"/>
    <w:rsid w:val="00F63AE8"/>
    <w:rsid w:val="00F64856"/>
    <w:rsid w:val="00F64AB8"/>
    <w:rsid w:val="00F64B36"/>
    <w:rsid w:val="00F64FEA"/>
    <w:rsid w:val="00F655E2"/>
    <w:rsid w:val="00F65D2C"/>
    <w:rsid w:val="00F65DBA"/>
    <w:rsid w:val="00F660AB"/>
    <w:rsid w:val="00F6665C"/>
    <w:rsid w:val="00F6669B"/>
    <w:rsid w:val="00F666F4"/>
    <w:rsid w:val="00F668ED"/>
    <w:rsid w:val="00F66D84"/>
    <w:rsid w:val="00F674AE"/>
    <w:rsid w:val="00F67AAA"/>
    <w:rsid w:val="00F67B9A"/>
    <w:rsid w:val="00F70847"/>
    <w:rsid w:val="00F70C5A"/>
    <w:rsid w:val="00F725B9"/>
    <w:rsid w:val="00F72B3D"/>
    <w:rsid w:val="00F73290"/>
    <w:rsid w:val="00F73778"/>
    <w:rsid w:val="00F7389A"/>
    <w:rsid w:val="00F738AE"/>
    <w:rsid w:val="00F73EB7"/>
    <w:rsid w:val="00F74BC6"/>
    <w:rsid w:val="00F757DB"/>
    <w:rsid w:val="00F76B3E"/>
    <w:rsid w:val="00F76BB1"/>
    <w:rsid w:val="00F77266"/>
    <w:rsid w:val="00F77624"/>
    <w:rsid w:val="00F7765D"/>
    <w:rsid w:val="00F81296"/>
    <w:rsid w:val="00F81A0B"/>
    <w:rsid w:val="00F81FBA"/>
    <w:rsid w:val="00F8206A"/>
    <w:rsid w:val="00F825EF"/>
    <w:rsid w:val="00F82D65"/>
    <w:rsid w:val="00F8335C"/>
    <w:rsid w:val="00F8357F"/>
    <w:rsid w:val="00F836C4"/>
    <w:rsid w:val="00F83E68"/>
    <w:rsid w:val="00F84198"/>
    <w:rsid w:val="00F843F1"/>
    <w:rsid w:val="00F84619"/>
    <w:rsid w:val="00F849C2"/>
    <w:rsid w:val="00F84C21"/>
    <w:rsid w:val="00F84ED8"/>
    <w:rsid w:val="00F85DC7"/>
    <w:rsid w:val="00F90011"/>
    <w:rsid w:val="00F906E6"/>
    <w:rsid w:val="00F907BC"/>
    <w:rsid w:val="00F90D2D"/>
    <w:rsid w:val="00F910FB"/>
    <w:rsid w:val="00F91296"/>
    <w:rsid w:val="00F91466"/>
    <w:rsid w:val="00F920BD"/>
    <w:rsid w:val="00F923C8"/>
    <w:rsid w:val="00F92845"/>
    <w:rsid w:val="00F92916"/>
    <w:rsid w:val="00F937D4"/>
    <w:rsid w:val="00F93BC7"/>
    <w:rsid w:val="00F93F46"/>
    <w:rsid w:val="00F9447F"/>
    <w:rsid w:val="00F9492B"/>
    <w:rsid w:val="00F94D16"/>
    <w:rsid w:val="00F94D3F"/>
    <w:rsid w:val="00F9505B"/>
    <w:rsid w:val="00F957C0"/>
    <w:rsid w:val="00F95FBC"/>
    <w:rsid w:val="00FA0025"/>
    <w:rsid w:val="00FA0295"/>
    <w:rsid w:val="00FA0682"/>
    <w:rsid w:val="00FA0707"/>
    <w:rsid w:val="00FA0E83"/>
    <w:rsid w:val="00FA1368"/>
    <w:rsid w:val="00FA14E5"/>
    <w:rsid w:val="00FA17FB"/>
    <w:rsid w:val="00FA1968"/>
    <w:rsid w:val="00FA1C72"/>
    <w:rsid w:val="00FA220B"/>
    <w:rsid w:val="00FA2485"/>
    <w:rsid w:val="00FA296E"/>
    <w:rsid w:val="00FA2ECC"/>
    <w:rsid w:val="00FA373E"/>
    <w:rsid w:val="00FA3969"/>
    <w:rsid w:val="00FA43A3"/>
    <w:rsid w:val="00FA45DC"/>
    <w:rsid w:val="00FA469D"/>
    <w:rsid w:val="00FA5EBF"/>
    <w:rsid w:val="00FA6853"/>
    <w:rsid w:val="00FA6CDA"/>
    <w:rsid w:val="00FA6D7D"/>
    <w:rsid w:val="00FA7171"/>
    <w:rsid w:val="00FA71EF"/>
    <w:rsid w:val="00FA76D8"/>
    <w:rsid w:val="00FA7CB9"/>
    <w:rsid w:val="00FB0C57"/>
    <w:rsid w:val="00FB1A31"/>
    <w:rsid w:val="00FB2187"/>
    <w:rsid w:val="00FB230D"/>
    <w:rsid w:val="00FB3350"/>
    <w:rsid w:val="00FB38F1"/>
    <w:rsid w:val="00FB3958"/>
    <w:rsid w:val="00FB3D95"/>
    <w:rsid w:val="00FB3F85"/>
    <w:rsid w:val="00FB43BF"/>
    <w:rsid w:val="00FB4400"/>
    <w:rsid w:val="00FB4493"/>
    <w:rsid w:val="00FB48EF"/>
    <w:rsid w:val="00FB4C83"/>
    <w:rsid w:val="00FB5CAF"/>
    <w:rsid w:val="00FB62AF"/>
    <w:rsid w:val="00FB7F3B"/>
    <w:rsid w:val="00FC0096"/>
    <w:rsid w:val="00FC0BD2"/>
    <w:rsid w:val="00FC0EA5"/>
    <w:rsid w:val="00FC22C9"/>
    <w:rsid w:val="00FC32EE"/>
    <w:rsid w:val="00FC39D4"/>
    <w:rsid w:val="00FC3B02"/>
    <w:rsid w:val="00FC5915"/>
    <w:rsid w:val="00FC65AC"/>
    <w:rsid w:val="00FC6AD0"/>
    <w:rsid w:val="00FC7F2E"/>
    <w:rsid w:val="00FD0767"/>
    <w:rsid w:val="00FD0D23"/>
    <w:rsid w:val="00FD0E42"/>
    <w:rsid w:val="00FD10BB"/>
    <w:rsid w:val="00FD19C5"/>
    <w:rsid w:val="00FD1A70"/>
    <w:rsid w:val="00FD253F"/>
    <w:rsid w:val="00FD2D4A"/>
    <w:rsid w:val="00FD2D4C"/>
    <w:rsid w:val="00FD364B"/>
    <w:rsid w:val="00FD393D"/>
    <w:rsid w:val="00FD4B2D"/>
    <w:rsid w:val="00FD580C"/>
    <w:rsid w:val="00FD63D4"/>
    <w:rsid w:val="00FD78A6"/>
    <w:rsid w:val="00FD79E2"/>
    <w:rsid w:val="00FE0849"/>
    <w:rsid w:val="00FE0E15"/>
    <w:rsid w:val="00FE15D7"/>
    <w:rsid w:val="00FE1FC4"/>
    <w:rsid w:val="00FE2822"/>
    <w:rsid w:val="00FE377B"/>
    <w:rsid w:val="00FE3B59"/>
    <w:rsid w:val="00FE3C59"/>
    <w:rsid w:val="00FE4299"/>
    <w:rsid w:val="00FE522B"/>
    <w:rsid w:val="00FE5653"/>
    <w:rsid w:val="00FE58AD"/>
    <w:rsid w:val="00FE6112"/>
    <w:rsid w:val="00FE6B9D"/>
    <w:rsid w:val="00FE7049"/>
    <w:rsid w:val="00FE72FE"/>
    <w:rsid w:val="00FE7376"/>
    <w:rsid w:val="00FE7C39"/>
    <w:rsid w:val="00FF0928"/>
    <w:rsid w:val="00FF0C24"/>
    <w:rsid w:val="00FF0EEB"/>
    <w:rsid w:val="00FF110A"/>
    <w:rsid w:val="00FF250B"/>
    <w:rsid w:val="00FF2A0C"/>
    <w:rsid w:val="00FF3119"/>
    <w:rsid w:val="00FF5C42"/>
    <w:rsid w:val="00FF5D65"/>
    <w:rsid w:val="00FF6197"/>
    <w:rsid w:val="00FF62A6"/>
    <w:rsid w:val="00FF6E04"/>
    <w:rsid w:val="00FF771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BF27AB"/>
  <w15:chartTrackingRefBased/>
  <w15:docId w15:val="{C3122872-6468-4F88-B7ED-7474963D0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w:uiPriority="99"/>
    <w:lsdException w:name="List Bullet"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E33A9"/>
    <w:pPr>
      <w:spacing w:before="120" w:after="120"/>
    </w:pPr>
    <w:rPr>
      <w:rFonts w:eastAsia="Times New Roman"/>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Huvudrubrik,heading 1,Titre§,Char"/>
    <w:basedOn w:val="a0"/>
    <w:next w:val="a1"/>
    <w:qFormat/>
    <w:rsid w:val="009C1D1E"/>
    <w:pPr>
      <w:keepNext/>
      <w:numPr>
        <w:numId w:val="1"/>
      </w:numPr>
      <w:spacing w:before="240"/>
      <w:ind w:right="284"/>
      <w:outlineLvl w:val="0"/>
    </w:pPr>
    <w:rPr>
      <w:rFonts w:ascii="Arial" w:hAnsi="Arial"/>
      <w:b/>
      <w:sz w:val="24"/>
    </w:rPr>
  </w:style>
  <w:style w:type="paragraph" w:styleId="2">
    <w:name w:val="heading 2"/>
    <w:aliases w:val="H2,Head2A,2,h2,DO NOT USE_h2,h21,UNDERRUBRIK 1-2,Head 2,l2,TitreProp,Header 2,ITT t2,PA Major Section,Livello 2,R2,H21,Heading 2 Hidden,Head1,2nd level,heading 2,I2,Section Title,Heading2,list2,H2-Heading 2"/>
    <w:basedOn w:val="a0"/>
    <w:next w:val="a1"/>
    <w:qFormat/>
    <w:rsid w:val="009C1D1E"/>
    <w:pPr>
      <w:keepNext/>
      <w:numPr>
        <w:ilvl w:val="1"/>
        <w:numId w:val="1"/>
      </w:numPr>
      <w:ind w:right="284"/>
      <w:outlineLvl w:val="1"/>
    </w:pPr>
    <w:rPr>
      <w:rFonts w:ascii="Arial" w:hAnsi="Arial"/>
      <w:b/>
      <w:sz w:val="24"/>
    </w:rPr>
  </w:style>
  <w:style w:type="paragraph" w:styleId="3">
    <w:name w:val="heading 3"/>
    <w:aliases w:val="h3,Underrubrik2,H3,Memo Heading 3,no break,0H,l3,3,list 3,Head 3,1.1.1,3rd level,Major Section Sub Section,PA Minor Section,Head3,Level 3 Head,31,32,33,311,321,34,312,322,35,313,323,36,314,324,37,315,325,38,316,326,39,317,327,310,318,328"/>
    <w:basedOn w:val="a0"/>
    <w:next w:val="a1"/>
    <w:autoRedefine/>
    <w:qFormat/>
    <w:rsid w:val="00C3739E"/>
    <w:pPr>
      <w:keepNext/>
      <w:numPr>
        <w:ilvl w:val="2"/>
        <w:numId w:val="1"/>
      </w:numPr>
      <w:outlineLvl w:val="2"/>
    </w:pPr>
    <w:rPr>
      <w:rFonts w:ascii="Arial" w:hAnsi="Arial"/>
      <w:b/>
      <w:sz w:val="24"/>
    </w:rPr>
  </w:style>
  <w:style w:type="paragraph" w:styleId="4">
    <w:name w:val="heading 4"/>
    <w:aliases w:val="H4,h4,H41,h41,H42,h42,H43,h43,H411,h411,H421,h421,H44,h44,H412,h412,H422,h422,H431,h431,H45,h45,H413,h413,H423,h423,H432,h432,H46,h46,H47,h47,Memo Heading 4,Memo Heading 5,Heading,4,Memo,5"/>
    <w:basedOn w:val="a0"/>
    <w:next w:val="a1"/>
    <w:qFormat/>
    <w:rsid w:val="009F716F"/>
    <w:pPr>
      <w:keepNext/>
      <w:numPr>
        <w:ilvl w:val="3"/>
        <w:numId w:val="1"/>
      </w:numPr>
      <w:spacing w:before="240" w:after="60"/>
      <w:outlineLvl w:val="3"/>
    </w:pPr>
    <w:rPr>
      <w:b/>
      <w:bCs/>
      <w:sz w:val="24"/>
      <w:szCs w:val="28"/>
    </w:rPr>
  </w:style>
  <w:style w:type="paragraph" w:styleId="5">
    <w:name w:val="heading 5"/>
    <w:aliases w:val="h5,Heading5"/>
    <w:basedOn w:val="a0"/>
    <w:next w:val="a0"/>
    <w:qFormat/>
    <w:rsid w:val="00D74A29"/>
    <w:pPr>
      <w:keepNext/>
      <w:numPr>
        <w:ilvl w:val="4"/>
        <w:numId w:val="1"/>
      </w:numPr>
      <w:outlineLvl w:val="4"/>
    </w:pPr>
    <w:rPr>
      <w:rFonts w:ascii="Arial" w:hAnsi="Arial"/>
    </w:rPr>
  </w:style>
  <w:style w:type="paragraph" w:styleId="6">
    <w:name w:val="heading 6"/>
    <w:basedOn w:val="a0"/>
    <w:next w:val="a0"/>
    <w:qFormat/>
    <w:rsid w:val="00CE5BBA"/>
    <w:pPr>
      <w:keepNext/>
      <w:numPr>
        <w:ilvl w:val="5"/>
        <w:numId w:val="1"/>
      </w:numPr>
      <w:outlineLvl w:val="5"/>
    </w:pPr>
    <w:rPr>
      <w:rFonts w:ascii="Arial" w:hAnsi="Arial"/>
      <w:b/>
      <w:color w:val="C0C0C0"/>
      <w:sz w:val="24"/>
    </w:rPr>
  </w:style>
  <w:style w:type="paragraph" w:styleId="7">
    <w:name w:val="heading 7"/>
    <w:basedOn w:val="a0"/>
    <w:next w:val="a0"/>
    <w:qFormat/>
    <w:rsid w:val="00CE5BBA"/>
    <w:pPr>
      <w:numPr>
        <w:ilvl w:val="6"/>
        <w:numId w:val="1"/>
      </w:numPr>
      <w:spacing w:before="240" w:after="60"/>
      <w:outlineLvl w:val="6"/>
    </w:pPr>
    <w:rPr>
      <w:sz w:val="24"/>
      <w:szCs w:val="24"/>
    </w:rPr>
  </w:style>
  <w:style w:type="paragraph" w:styleId="8">
    <w:name w:val="heading 8"/>
    <w:basedOn w:val="a0"/>
    <w:next w:val="a0"/>
    <w:link w:val="8Char"/>
    <w:qFormat/>
    <w:rsid w:val="00CE5BBA"/>
    <w:pPr>
      <w:numPr>
        <w:ilvl w:val="7"/>
        <w:numId w:val="1"/>
      </w:numPr>
      <w:spacing w:before="240" w:after="60"/>
      <w:outlineLvl w:val="7"/>
    </w:pPr>
    <w:rPr>
      <w:i/>
      <w:iCs/>
      <w:sz w:val="24"/>
      <w:szCs w:val="24"/>
    </w:rPr>
  </w:style>
  <w:style w:type="paragraph" w:styleId="9">
    <w:name w:val="heading 9"/>
    <w:aliases w:val="Figure Heading,FH"/>
    <w:basedOn w:val="a0"/>
    <w:next w:val="a0"/>
    <w:qFormat/>
    <w:rsid w:val="00CE5BBA"/>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basedOn w:val="a0"/>
    <w:link w:val="Char"/>
    <w:pPr>
      <w:tabs>
        <w:tab w:val="center" w:pos="4153"/>
        <w:tab w:val="right" w:pos="8306"/>
      </w:tabs>
    </w:pPr>
  </w:style>
  <w:style w:type="paragraph" w:styleId="a6">
    <w:name w:val="footer"/>
    <w:basedOn w:val="a0"/>
    <w:pPr>
      <w:tabs>
        <w:tab w:val="center" w:pos="4153"/>
        <w:tab w:val="right" w:pos="8306"/>
      </w:tabs>
    </w:pPr>
  </w:style>
  <w:style w:type="paragraph" w:styleId="a7">
    <w:name w:val="annotation text"/>
    <w:basedOn w:val="a0"/>
    <w:link w:val="Char0"/>
    <w:uiPriority w:val="99"/>
    <w:qFormat/>
    <w:pPr>
      <w:tabs>
        <w:tab w:val="left" w:pos="1418"/>
        <w:tab w:val="left" w:pos="4678"/>
        <w:tab w:val="left" w:pos="5954"/>
        <w:tab w:val="left" w:pos="7088"/>
      </w:tabs>
      <w:spacing w:after="240"/>
      <w:jc w:val="both"/>
    </w:pPr>
    <w:rPr>
      <w:rFonts w:ascii="Arial" w:hAnsi="Arial"/>
    </w:rPr>
  </w:style>
  <w:style w:type="character" w:styleId="a8">
    <w:name w:val="page number"/>
    <w:basedOn w:val="a2"/>
  </w:style>
  <w:style w:type="paragraph" w:customStyle="1" w:styleId="B1">
    <w:name w:val="B1"/>
    <w:basedOn w:val="a0"/>
    <w:link w:val="B1Char"/>
    <w:qFormat/>
    <w:pPr>
      <w:ind w:left="567" w:hanging="567"/>
      <w:jc w:val="both"/>
    </w:pPr>
    <w:rPr>
      <w:rFonts w:ascii="Arial" w:hAnsi="Arial"/>
    </w:rPr>
  </w:style>
  <w:style w:type="paragraph" w:customStyle="1" w:styleId="00BodyText">
    <w:name w:val="00 BodyText"/>
    <w:basedOn w:val="a0"/>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paragraph" w:styleId="a1">
    <w:name w:val="Body Text"/>
    <w:basedOn w:val="a0"/>
    <w:link w:val="Char1"/>
    <w:rsid w:val="009C1D1E"/>
  </w:style>
  <w:style w:type="table" w:styleId="aa">
    <w:name w:val="Table Grid"/>
    <w:aliases w:val="TableGrid,SGS Table Basic 1,网格型"/>
    <w:basedOn w:val="a3"/>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aption"/>
    <w:aliases w:val="cap,cap Char,Caption Char,Caption Char1 Char,cap Char Char1,Caption Char Char1 Char,cap Char2,cap Char2 Char,Ca,Caption Char C...,cap1,cap2,cap11,Légende-figure,Légende-figure Char,Beschrifubg,Beschriftung Char,label,cap11 Char Char Char,captions,C"/>
    <w:basedOn w:val="a0"/>
    <w:next w:val="a0"/>
    <w:link w:val="Char2"/>
    <w:qFormat/>
    <w:rsid w:val="00B0059F"/>
    <w:rPr>
      <w:b/>
      <w:bCs/>
    </w:rPr>
  </w:style>
  <w:style w:type="paragraph" w:styleId="ac">
    <w:name w:val="footnote text"/>
    <w:basedOn w:val="a0"/>
    <w:semiHidden/>
    <w:rsid w:val="00237340"/>
  </w:style>
  <w:style w:type="character" w:styleId="ad">
    <w:name w:val="footnote reference"/>
    <w:semiHidden/>
    <w:rsid w:val="00237340"/>
    <w:rPr>
      <w:vertAlign w:val="superscript"/>
    </w:rPr>
  </w:style>
  <w:style w:type="paragraph" w:customStyle="1" w:styleId="EX">
    <w:name w:val="EX"/>
    <w:basedOn w:val="a0"/>
    <w:rsid w:val="00D466E4"/>
    <w:pPr>
      <w:keepLines/>
      <w:spacing w:after="180"/>
      <w:ind w:left="1702" w:hanging="1418"/>
    </w:pPr>
  </w:style>
  <w:style w:type="paragraph" w:customStyle="1" w:styleId="CRCoverPage">
    <w:name w:val="CR Cover Page"/>
    <w:link w:val="CRCoverPageChar"/>
    <w:qFormat/>
    <w:rsid w:val="00A578C1"/>
    <w:pPr>
      <w:spacing w:after="120"/>
    </w:pPr>
    <w:rPr>
      <w:rFonts w:ascii="Arial" w:hAnsi="Arial"/>
      <w:lang w:val="en-GB" w:eastAsia="en-US"/>
    </w:rPr>
  </w:style>
  <w:style w:type="paragraph" w:styleId="ae">
    <w:name w:val="Block Text"/>
    <w:basedOn w:val="a0"/>
    <w:rsid w:val="009C1154"/>
    <w:pPr>
      <w:ind w:left="1440" w:right="1440"/>
    </w:pPr>
  </w:style>
  <w:style w:type="character" w:styleId="af">
    <w:name w:val="Hyperlink"/>
    <w:rsid w:val="00A578C1"/>
    <w:rPr>
      <w:color w:val="0000FF"/>
      <w:u w:val="single"/>
    </w:rPr>
  </w:style>
  <w:style w:type="character" w:styleId="af0">
    <w:name w:val="annotation reference"/>
    <w:uiPriority w:val="99"/>
    <w:semiHidden/>
    <w:qFormat/>
    <w:rsid w:val="00A578C1"/>
    <w:rPr>
      <w:sz w:val="16"/>
    </w:rPr>
  </w:style>
  <w:style w:type="paragraph" w:customStyle="1" w:styleId="TAC">
    <w:name w:val="TAC"/>
    <w:basedOn w:val="a0"/>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1">
    <w:name w:val="Document Map"/>
    <w:basedOn w:val="a0"/>
    <w:link w:val="Char3"/>
    <w:rsid w:val="00DF485D"/>
    <w:rPr>
      <w:rFonts w:ascii="굴림" w:eastAsia="굴림"/>
      <w:sz w:val="18"/>
      <w:szCs w:val="18"/>
    </w:rPr>
  </w:style>
  <w:style w:type="character" w:customStyle="1" w:styleId="Char3">
    <w:name w:val="문서 구조 Char"/>
    <w:link w:val="af1"/>
    <w:rsid w:val="00DF485D"/>
    <w:rPr>
      <w:rFonts w:ascii="굴림" w:eastAsia="굴림"/>
      <w:sz w:val="18"/>
      <w:szCs w:val="18"/>
      <w:lang w:val="en-GB" w:eastAsia="en-US"/>
    </w:rPr>
  </w:style>
  <w:style w:type="character" w:customStyle="1" w:styleId="B1Char">
    <w:name w:val="B1 Char"/>
    <w:link w:val="B1"/>
    <w:qFormat/>
    <w:rsid w:val="0064159E"/>
    <w:rPr>
      <w:rFonts w:ascii="Arial" w:hAnsi="Arial"/>
      <w:lang w:val="en-GB" w:eastAsia="en-US"/>
    </w:rPr>
  </w:style>
  <w:style w:type="paragraph" w:styleId="10">
    <w:name w:val="index 1"/>
    <w:basedOn w:val="a0"/>
    <w:rsid w:val="009D0D10"/>
    <w:pPr>
      <w:keepLines/>
    </w:pPr>
    <w:rPr>
      <w:rFonts w:eastAsia="SimSun"/>
    </w:rPr>
  </w:style>
  <w:style w:type="paragraph" w:styleId="af2">
    <w:name w:val="List Paragraph"/>
    <w:aliases w:val="- Bullets,列出段落,Lista1,?? ??,?????,????,リスト段落,清單段落1,列出段落1,中等深浅网格 1 - 着色 21,R4_bullets,列表段落1,—ño’i—Ž,¥¡¡¡¡ì¬º¥¹¥È¶ÎÂä,ÁÐ³ö¶ÎÂä,¥ê¥¹¥È¶ÎÂä,1st level - Bullet List Paragraph,Lettre d'introduction,Paragrafo elenco,Normal bullet 2,Bullet list,목록단락,列表段落"/>
    <w:basedOn w:val="a0"/>
    <w:link w:val="Char4"/>
    <w:uiPriority w:val="34"/>
    <w:qFormat/>
    <w:rsid w:val="003B6669"/>
    <w:pPr>
      <w:widowControl w:val="0"/>
      <w:wordWrap w:val="0"/>
      <w:autoSpaceDE w:val="0"/>
      <w:autoSpaceDN w:val="0"/>
      <w:ind w:leftChars="400" w:left="800"/>
      <w:jc w:val="both"/>
    </w:pPr>
    <w:rPr>
      <w:rFonts w:ascii="맑은 고딕" w:hAnsi="맑은 고딕"/>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a0"/>
    <w:rsid w:val="00435019"/>
    <w:pPr>
      <w:widowControl w:val="0"/>
      <w:jc w:val="both"/>
    </w:pPr>
    <w:rPr>
      <w:rFonts w:eastAsia="SimSun"/>
      <w:kern w:val="2"/>
      <w:sz w:val="16"/>
      <w:szCs w:val="24"/>
      <w:lang w:val="en-US"/>
    </w:rPr>
  </w:style>
  <w:style w:type="paragraph" w:customStyle="1" w:styleId="EQ">
    <w:name w:val="EQ"/>
    <w:basedOn w:val="a0"/>
    <w:next w:val="a0"/>
    <w:link w:val="EQChar"/>
    <w:qFormat/>
    <w:rsid w:val="00250222"/>
    <w:pPr>
      <w:keepLines/>
      <w:tabs>
        <w:tab w:val="center" w:pos="4536"/>
        <w:tab w:val="right" w:pos="9072"/>
      </w:tabs>
      <w:overflowPunct w:val="0"/>
      <w:autoSpaceDE w:val="0"/>
      <w:autoSpaceDN w:val="0"/>
      <w:adjustRightInd w:val="0"/>
      <w:spacing w:after="180"/>
      <w:textAlignment w:val="baseline"/>
    </w:pPr>
    <w:rPr>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noProof/>
      <w:lang w:eastAsia="ko-KR"/>
    </w:rPr>
  </w:style>
  <w:style w:type="paragraph" w:styleId="40">
    <w:name w:val="toc 4"/>
    <w:basedOn w:val="a0"/>
    <w:next w:val="a0"/>
    <w:autoRedefine/>
    <w:rsid w:val="00250222"/>
    <w:pPr>
      <w:ind w:leftChars="600" w:left="1275"/>
    </w:pPr>
  </w:style>
  <w:style w:type="paragraph" w:styleId="af3">
    <w:name w:val="Normal (Web)"/>
    <w:basedOn w:val="a0"/>
    <w:uiPriority w:val="99"/>
    <w:unhideWhenUsed/>
    <w:rsid w:val="00493D2A"/>
    <w:pPr>
      <w:spacing w:before="100" w:beforeAutospacing="1" w:after="100" w:afterAutospacing="1"/>
    </w:pPr>
    <w:rPr>
      <w:rFonts w:ascii="굴림" w:eastAsia="굴림" w:hAnsi="굴림" w:cs="굴림"/>
      <w:sz w:val="24"/>
      <w:szCs w:val="24"/>
      <w:lang w:val="en-US" w:eastAsia="ko-KR"/>
    </w:rPr>
  </w:style>
  <w:style w:type="paragraph" w:customStyle="1" w:styleId="References">
    <w:name w:val="References"/>
    <w:basedOn w:val="a0"/>
    <w:rsid w:val="00F60300"/>
    <w:pPr>
      <w:numPr>
        <w:numId w:val="2"/>
      </w:numPr>
      <w:autoSpaceDE w:val="0"/>
      <w:autoSpaceDN w:val="0"/>
      <w:jc w:val="both"/>
    </w:pPr>
    <w:rPr>
      <w:rFonts w:eastAsia="SimSun"/>
      <w:sz w:val="16"/>
      <w:szCs w:val="16"/>
    </w:rPr>
  </w:style>
  <w:style w:type="character" w:customStyle="1" w:styleId="Char2">
    <w:name w:val="캡션 Char"/>
    <w:aliases w:val="cap Char1,cap Char Char,Caption Char Char,Caption Char1 Char Char,cap Char Char1 Char,Caption Char Char1 Char Char,cap Char2 Char1,cap Char2 Char Char,Ca Char,Caption Char C... Char,cap1 Char,cap2 Char,cap11 Char,Légende-figure Char1,label Char"/>
    <w:link w:val="ab"/>
    <w:qFormat/>
    <w:rsid w:val="00F60300"/>
    <w:rPr>
      <w:b/>
      <w:bCs/>
      <w:lang w:val="en-GB" w:eastAsia="en-US"/>
    </w:rPr>
  </w:style>
  <w:style w:type="paragraph" w:customStyle="1" w:styleId="TH">
    <w:name w:val="TH"/>
    <w:basedOn w:val="a0"/>
    <w:link w:val="THChar"/>
    <w:qFormat/>
    <w:rsid w:val="00F60300"/>
    <w:pPr>
      <w:keepNext/>
      <w:keepLines/>
      <w:overflowPunct w:val="0"/>
      <w:autoSpaceDE w:val="0"/>
      <w:autoSpaceDN w:val="0"/>
      <w:adjustRightInd w:val="0"/>
      <w:spacing w:before="60" w:after="180"/>
      <w:jc w:val="center"/>
      <w:textAlignment w:val="baseline"/>
    </w:pPr>
    <w:rPr>
      <w:rFonts w:ascii="Arial" w:eastAsia="바탕" w:hAnsi="Arial"/>
      <w:b/>
      <w:lang w:eastAsia="ja-JP"/>
    </w:rPr>
  </w:style>
  <w:style w:type="character" w:customStyle="1" w:styleId="THChar">
    <w:name w:val="TH Char"/>
    <w:link w:val="TH"/>
    <w:qFormat/>
    <w:rsid w:val="00F60300"/>
    <w:rPr>
      <w:rFonts w:ascii="Arial" w:eastAsia="바탕" w:hAnsi="Arial"/>
      <w:b/>
      <w:lang w:val="en-GB" w:eastAsia="ja-JP"/>
    </w:rPr>
  </w:style>
  <w:style w:type="paragraph" w:styleId="af4">
    <w:name w:val="Balloon Text"/>
    <w:basedOn w:val="a0"/>
    <w:link w:val="Char5"/>
    <w:rsid w:val="00AB2810"/>
    <w:rPr>
      <w:rFonts w:ascii="맑은 고딕" w:hAnsi="맑은 고딕"/>
      <w:sz w:val="18"/>
      <w:szCs w:val="18"/>
    </w:rPr>
  </w:style>
  <w:style w:type="character" w:customStyle="1" w:styleId="Char5">
    <w:name w:val="풍선 도움말 텍스트 Char"/>
    <w:link w:val="af4"/>
    <w:rsid w:val="00AB2810"/>
    <w:rPr>
      <w:rFonts w:ascii="맑은 고딕" w:eastAsia="맑은 고딕" w:hAnsi="맑은 고딕" w:cs="Times New Roman"/>
      <w:sz w:val="18"/>
      <w:szCs w:val="18"/>
      <w:lang w:val="en-GB" w:eastAsia="en-US"/>
    </w:rPr>
  </w:style>
  <w:style w:type="paragraph" w:customStyle="1" w:styleId="TAN">
    <w:name w:val="TAN"/>
    <w:basedOn w:val="a0"/>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맑은 고딕"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Heading1b">
    <w:name w:val="Heading 1b"/>
    <w:basedOn w:val="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TAL">
    <w:name w:val="TAL"/>
    <w:basedOn w:val="a0"/>
    <w:link w:val="TALChar"/>
    <w:qFormat/>
    <w:rsid w:val="006A26C8"/>
    <w:pPr>
      <w:keepNext/>
      <w:keepLines/>
    </w:pPr>
    <w:rPr>
      <w:rFonts w:ascii="Arial" w:hAnsi="Arial"/>
      <w:sz w:val="18"/>
    </w:rPr>
  </w:style>
  <w:style w:type="character" w:customStyle="1" w:styleId="TALChar">
    <w:name w:val="TAL Char"/>
    <w:link w:val="TAL"/>
    <w:locked/>
    <w:rsid w:val="006A26C8"/>
    <w:rPr>
      <w:rFonts w:ascii="Arial" w:eastAsia="맑은 고딕" w:hAnsi="Arial"/>
      <w:sz w:val="18"/>
      <w:lang w:val="en-GB" w:eastAsia="en-US"/>
    </w:rPr>
  </w:style>
  <w:style w:type="character" w:customStyle="1" w:styleId="8Char">
    <w:name w:val="제목 8 Char"/>
    <w:link w:val="8"/>
    <w:rsid w:val="00CF520F"/>
    <w:rPr>
      <w:i/>
      <w:iCs/>
      <w:sz w:val="24"/>
      <w:szCs w:val="24"/>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5"/>
    <w:rsid w:val="008F444F"/>
    <w:rPr>
      <w:lang w:val="en-GB" w:eastAsia="en-US"/>
    </w:rPr>
  </w:style>
  <w:style w:type="character" w:customStyle="1" w:styleId="Char1">
    <w:name w:val="본문 Char"/>
    <w:link w:val="a1"/>
    <w:rsid w:val="00862597"/>
    <w:rPr>
      <w:lang w:val="en-GB" w:eastAsia="en-US"/>
    </w:rPr>
  </w:style>
  <w:style w:type="character" w:customStyle="1" w:styleId="Char4">
    <w:name w:val="목록 단락 Char"/>
    <w:aliases w:val="- Bullets Char,列出段落 Char,Lista1 Char,?? ?? Char,????? Char,???? Char,リスト段落 Char,清單段落1 Char,列出段落1 Char,中等深浅网格 1 - 着色 21 Char,R4_bullets Char,列表段落1 Char,—ño’i—Ž Char,¥¡¡¡¡ì¬º¥¹¥È¶ÎÂä Char,ÁÐ³ö¶ÎÂä Char,¥ê¥¹¥È¶ÎÂä Char,Paragrafo elenco Char"/>
    <w:link w:val="af2"/>
    <w:uiPriority w:val="34"/>
    <w:qFormat/>
    <w:locked/>
    <w:rsid w:val="00E42627"/>
    <w:rPr>
      <w:rFonts w:ascii="맑은 고딕" w:hAnsi="맑은 고딕"/>
      <w:kern w:val="2"/>
      <w:szCs w:val="22"/>
    </w:rPr>
  </w:style>
  <w:style w:type="paragraph" w:customStyle="1" w:styleId="EW">
    <w:name w:val="EW"/>
    <w:basedOn w:val="EX"/>
    <w:rsid w:val="00D72B7D"/>
    <w:pPr>
      <w:overflowPunct w:val="0"/>
      <w:autoSpaceDE w:val="0"/>
      <w:autoSpaceDN w:val="0"/>
      <w:adjustRightInd w:val="0"/>
      <w:spacing w:after="0"/>
      <w:textAlignment w:val="baseline"/>
    </w:pPr>
    <w:rPr>
      <w:lang w:eastAsia="x-none"/>
    </w:rPr>
  </w:style>
  <w:style w:type="character" w:customStyle="1" w:styleId="CRCoverPageChar">
    <w:name w:val="CR Cover Page Char"/>
    <w:link w:val="CRCoverPage"/>
    <w:qFormat/>
    <w:rsid w:val="009B313E"/>
    <w:rPr>
      <w:rFonts w:ascii="Arial" w:hAnsi="Arial"/>
      <w:lang w:val="en-GB" w:eastAsia="en-US"/>
    </w:rPr>
  </w:style>
  <w:style w:type="paragraph" w:styleId="90">
    <w:name w:val="toc 9"/>
    <w:basedOn w:val="a0"/>
    <w:next w:val="a0"/>
    <w:autoRedefine/>
    <w:rsid w:val="00046CA0"/>
    <w:pPr>
      <w:ind w:leftChars="1600" w:left="3400"/>
    </w:pPr>
  </w:style>
  <w:style w:type="character" w:customStyle="1" w:styleId="ZGSM">
    <w:name w:val="ZGSM"/>
    <w:rsid w:val="00046CA0"/>
  </w:style>
  <w:style w:type="paragraph" w:customStyle="1" w:styleId="B20">
    <w:name w:val="B2"/>
    <w:basedOn w:val="21"/>
    <w:link w:val="B2Char"/>
    <w:rsid w:val="00046CA0"/>
    <w:pPr>
      <w:overflowPunct w:val="0"/>
      <w:autoSpaceDE w:val="0"/>
      <w:autoSpaceDN w:val="0"/>
      <w:adjustRightInd w:val="0"/>
      <w:spacing w:after="180"/>
      <w:ind w:leftChars="0" w:left="851" w:firstLineChars="0" w:hanging="284"/>
      <w:contextualSpacing w:val="0"/>
      <w:textAlignment w:val="baseline"/>
    </w:pPr>
    <w:rPr>
      <w:lang w:eastAsia="ko-KR"/>
    </w:rPr>
  </w:style>
  <w:style w:type="character" w:customStyle="1" w:styleId="B2Char">
    <w:name w:val="B2 Char"/>
    <w:link w:val="B20"/>
    <w:rsid w:val="00046CA0"/>
    <w:rPr>
      <w:rFonts w:eastAsia="Times New Roman"/>
      <w:lang w:val="en-GB"/>
    </w:rPr>
  </w:style>
  <w:style w:type="paragraph" w:styleId="21">
    <w:name w:val="List 2"/>
    <w:basedOn w:val="a0"/>
    <w:rsid w:val="00046CA0"/>
    <w:pPr>
      <w:ind w:leftChars="400" w:left="100" w:hangingChars="200" w:hanging="200"/>
      <w:contextualSpacing/>
    </w:pPr>
  </w:style>
  <w:style w:type="paragraph" w:styleId="af5">
    <w:name w:val="List"/>
    <w:basedOn w:val="a0"/>
    <w:uiPriority w:val="99"/>
    <w:unhideWhenUsed/>
    <w:rsid w:val="00D35EC1"/>
    <w:pPr>
      <w:widowControl w:val="0"/>
      <w:wordWrap w:val="0"/>
      <w:autoSpaceDE w:val="0"/>
      <w:autoSpaceDN w:val="0"/>
      <w:ind w:leftChars="200" w:left="100" w:hangingChars="200" w:hanging="200"/>
      <w:contextualSpacing/>
      <w:jc w:val="both"/>
    </w:pPr>
    <w:rPr>
      <w:rFonts w:ascii="맑은 고딕" w:hAnsi="맑은 고딕"/>
      <w:kern w:val="2"/>
      <w:szCs w:val="22"/>
      <w:lang w:val="en-US" w:eastAsia="ko-KR"/>
    </w:rPr>
  </w:style>
  <w:style w:type="character" w:customStyle="1" w:styleId="B1Zchn">
    <w:name w:val="B1 Zchn"/>
    <w:qFormat/>
    <w:rsid w:val="00471BF2"/>
    <w:rPr>
      <w:lang w:eastAsia="en-US"/>
    </w:rPr>
  </w:style>
  <w:style w:type="paragraph" w:customStyle="1" w:styleId="textintend1">
    <w:name w:val="text intend 1"/>
    <w:basedOn w:val="a0"/>
    <w:rsid w:val="00471BF2"/>
    <w:pPr>
      <w:numPr>
        <w:numId w:val="5"/>
      </w:numPr>
      <w:overflowPunct w:val="0"/>
      <w:autoSpaceDE w:val="0"/>
      <w:autoSpaceDN w:val="0"/>
      <w:adjustRightInd w:val="0"/>
      <w:jc w:val="both"/>
      <w:textAlignment w:val="baseline"/>
    </w:pPr>
    <w:rPr>
      <w:rFonts w:eastAsia="MS Mincho"/>
      <w:sz w:val="24"/>
      <w:lang w:val="en-US" w:eastAsia="en-GB"/>
    </w:rPr>
  </w:style>
  <w:style w:type="paragraph" w:customStyle="1" w:styleId="TAR">
    <w:name w:val="TAR"/>
    <w:basedOn w:val="TAL"/>
    <w:qFormat/>
    <w:rsid w:val="0063708F"/>
    <w:pPr>
      <w:jc w:val="right"/>
    </w:pPr>
    <w:rPr>
      <w:rFonts w:eastAsiaTheme="minorEastAsia"/>
    </w:rPr>
  </w:style>
  <w:style w:type="character" w:customStyle="1" w:styleId="TALCar">
    <w:name w:val="TAL Car"/>
    <w:qFormat/>
    <w:rsid w:val="0063708F"/>
    <w:rPr>
      <w:rFonts w:ascii="Arial" w:hAnsi="Arial"/>
      <w:sz w:val="18"/>
      <w:lang w:eastAsia="en-US"/>
    </w:rPr>
  </w:style>
  <w:style w:type="paragraph" w:styleId="af6">
    <w:name w:val="annotation subject"/>
    <w:basedOn w:val="a7"/>
    <w:next w:val="a7"/>
    <w:link w:val="Char6"/>
    <w:rsid w:val="000D182E"/>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메모 텍스트 Char"/>
    <w:basedOn w:val="a2"/>
    <w:link w:val="a7"/>
    <w:uiPriority w:val="99"/>
    <w:qFormat/>
    <w:rsid w:val="000D182E"/>
    <w:rPr>
      <w:rFonts w:ascii="Arial" w:hAnsi="Arial"/>
      <w:lang w:val="en-GB" w:eastAsia="en-US"/>
    </w:rPr>
  </w:style>
  <w:style w:type="character" w:customStyle="1" w:styleId="Char6">
    <w:name w:val="메모 주제 Char"/>
    <w:basedOn w:val="Char0"/>
    <w:link w:val="af6"/>
    <w:rsid w:val="000D182E"/>
    <w:rPr>
      <w:rFonts w:ascii="Arial" w:hAnsi="Arial"/>
      <w:b/>
      <w:bCs/>
      <w:lang w:val="en-GB" w:eastAsia="en-US"/>
    </w:rPr>
  </w:style>
  <w:style w:type="character" w:customStyle="1" w:styleId="EQChar">
    <w:name w:val="EQ Char"/>
    <w:link w:val="EQ"/>
    <w:qFormat/>
    <w:rsid w:val="009E16E0"/>
    <w:rPr>
      <w:rFonts w:eastAsia="Times New Roman"/>
      <w:noProof/>
      <w:lang w:val="en-GB"/>
    </w:rPr>
  </w:style>
  <w:style w:type="character" w:customStyle="1" w:styleId="2Char">
    <w:name w:val="본문 2 Char"/>
    <w:link w:val="22"/>
    <w:uiPriority w:val="99"/>
    <w:semiHidden/>
    <w:rsid w:val="007324C4"/>
    <w:rPr>
      <w:rFonts w:ascii="Times New Roman" w:hAnsi="Times New Roman"/>
      <w:sz w:val="20"/>
      <w:szCs w:val="20"/>
      <w:lang w:val="en-GB"/>
    </w:rPr>
  </w:style>
  <w:style w:type="paragraph" w:styleId="22">
    <w:name w:val="Body Text 2"/>
    <w:basedOn w:val="a0"/>
    <w:link w:val="2Char"/>
    <w:uiPriority w:val="99"/>
    <w:rsid w:val="007324C4"/>
    <w:pPr>
      <w:spacing w:after="180" w:line="480" w:lineRule="auto"/>
    </w:pPr>
    <w:rPr>
      <w:lang w:eastAsia="ko-KR"/>
    </w:rPr>
  </w:style>
  <w:style w:type="character" w:customStyle="1" w:styleId="2Char1">
    <w:name w:val="본문 2 Char1"/>
    <w:basedOn w:val="a2"/>
    <w:rsid w:val="007324C4"/>
    <w:rPr>
      <w:lang w:val="en-GB" w:eastAsia="en-US"/>
    </w:rPr>
  </w:style>
  <w:style w:type="paragraph" w:styleId="af7">
    <w:name w:val="No Spacing"/>
    <w:uiPriority w:val="1"/>
    <w:qFormat/>
    <w:rsid w:val="00AE53B1"/>
    <w:rPr>
      <w:lang w:val="en-GB" w:eastAsia="en-US"/>
    </w:rPr>
  </w:style>
  <w:style w:type="paragraph" w:styleId="af8">
    <w:name w:val="Subtitle"/>
    <w:basedOn w:val="a0"/>
    <w:next w:val="a0"/>
    <w:link w:val="Char7"/>
    <w:qFormat/>
    <w:rsid w:val="00AE53B1"/>
    <w:pPr>
      <w:spacing w:after="60"/>
      <w:jc w:val="center"/>
      <w:outlineLvl w:val="1"/>
    </w:pPr>
    <w:rPr>
      <w:rFonts w:asciiTheme="minorHAnsi" w:eastAsiaTheme="minorEastAsia" w:hAnsiTheme="minorHAnsi" w:cstheme="minorBidi"/>
      <w:sz w:val="24"/>
      <w:szCs w:val="24"/>
    </w:rPr>
  </w:style>
  <w:style w:type="character" w:customStyle="1" w:styleId="Char7">
    <w:name w:val="부제 Char"/>
    <w:basedOn w:val="a2"/>
    <w:link w:val="af8"/>
    <w:rsid w:val="00AE53B1"/>
    <w:rPr>
      <w:rFonts w:asciiTheme="minorHAnsi" w:eastAsiaTheme="minorEastAsia" w:hAnsiTheme="minorHAnsi" w:cstheme="minorBidi"/>
      <w:sz w:val="24"/>
      <w:szCs w:val="24"/>
      <w:lang w:val="en-GB" w:eastAsia="en-US"/>
    </w:rPr>
  </w:style>
  <w:style w:type="paragraph" w:customStyle="1" w:styleId="B2">
    <w:name w:val="B2+"/>
    <w:basedOn w:val="B20"/>
    <w:uiPriority w:val="99"/>
    <w:qFormat/>
    <w:rsid w:val="00B05B86"/>
    <w:pPr>
      <w:numPr>
        <w:numId w:val="34"/>
      </w:numPr>
      <w:tabs>
        <w:tab w:val="clear" w:pos="1191"/>
        <w:tab w:val="num" w:pos="737"/>
      </w:tabs>
    </w:pPr>
    <w:rPr>
      <w:rFonts w:eastAsia="MS Mincho"/>
      <w:lang w:eastAsia="en-GB"/>
    </w:rPr>
  </w:style>
  <w:style w:type="paragraph" w:styleId="a">
    <w:name w:val="List Bullet"/>
    <w:basedOn w:val="a0"/>
    <w:uiPriority w:val="99"/>
    <w:unhideWhenUsed/>
    <w:rsid w:val="00275790"/>
    <w:pPr>
      <w:numPr>
        <w:numId w:val="55"/>
      </w:numPr>
      <w:tabs>
        <w:tab w:val="clear" w:pos="360"/>
      </w:tabs>
      <w:spacing w:after="200" w:line="276" w:lineRule="auto"/>
      <w:ind w:left="0" w:firstLine="0"/>
      <w:contextualSpacing/>
    </w:pPr>
    <w:rPr>
      <w:rFonts w:ascii="Calibri" w:eastAsia="Calibri" w:hAnsi="Calibri" w:cstheme="minorBidi"/>
      <w:sz w:val="22"/>
      <w:szCs w:val="22"/>
      <w:lang w:val="en-US"/>
    </w:rPr>
  </w:style>
  <w:style w:type="paragraph" w:styleId="af9">
    <w:name w:val="Revision"/>
    <w:hidden/>
    <w:uiPriority w:val="99"/>
    <w:semiHidden/>
    <w:rsid w:val="00271075"/>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7751195">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90005832">
      <w:bodyDiv w:val="1"/>
      <w:marLeft w:val="0"/>
      <w:marRight w:val="0"/>
      <w:marTop w:val="0"/>
      <w:marBottom w:val="0"/>
      <w:divBdr>
        <w:top w:val="none" w:sz="0" w:space="0" w:color="auto"/>
        <w:left w:val="none" w:sz="0" w:space="0" w:color="auto"/>
        <w:bottom w:val="none" w:sz="0" w:space="0" w:color="auto"/>
        <w:right w:val="none" w:sz="0" w:space="0" w:color="auto"/>
      </w:divBdr>
      <w:divsChild>
        <w:div w:id="57091565">
          <w:marLeft w:val="360"/>
          <w:marRight w:val="0"/>
          <w:marTop w:val="200"/>
          <w:marBottom w:val="0"/>
          <w:divBdr>
            <w:top w:val="none" w:sz="0" w:space="0" w:color="auto"/>
            <w:left w:val="none" w:sz="0" w:space="0" w:color="auto"/>
            <w:bottom w:val="none" w:sz="0" w:space="0" w:color="auto"/>
            <w:right w:val="none" w:sz="0" w:space="0" w:color="auto"/>
          </w:divBdr>
        </w:div>
        <w:div w:id="81876819">
          <w:marLeft w:val="1080"/>
          <w:marRight w:val="0"/>
          <w:marTop w:val="100"/>
          <w:marBottom w:val="0"/>
          <w:divBdr>
            <w:top w:val="none" w:sz="0" w:space="0" w:color="auto"/>
            <w:left w:val="none" w:sz="0" w:space="0" w:color="auto"/>
            <w:bottom w:val="none" w:sz="0" w:space="0" w:color="auto"/>
            <w:right w:val="none" w:sz="0" w:space="0" w:color="auto"/>
          </w:divBdr>
        </w:div>
        <w:div w:id="187379651">
          <w:marLeft w:val="360"/>
          <w:marRight w:val="0"/>
          <w:marTop w:val="200"/>
          <w:marBottom w:val="0"/>
          <w:divBdr>
            <w:top w:val="none" w:sz="0" w:space="0" w:color="auto"/>
            <w:left w:val="none" w:sz="0" w:space="0" w:color="auto"/>
            <w:bottom w:val="none" w:sz="0" w:space="0" w:color="auto"/>
            <w:right w:val="none" w:sz="0" w:space="0" w:color="auto"/>
          </w:divBdr>
        </w:div>
        <w:div w:id="619842688">
          <w:marLeft w:val="1080"/>
          <w:marRight w:val="0"/>
          <w:marTop w:val="100"/>
          <w:marBottom w:val="0"/>
          <w:divBdr>
            <w:top w:val="none" w:sz="0" w:space="0" w:color="auto"/>
            <w:left w:val="none" w:sz="0" w:space="0" w:color="auto"/>
            <w:bottom w:val="none" w:sz="0" w:space="0" w:color="auto"/>
            <w:right w:val="none" w:sz="0" w:space="0" w:color="auto"/>
          </w:divBdr>
        </w:div>
        <w:div w:id="658777377">
          <w:marLeft w:val="1800"/>
          <w:marRight w:val="0"/>
          <w:marTop w:val="100"/>
          <w:marBottom w:val="0"/>
          <w:divBdr>
            <w:top w:val="none" w:sz="0" w:space="0" w:color="auto"/>
            <w:left w:val="none" w:sz="0" w:space="0" w:color="auto"/>
            <w:bottom w:val="none" w:sz="0" w:space="0" w:color="auto"/>
            <w:right w:val="none" w:sz="0" w:space="0" w:color="auto"/>
          </w:divBdr>
        </w:div>
        <w:div w:id="737703761">
          <w:marLeft w:val="1080"/>
          <w:marRight w:val="0"/>
          <w:marTop w:val="100"/>
          <w:marBottom w:val="0"/>
          <w:divBdr>
            <w:top w:val="none" w:sz="0" w:space="0" w:color="auto"/>
            <w:left w:val="none" w:sz="0" w:space="0" w:color="auto"/>
            <w:bottom w:val="none" w:sz="0" w:space="0" w:color="auto"/>
            <w:right w:val="none" w:sz="0" w:space="0" w:color="auto"/>
          </w:divBdr>
        </w:div>
        <w:div w:id="1258750817">
          <w:marLeft w:val="1080"/>
          <w:marRight w:val="0"/>
          <w:marTop w:val="100"/>
          <w:marBottom w:val="0"/>
          <w:divBdr>
            <w:top w:val="none" w:sz="0" w:space="0" w:color="auto"/>
            <w:left w:val="none" w:sz="0" w:space="0" w:color="auto"/>
            <w:bottom w:val="none" w:sz="0" w:space="0" w:color="auto"/>
            <w:right w:val="none" w:sz="0" w:space="0" w:color="auto"/>
          </w:divBdr>
        </w:div>
      </w:divsChild>
    </w:div>
    <w:div w:id="91126227">
      <w:bodyDiv w:val="1"/>
      <w:marLeft w:val="0"/>
      <w:marRight w:val="0"/>
      <w:marTop w:val="0"/>
      <w:marBottom w:val="0"/>
      <w:divBdr>
        <w:top w:val="none" w:sz="0" w:space="0" w:color="auto"/>
        <w:left w:val="none" w:sz="0" w:space="0" w:color="auto"/>
        <w:bottom w:val="none" w:sz="0" w:space="0" w:color="auto"/>
        <w:right w:val="none" w:sz="0" w:space="0" w:color="auto"/>
      </w:divBdr>
      <w:divsChild>
        <w:div w:id="183055406">
          <w:marLeft w:val="1166"/>
          <w:marRight w:val="0"/>
          <w:marTop w:val="77"/>
          <w:marBottom w:val="0"/>
          <w:divBdr>
            <w:top w:val="none" w:sz="0" w:space="0" w:color="auto"/>
            <w:left w:val="none" w:sz="0" w:space="0" w:color="auto"/>
            <w:bottom w:val="none" w:sz="0" w:space="0" w:color="auto"/>
            <w:right w:val="none" w:sz="0" w:space="0" w:color="auto"/>
          </w:divBdr>
        </w:div>
        <w:div w:id="516115646">
          <w:marLeft w:val="1800"/>
          <w:marRight w:val="0"/>
          <w:marTop w:val="67"/>
          <w:marBottom w:val="0"/>
          <w:divBdr>
            <w:top w:val="none" w:sz="0" w:space="0" w:color="auto"/>
            <w:left w:val="none" w:sz="0" w:space="0" w:color="auto"/>
            <w:bottom w:val="none" w:sz="0" w:space="0" w:color="auto"/>
            <w:right w:val="none" w:sz="0" w:space="0" w:color="auto"/>
          </w:divBdr>
        </w:div>
        <w:div w:id="640036166">
          <w:marLeft w:val="1166"/>
          <w:marRight w:val="0"/>
          <w:marTop w:val="77"/>
          <w:marBottom w:val="0"/>
          <w:divBdr>
            <w:top w:val="none" w:sz="0" w:space="0" w:color="auto"/>
            <w:left w:val="none" w:sz="0" w:space="0" w:color="auto"/>
            <w:bottom w:val="none" w:sz="0" w:space="0" w:color="auto"/>
            <w:right w:val="none" w:sz="0" w:space="0" w:color="auto"/>
          </w:divBdr>
        </w:div>
        <w:div w:id="1333490175">
          <w:marLeft w:val="547"/>
          <w:marRight w:val="0"/>
          <w:marTop w:val="96"/>
          <w:marBottom w:val="0"/>
          <w:divBdr>
            <w:top w:val="none" w:sz="0" w:space="0" w:color="auto"/>
            <w:left w:val="none" w:sz="0" w:space="0" w:color="auto"/>
            <w:bottom w:val="none" w:sz="0" w:space="0" w:color="auto"/>
            <w:right w:val="none" w:sz="0" w:space="0" w:color="auto"/>
          </w:divBdr>
        </w:div>
        <w:div w:id="1918782613">
          <w:marLeft w:val="1166"/>
          <w:marRight w:val="0"/>
          <w:marTop w:val="77"/>
          <w:marBottom w:val="0"/>
          <w:divBdr>
            <w:top w:val="none" w:sz="0" w:space="0" w:color="auto"/>
            <w:left w:val="none" w:sz="0" w:space="0" w:color="auto"/>
            <w:bottom w:val="none" w:sz="0" w:space="0" w:color="auto"/>
            <w:right w:val="none" w:sz="0" w:space="0" w:color="auto"/>
          </w:divBdr>
        </w:div>
        <w:div w:id="1940024057">
          <w:marLeft w:val="2520"/>
          <w:marRight w:val="0"/>
          <w:marTop w:val="48"/>
          <w:marBottom w:val="0"/>
          <w:divBdr>
            <w:top w:val="none" w:sz="0" w:space="0" w:color="auto"/>
            <w:left w:val="none" w:sz="0" w:space="0" w:color="auto"/>
            <w:bottom w:val="none" w:sz="0" w:space="0" w:color="auto"/>
            <w:right w:val="none" w:sz="0" w:space="0" w:color="auto"/>
          </w:divBdr>
        </w:div>
      </w:divsChild>
    </w:div>
    <w:div w:id="96796673">
      <w:bodyDiv w:val="1"/>
      <w:marLeft w:val="0"/>
      <w:marRight w:val="0"/>
      <w:marTop w:val="0"/>
      <w:marBottom w:val="0"/>
      <w:divBdr>
        <w:top w:val="none" w:sz="0" w:space="0" w:color="auto"/>
        <w:left w:val="none" w:sz="0" w:space="0" w:color="auto"/>
        <w:bottom w:val="none" w:sz="0" w:space="0" w:color="auto"/>
        <w:right w:val="none" w:sz="0" w:space="0" w:color="auto"/>
      </w:divBdr>
    </w:div>
    <w:div w:id="104614498">
      <w:bodyDiv w:val="1"/>
      <w:marLeft w:val="0"/>
      <w:marRight w:val="0"/>
      <w:marTop w:val="0"/>
      <w:marBottom w:val="0"/>
      <w:divBdr>
        <w:top w:val="none" w:sz="0" w:space="0" w:color="auto"/>
        <w:left w:val="none" w:sz="0" w:space="0" w:color="auto"/>
        <w:bottom w:val="none" w:sz="0" w:space="0" w:color="auto"/>
        <w:right w:val="none" w:sz="0" w:space="0" w:color="auto"/>
      </w:divBdr>
    </w:div>
    <w:div w:id="108816299">
      <w:bodyDiv w:val="1"/>
      <w:marLeft w:val="0"/>
      <w:marRight w:val="0"/>
      <w:marTop w:val="0"/>
      <w:marBottom w:val="0"/>
      <w:divBdr>
        <w:top w:val="none" w:sz="0" w:space="0" w:color="auto"/>
        <w:left w:val="none" w:sz="0" w:space="0" w:color="auto"/>
        <w:bottom w:val="none" w:sz="0" w:space="0" w:color="auto"/>
        <w:right w:val="none" w:sz="0" w:space="0" w:color="auto"/>
      </w:divBdr>
    </w:div>
    <w:div w:id="126749192">
      <w:bodyDiv w:val="1"/>
      <w:marLeft w:val="0"/>
      <w:marRight w:val="0"/>
      <w:marTop w:val="0"/>
      <w:marBottom w:val="0"/>
      <w:divBdr>
        <w:top w:val="none" w:sz="0" w:space="0" w:color="auto"/>
        <w:left w:val="none" w:sz="0" w:space="0" w:color="auto"/>
        <w:bottom w:val="none" w:sz="0" w:space="0" w:color="auto"/>
        <w:right w:val="none" w:sz="0" w:space="0" w:color="auto"/>
      </w:divBdr>
      <w:divsChild>
        <w:div w:id="289016270">
          <w:marLeft w:val="360"/>
          <w:marRight w:val="0"/>
          <w:marTop w:val="200"/>
          <w:marBottom w:val="0"/>
          <w:divBdr>
            <w:top w:val="none" w:sz="0" w:space="0" w:color="auto"/>
            <w:left w:val="none" w:sz="0" w:space="0" w:color="auto"/>
            <w:bottom w:val="none" w:sz="0" w:space="0" w:color="auto"/>
            <w:right w:val="none" w:sz="0" w:space="0" w:color="auto"/>
          </w:divBdr>
        </w:div>
        <w:div w:id="833498629">
          <w:marLeft w:val="1080"/>
          <w:marRight w:val="0"/>
          <w:marTop w:val="100"/>
          <w:marBottom w:val="0"/>
          <w:divBdr>
            <w:top w:val="none" w:sz="0" w:space="0" w:color="auto"/>
            <w:left w:val="none" w:sz="0" w:space="0" w:color="auto"/>
            <w:bottom w:val="none" w:sz="0" w:space="0" w:color="auto"/>
            <w:right w:val="none" w:sz="0" w:space="0" w:color="auto"/>
          </w:divBdr>
        </w:div>
        <w:div w:id="1240366264">
          <w:marLeft w:val="1080"/>
          <w:marRight w:val="0"/>
          <w:marTop w:val="100"/>
          <w:marBottom w:val="0"/>
          <w:divBdr>
            <w:top w:val="none" w:sz="0" w:space="0" w:color="auto"/>
            <w:left w:val="none" w:sz="0" w:space="0" w:color="auto"/>
            <w:bottom w:val="none" w:sz="0" w:space="0" w:color="auto"/>
            <w:right w:val="none" w:sz="0" w:space="0" w:color="auto"/>
          </w:divBdr>
        </w:div>
        <w:div w:id="1875539906">
          <w:marLeft w:val="360"/>
          <w:marRight w:val="0"/>
          <w:marTop w:val="200"/>
          <w:marBottom w:val="0"/>
          <w:divBdr>
            <w:top w:val="none" w:sz="0" w:space="0" w:color="auto"/>
            <w:left w:val="none" w:sz="0" w:space="0" w:color="auto"/>
            <w:bottom w:val="none" w:sz="0" w:space="0" w:color="auto"/>
            <w:right w:val="none" w:sz="0" w:space="0" w:color="auto"/>
          </w:divBdr>
        </w:div>
        <w:div w:id="1986466934">
          <w:marLeft w:val="360"/>
          <w:marRight w:val="0"/>
          <w:marTop w:val="200"/>
          <w:marBottom w:val="0"/>
          <w:divBdr>
            <w:top w:val="none" w:sz="0" w:space="0" w:color="auto"/>
            <w:left w:val="none" w:sz="0" w:space="0" w:color="auto"/>
            <w:bottom w:val="none" w:sz="0" w:space="0" w:color="auto"/>
            <w:right w:val="none" w:sz="0" w:space="0" w:color="auto"/>
          </w:divBdr>
        </w:div>
        <w:div w:id="2029453394">
          <w:marLeft w:val="1080"/>
          <w:marRight w:val="0"/>
          <w:marTop w:val="10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62403907">
      <w:bodyDiv w:val="1"/>
      <w:marLeft w:val="0"/>
      <w:marRight w:val="0"/>
      <w:marTop w:val="0"/>
      <w:marBottom w:val="0"/>
      <w:divBdr>
        <w:top w:val="none" w:sz="0" w:space="0" w:color="auto"/>
        <w:left w:val="none" w:sz="0" w:space="0" w:color="auto"/>
        <w:bottom w:val="none" w:sz="0" w:space="0" w:color="auto"/>
        <w:right w:val="none" w:sz="0" w:space="0" w:color="auto"/>
      </w:divBdr>
      <w:divsChild>
        <w:div w:id="1013848062">
          <w:marLeft w:val="1080"/>
          <w:marRight w:val="0"/>
          <w:marTop w:val="100"/>
          <w:marBottom w:val="0"/>
          <w:divBdr>
            <w:top w:val="none" w:sz="0" w:space="0" w:color="auto"/>
            <w:left w:val="none" w:sz="0" w:space="0" w:color="auto"/>
            <w:bottom w:val="none" w:sz="0" w:space="0" w:color="auto"/>
            <w:right w:val="none" w:sz="0" w:space="0" w:color="auto"/>
          </w:divBdr>
        </w:div>
        <w:div w:id="1622761453">
          <w:marLeft w:val="360"/>
          <w:marRight w:val="0"/>
          <w:marTop w:val="200"/>
          <w:marBottom w:val="0"/>
          <w:divBdr>
            <w:top w:val="none" w:sz="0" w:space="0" w:color="auto"/>
            <w:left w:val="none" w:sz="0" w:space="0" w:color="auto"/>
            <w:bottom w:val="none" w:sz="0" w:space="0" w:color="auto"/>
            <w:right w:val="none" w:sz="0" w:space="0" w:color="auto"/>
          </w:divBdr>
        </w:div>
        <w:div w:id="1634172163">
          <w:marLeft w:val="1080"/>
          <w:marRight w:val="0"/>
          <w:marTop w:val="100"/>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22984068">
      <w:bodyDiv w:val="1"/>
      <w:marLeft w:val="0"/>
      <w:marRight w:val="0"/>
      <w:marTop w:val="0"/>
      <w:marBottom w:val="0"/>
      <w:divBdr>
        <w:top w:val="none" w:sz="0" w:space="0" w:color="auto"/>
        <w:left w:val="none" w:sz="0" w:space="0" w:color="auto"/>
        <w:bottom w:val="none" w:sz="0" w:space="0" w:color="auto"/>
        <w:right w:val="none" w:sz="0" w:space="0" w:color="auto"/>
      </w:divBdr>
    </w:div>
    <w:div w:id="227545226">
      <w:bodyDiv w:val="1"/>
      <w:marLeft w:val="0"/>
      <w:marRight w:val="0"/>
      <w:marTop w:val="0"/>
      <w:marBottom w:val="0"/>
      <w:divBdr>
        <w:top w:val="none" w:sz="0" w:space="0" w:color="auto"/>
        <w:left w:val="none" w:sz="0" w:space="0" w:color="auto"/>
        <w:bottom w:val="none" w:sz="0" w:space="0" w:color="auto"/>
        <w:right w:val="none" w:sz="0" w:space="0" w:color="auto"/>
      </w:divBdr>
    </w:div>
    <w:div w:id="248973581">
      <w:bodyDiv w:val="1"/>
      <w:marLeft w:val="0"/>
      <w:marRight w:val="0"/>
      <w:marTop w:val="0"/>
      <w:marBottom w:val="0"/>
      <w:divBdr>
        <w:top w:val="none" w:sz="0" w:space="0" w:color="auto"/>
        <w:left w:val="none" w:sz="0" w:space="0" w:color="auto"/>
        <w:bottom w:val="none" w:sz="0" w:space="0" w:color="auto"/>
        <w:right w:val="none" w:sz="0" w:space="0" w:color="auto"/>
      </w:divBdr>
      <w:divsChild>
        <w:div w:id="519315272">
          <w:marLeft w:val="1166"/>
          <w:marRight w:val="0"/>
          <w:marTop w:val="96"/>
          <w:marBottom w:val="0"/>
          <w:divBdr>
            <w:top w:val="none" w:sz="0" w:space="0" w:color="auto"/>
            <w:left w:val="none" w:sz="0" w:space="0" w:color="auto"/>
            <w:bottom w:val="none" w:sz="0" w:space="0" w:color="auto"/>
            <w:right w:val="none" w:sz="0" w:space="0" w:color="auto"/>
          </w:divBdr>
        </w:div>
        <w:div w:id="732705379">
          <w:marLeft w:val="547"/>
          <w:marRight w:val="0"/>
          <w:marTop w:val="115"/>
          <w:marBottom w:val="0"/>
          <w:divBdr>
            <w:top w:val="none" w:sz="0" w:space="0" w:color="auto"/>
            <w:left w:val="none" w:sz="0" w:space="0" w:color="auto"/>
            <w:bottom w:val="none" w:sz="0" w:space="0" w:color="auto"/>
            <w:right w:val="none" w:sz="0" w:space="0" w:color="auto"/>
          </w:divBdr>
        </w:div>
        <w:div w:id="864172013">
          <w:marLeft w:val="1166"/>
          <w:marRight w:val="0"/>
          <w:marTop w:val="96"/>
          <w:marBottom w:val="0"/>
          <w:divBdr>
            <w:top w:val="none" w:sz="0" w:space="0" w:color="auto"/>
            <w:left w:val="none" w:sz="0" w:space="0" w:color="auto"/>
            <w:bottom w:val="none" w:sz="0" w:space="0" w:color="auto"/>
            <w:right w:val="none" w:sz="0" w:space="0" w:color="auto"/>
          </w:divBdr>
        </w:div>
        <w:div w:id="1929457664">
          <w:marLeft w:val="547"/>
          <w:marRight w:val="0"/>
          <w:marTop w:val="132"/>
          <w:marBottom w:val="0"/>
          <w:divBdr>
            <w:top w:val="none" w:sz="0" w:space="0" w:color="auto"/>
            <w:left w:val="none" w:sz="0" w:space="0" w:color="auto"/>
            <w:bottom w:val="none" w:sz="0" w:space="0" w:color="auto"/>
            <w:right w:val="none" w:sz="0" w:space="0" w:color="auto"/>
          </w:divBdr>
        </w:div>
        <w:div w:id="2145467983">
          <w:marLeft w:val="1166"/>
          <w:marRight w:val="0"/>
          <w:marTop w:val="96"/>
          <w:marBottom w:val="0"/>
          <w:divBdr>
            <w:top w:val="none" w:sz="0" w:space="0" w:color="auto"/>
            <w:left w:val="none" w:sz="0" w:space="0" w:color="auto"/>
            <w:bottom w:val="none" w:sz="0" w:space="0" w:color="auto"/>
            <w:right w:val="none" w:sz="0" w:space="0" w:color="auto"/>
          </w:divBdr>
        </w:div>
      </w:divsChild>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29793158">
      <w:bodyDiv w:val="1"/>
      <w:marLeft w:val="0"/>
      <w:marRight w:val="0"/>
      <w:marTop w:val="0"/>
      <w:marBottom w:val="0"/>
      <w:divBdr>
        <w:top w:val="none" w:sz="0" w:space="0" w:color="auto"/>
        <w:left w:val="none" w:sz="0" w:space="0" w:color="auto"/>
        <w:bottom w:val="none" w:sz="0" w:space="0" w:color="auto"/>
        <w:right w:val="none" w:sz="0" w:space="0" w:color="auto"/>
      </w:divBdr>
      <w:divsChild>
        <w:div w:id="1038362217">
          <w:marLeft w:val="720"/>
          <w:marRight w:val="0"/>
          <w:marTop w:val="0"/>
          <w:marBottom w:val="0"/>
          <w:divBdr>
            <w:top w:val="none" w:sz="0" w:space="0" w:color="auto"/>
            <w:left w:val="none" w:sz="0" w:space="0" w:color="auto"/>
            <w:bottom w:val="none" w:sz="0" w:space="0" w:color="auto"/>
            <w:right w:val="none" w:sz="0" w:space="0" w:color="auto"/>
          </w:divBdr>
        </w:div>
      </w:divsChild>
    </w:div>
    <w:div w:id="336007278">
      <w:bodyDiv w:val="1"/>
      <w:marLeft w:val="0"/>
      <w:marRight w:val="0"/>
      <w:marTop w:val="0"/>
      <w:marBottom w:val="0"/>
      <w:divBdr>
        <w:top w:val="none" w:sz="0" w:space="0" w:color="auto"/>
        <w:left w:val="none" w:sz="0" w:space="0" w:color="auto"/>
        <w:bottom w:val="none" w:sz="0" w:space="0" w:color="auto"/>
        <w:right w:val="none" w:sz="0" w:space="0" w:color="auto"/>
      </w:divBdr>
      <w:divsChild>
        <w:div w:id="1233080710">
          <w:marLeft w:val="1267"/>
          <w:marRight w:val="0"/>
          <w:marTop w:val="0"/>
          <w:marBottom w:val="0"/>
          <w:divBdr>
            <w:top w:val="none" w:sz="0" w:space="0" w:color="auto"/>
            <w:left w:val="none" w:sz="0" w:space="0" w:color="auto"/>
            <w:bottom w:val="none" w:sz="0" w:space="0" w:color="auto"/>
            <w:right w:val="none" w:sz="0" w:space="0" w:color="auto"/>
          </w:divBdr>
        </w:div>
        <w:div w:id="1353917309">
          <w:marLeft w:val="1267"/>
          <w:marRight w:val="0"/>
          <w:marTop w:val="0"/>
          <w:marBottom w:val="0"/>
          <w:divBdr>
            <w:top w:val="none" w:sz="0" w:space="0" w:color="auto"/>
            <w:left w:val="none" w:sz="0" w:space="0" w:color="auto"/>
            <w:bottom w:val="none" w:sz="0" w:space="0" w:color="auto"/>
            <w:right w:val="none" w:sz="0" w:space="0" w:color="auto"/>
          </w:divBdr>
        </w:div>
      </w:divsChild>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86414702">
      <w:bodyDiv w:val="1"/>
      <w:marLeft w:val="0"/>
      <w:marRight w:val="0"/>
      <w:marTop w:val="0"/>
      <w:marBottom w:val="0"/>
      <w:divBdr>
        <w:top w:val="none" w:sz="0" w:space="0" w:color="auto"/>
        <w:left w:val="none" w:sz="0" w:space="0" w:color="auto"/>
        <w:bottom w:val="none" w:sz="0" w:space="0" w:color="auto"/>
        <w:right w:val="none" w:sz="0" w:space="0" w:color="auto"/>
      </w:divBdr>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06657951">
      <w:bodyDiv w:val="1"/>
      <w:marLeft w:val="0"/>
      <w:marRight w:val="0"/>
      <w:marTop w:val="0"/>
      <w:marBottom w:val="0"/>
      <w:divBdr>
        <w:top w:val="none" w:sz="0" w:space="0" w:color="auto"/>
        <w:left w:val="none" w:sz="0" w:space="0" w:color="auto"/>
        <w:bottom w:val="none" w:sz="0" w:space="0" w:color="auto"/>
        <w:right w:val="none" w:sz="0" w:space="0" w:color="auto"/>
      </w:divBdr>
      <w:divsChild>
        <w:div w:id="340086455">
          <w:marLeft w:val="1166"/>
          <w:marRight w:val="0"/>
          <w:marTop w:val="0"/>
          <w:marBottom w:val="0"/>
          <w:divBdr>
            <w:top w:val="none" w:sz="0" w:space="0" w:color="auto"/>
            <w:left w:val="none" w:sz="0" w:space="0" w:color="auto"/>
            <w:bottom w:val="none" w:sz="0" w:space="0" w:color="auto"/>
            <w:right w:val="none" w:sz="0" w:space="0" w:color="auto"/>
          </w:divBdr>
        </w:div>
        <w:div w:id="449055485">
          <w:marLeft w:val="446"/>
          <w:marRight w:val="0"/>
          <w:marTop w:val="0"/>
          <w:marBottom w:val="0"/>
          <w:divBdr>
            <w:top w:val="none" w:sz="0" w:space="0" w:color="auto"/>
            <w:left w:val="none" w:sz="0" w:space="0" w:color="auto"/>
            <w:bottom w:val="none" w:sz="0" w:space="0" w:color="auto"/>
            <w:right w:val="none" w:sz="0" w:space="0" w:color="auto"/>
          </w:divBdr>
        </w:div>
        <w:div w:id="947926784">
          <w:marLeft w:val="1166"/>
          <w:marRight w:val="0"/>
          <w:marTop w:val="0"/>
          <w:marBottom w:val="0"/>
          <w:divBdr>
            <w:top w:val="none" w:sz="0" w:space="0" w:color="auto"/>
            <w:left w:val="none" w:sz="0" w:space="0" w:color="auto"/>
            <w:bottom w:val="none" w:sz="0" w:space="0" w:color="auto"/>
            <w:right w:val="none" w:sz="0" w:space="0" w:color="auto"/>
          </w:divBdr>
        </w:div>
        <w:div w:id="1084571657">
          <w:marLeft w:val="1166"/>
          <w:marRight w:val="0"/>
          <w:marTop w:val="0"/>
          <w:marBottom w:val="0"/>
          <w:divBdr>
            <w:top w:val="none" w:sz="0" w:space="0" w:color="auto"/>
            <w:left w:val="none" w:sz="0" w:space="0" w:color="auto"/>
            <w:bottom w:val="none" w:sz="0" w:space="0" w:color="auto"/>
            <w:right w:val="none" w:sz="0" w:space="0" w:color="auto"/>
          </w:divBdr>
        </w:div>
        <w:div w:id="1215044511">
          <w:marLeft w:val="1166"/>
          <w:marRight w:val="0"/>
          <w:marTop w:val="0"/>
          <w:marBottom w:val="0"/>
          <w:divBdr>
            <w:top w:val="none" w:sz="0" w:space="0" w:color="auto"/>
            <w:left w:val="none" w:sz="0" w:space="0" w:color="auto"/>
            <w:bottom w:val="none" w:sz="0" w:space="0" w:color="auto"/>
            <w:right w:val="none" w:sz="0" w:space="0" w:color="auto"/>
          </w:divBdr>
        </w:div>
        <w:div w:id="1503930221">
          <w:marLeft w:val="1166"/>
          <w:marRight w:val="0"/>
          <w:marTop w:val="0"/>
          <w:marBottom w:val="0"/>
          <w:divBdr>
            <w:top w:val="none" w:sz="0" w:space="0" w:color="auto"/>
            <w:left w:val="none" w:sz="0" w:space="0" w:color="auto"/>
            <w:bottom w:val="none" w:sz="0" w:space="0" w:color="auto"/>
            <w:right w:val="none" w:sz="0" w:space="0" w:color="auto"/>
          </w:divBdr>
        </w:div>
        <w:div w:id="1582910611">
          <w:marLeft w:val="1166"/>
          <w:marRight w:val="0"/>
          <w:marTop w:val="0"/>
          <w:marBottom w:val="0"/>
          <w:divBdr>
            <w:top w:val="none" w:sz="0" w:space="0" w:color="auto"/>
            <w:left w:val="none" w:sz="0" w:space="0" w:color="auto"/>
            <w:bottom w:val="none" w:sz="0" w:space="0" w:color="auto"/>
            <w:right w:val="none" w:sz="0" w:space="0" w:color="auto"/>
          </w:divBdr>
        </w:div>
        <w:div w:id="1669822329">
          <w:marLeft w:val="446"/>
          <w:marRight w:val="0"/>
          <w:marTop w:val="0"/>
          <w:marBottom w:val="0"/>
          <w:divBdr>
            <w:top w:val="none" w:sz="0" w:space="0" w:color="auto"/>
            <w:left w:val="none" w:sz="0" w:space="0" w:color="auto"/>
            <w:bottom w:val="none" w:sz="0" w:space="0" w:color="auto"/>
            <w:right w:val="none" w:sz="0" w:space="0" w:color="auto"/>
          </w:divBdr>
        </w:div>
      </w:divsChild>
    </w:div>
    <w:div w:id="437797992">
      <w:bodyDiv w:val="1"/>
      <w:marLeft w:val="0"/>
      <w:marRight w:val="0"/>
      <w:marTop w:val="0"/>
      <w:marBottom w:val="0"/>
      <w:divBdr>
        <w:top w:val="none" w:sz="0" w:space="0" w:color="auto"/>
        <w:left w:val="none" w:sz="0" w:space="0" w:color="auto"/>
        <w:bottom w:val="none" w:sz="0" w:space="0" w:color="auto"/>
        <w:right w:val="none" w:sz="0" w:space="0" w:color="auto"/>
      </w:divBdr>
    </w:div>
    <w:div w:id="439878997">
      <w:bodyDiv w:val="1"/>
      <w:marLeft w:val="0"/>
      <w:marRight w:val="0"/>
      <w:marTop w:val="0"/>
      <w:marBottom w:val="0"/>
      <w:divBdr>
        <w:top w:val="none" w:sz="0" w:space="0" w:color="auto"/>
        <w:left w:val="none" w:sz="0" w:space="0" w:color="auto"/>
        <w:bottom w:val="none" w:sz="0" w:space="0" w:color="auto"/>
        <w:right w:val="none" w:sz="0" w:space="0" w:color="auto"/>
      </w:divBdr>
    </w:div>
    <w:div w:id="449933137">
      <w:bodyDiv w:val="1"/>
      <w:marLeft w:val="0"/>
      <w:marRight w:val="0"/>
      <w:marTop w:val="0"/>
      <w:marBottom w:val="0"/>
      <w:divBdr>
        <w:top w:val="none" w:sz="0" w:space="0" w:color="auto"/>
        <w:left w:val="none" w:sz="0" w:space="0" w:color="auto"/>
        <w:bottom w:val="none" w:sz="0" w:space="0" w:color="auto"/>
        <w:right w:val="none" w:sz="0" w:space="0" w:color="auto"/>
      </w:divBdr>
      <w:divsChild>
        <w:div w:id="1784689738">
          <w:marLeft w:val="1267"/>
          <w:marRight w:val="0"/>
          <w:marTop w:val="0"/>
          <w:marBottom w:val="0"/>
          <w:divBdr>
            <w:top w:val="none" w:sz="0" w:space="0" w:color="auto"/>
            <w:left w:val="none" w:sz="0" w:space="0" w:color="auto"/>
            <w:bottom w:val="none" w:sz="0" w:space="0" w:color="auto"/>
            <w:right w:val="none" w:sz="0" w:space="0" w:color="auto"/>
          </w:divBdr>
        </w:div>
        <w:div w:id="2098481732">
          <w:marLeft w:val="1267"/>
          <w:marRight w:val="0"/>
          <w:marTop w:val="0"/>
          <w:marBottom w:val="0"/>
          <w:divBdr>
            <w:top w:val="none" w:sz="0" w:space="0" w:color="auto"/>
            <w:left w:val="none" w:sz="0" w:space="0" w:color="auto"/>
            <w:bottom w:val="none" w:sz="0" w:space="0" w:color="auto"/>
            <w:right w:val="none" w:sz="0" w:space="0" w:color="auto"/>
          </w:divBdr>
        </w:div>
      </w:divsChild>
    </w:div>
    <w:div w:id="450365871">
      <w:bodyDiv w:val="1"/>
      <w:marLeft w:val="0"/>
      <w:marRight w:val="0"/>
      <w:marTop w:val="0"/>
      <w:marBottom w:val="0"/>
      <w:divBdr>
        <w:top w:val="none" w:sz="0" w:space="0" w:color="auto"/>
        <w:left w:val="none" w:sz="0" w:space="0" w:color="auto"/>
        <w:bottom w:val="none" w:sz="0" w:space="0" w:color="auto"/>
        <w:right w:val="none" w:sz="0" w:space="0" w:color="auto"/>
      </w:divBdr>
      <w:divsChild>
        <w:div w:id="715785365">
          <w:marLeft w:val="360"/>
          <w:marRight w:val="0"/>
          <w:marTop w:val="200"/>
          <w:marBottom w:val="0"/>
          <w:divBdr>
            <w:top w:val="none" w:sz="0" w:space="0" w:color="auto"/>
            <w:left w:val="none" w:sz="0" w:space="0" w:color="auto"/>
            <w:bottom w:val="none" w:sz="0" w:space="0" w:color="auto"/>
            <w:right w:val="none" w:sz="0" w:space="0" w:color="auto"/>
          </w:divBdr>
        </w:div>
        <w:div w:id="781732623">
          <w:marLeft w:val="1080"/>
          <w:marRight w:val="0"/>
          <w:marTop w:val="100"/>
          <w:marBottom w:val="0"/>
          <w:divBdr>
            <w:top w:val="none" w:sz="0" w:space="0" w:color="auto"/>
            <w:left w:val="none" w:sz="0" w:space="0" w:color="auto"/>
            <w:bottom w:val="none" w:sz="0" w:space="0" w:color="auto"/>
            <w:right w:val="none" w:sz="0" w:space="0" w:color="auto"/>
          </w:divBdr>
        </w:div>
        <w:div w:id="832452039">
          <w:marLeft w:val="1080"/>
          <w:marRight w:val="0"/>
          <w:marTop w:val="100"/>
          <w:marBottom w:val="0"/>
          <w:divBdr>
            <w:top w:val="none" w:sz="0" w:space="0" w:color="auto"/>
            <w:left w:val="none" w:sz="0" w:space="0" w:color="auto"/>
            <w:bottom w:val="none" w:sz="0" w:space="0" w:color="auto"/>
            <w:right w:val="none" w:sz="0" w:space="0" w:color="auto"/>
          </w:divBdr>
        </w:div>
      </w:divsChild>
    </w:div>
    <w:div w:id="466508659">
      <w:bodyDiv w:val="1"/>
      <w:marLeft w:val="0"/>
      <w:marRight w:val="0"/>
      <w:marTop w:val="0"/>
      <w:marBottom w:val="0"/>
      <w:divBdr>
        <w:top w:val="none" w:sz="0" w:space="0" w:color="auto"/>
        <w:left w:val="none" w:sz="0" w:space="0" w:color="auto"/>
        <w:bottom w:val="none" w:sz="0" w:space="0" w:color="auto"/>
        <w:right w:val="none" w:sz="0" w:space="0" w:color="auto"/>
      </w:divBdr>
    </w:div>
    <w:div w:id="475142983">
      <w:bodyDiv w:val="1"/>
      <w:marLeft w:val="0"/>
      <w:marRight w:val="0"/>
      <w:marTop w:val="0"/>
      <w:marBottom w:val="0"/>
      <w:divBdr>
        <w:top w:val="none" w:sz="0" w:space="0" w:color="auto"/>
        <w:left w:val="none" w:sz="0" w:space="0" w:color="auto"/>
        <w:bottom w:val="none" w:sz="0" w:space="0" w:color="auto"/>
        <w:right w:val="none" w:sz="0" w:space="0" w:color="auto"/>
      </w:divBdr>
    </w:div>
    <w:div w:id="483934643">
      <w:bodyDiv w:val="1"/>
      <w:marLeft w:val="0"/>
      <w:marRight w:val="0"/>
      <w:marTop w:val="0"/>
      <w:marBottom w:val="0"/>
      <w:divBdr>
        <w:top w:val="none" w:sz="0" w:space="0" w:color="auto"/>
        <w:left w:val="none" w:sz="0" w:space="0" w:color="auto"/>
        <w:bottom w:val="none" w:sz="0" w:space="0" w:color="auto"/>
        <w:right w:val="none" w:sz="0" w:space="0" w:color="auto"/>
      </w:divBdr>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47033903">
      <w:bodyDiv w:val="1"/>
      <w:marLeft w:val="0"/>
      <w:marRight w:val="0"/>
      <w:marTop w:val="0"/>
      <w:marBottom w:val="0"/>
      <w:divBdr>
        <w:top w:val="none" w:sz="0" w:space="0" w:color="auto"/>
        <w:left w:val="none" w:sz="0" w:space="0" w:color="auto"/>
        <w:bottom w:val="none" w:sz="0" w:space="0" w:color="auto"/>
        <w:right w:val="none" w:sz="0" w:space="0" w:color="auto"/>
      </w:divBdr>
      <w:divsChild>
        <w:div w:id="59838159">
          <w:marLeft w:val="1267"/>
          <w:marRight w:val="0"/>
          <w:marTop w:val="0"/>
          <w:marBottom w:val="0"/>
          <w:divBdr>
            <w:top w:val="none" w:sz="0" w:space="0" w:color="auto"/>
            <w:left w:val="none" w:sz="0" w:space="0" w:color="auto"/>
            <w:bottom w:val="none" w:sz="0" w:space="0" w:color="auto"/>
            <w:right w:val="none" w:sz="0" w:space="0" w:color="auto"/>
          </w:divBdr>
        </w:div>
        <w:div w:id="1998724210">
          <w:marLeft w:val="1267"/>
          <w:marRight w:val="0"/>
          <w:marTop w:val="0"/>
          <w:marBottom w:val="0"/>
          <w:divBdr>
            <w:top w:val="none" w:sz="0" w:space="0" w:color="auto"/>
            <w:left w:val="none" w:sz="0" w:space="0" w:color="auto"/>
            <w:bottom w:val="none" w:sz="0" w:space="0" w:color="auto"/>
            <w:right w:val="none" w:sz="0" w:space="0" w:color="auto"/>
          </w:divBdr>
        </w:div>
      </w:divsChild>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77255452">
      <w:bodyDiv w:val="1"/>
      <w:marLeft w:val="0"/>
      <w:marRight w:val="0"/>
      <w:marTop w:val="0"/>
      <w:marBottom w:val="0"/>
      <w:divBdr>
        <w:top w:val="none" w:sz="0" w:space="0" w:color="auto"/>
        <w:left w:val="none" w:sz="0" w:space="0" w:color="auto"/>
        <w:bottom w:val="none" w:sz="0" w:space="0" w:color="auto"/>
        <w:right w:val="none" w:sz="0" w:space="0" w:color="auto"/>
      </w:divBdr>
    </w:div>
    <w:div w:id="578756167">
      <w:bodyDiv w:val="1"/>
      <w:marLeft w:val="0"/>
      <w:marRight w:val="0"/>
      <w:marTop w:val="0"/>
      <w:marBottom w:val="0"/>
      <w:divBdr>
        <w:top w:val="none" w:sz="0" w:space="0" w:color="auto"/>
        <w:left w:val="none" w:sz="0" w:space="0" w:color="auto"/>
        <w:bottom w:val="none" w:sz="0" w:space="0" w:color="auto"/>
        <w:right w:val="none" w:sz="0" w:space="0" w:color="auto"/>
      </w:divBdr>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61391261">
      <w:bodyDiv w:val="1"/>
      <w:marLeft w:val="0"/>
      <w:marRight w:val="0"/>
      <w:marTop w:val="0"/>
      <w:marBottom w:val="0"/>
      <w:divBdr>
        <w:top w:val="none" w:sz="0" w:space="0" w:color="auto"/>
        <w:left w:val="none" w:sz="0" w:space="0" w:color="auto"/>
        <w:bottom w:val="none" w:sz="0" w:space="0" w:color="auto"/>
        <w:right w:val="none" w:sz="0" w:space="0" w:color="auto"/>
      </w:divBdr>
    </w:div>
    <w:div w:id="662315568">
      <w:bodyDiv w:val="1"/>
      <w:marLeft w:val="0"/>
      <w:marRight w:val="0"/>
      <w:marTop w:val="0"/>
      <w:marBottom w:val="0"/>
      <w:divBdr>
        <w:top w:val="none" w:sz="0" w:space="0" w:color="auto"/>
        <w:left w:val="none" w:sz="0" w:space="0" w:color="auto"/>
        <w:bottom w:val="none" w:sz="0" w:space="0" w:color="auto"/>
        <w:right w:val="none" w:sz="0" w:space="0" w:color="auto"/>
      </w:divBdr>
    </w:div>
    <w:div w:id="677656915">
      <w:bodyDiv w:val="1"/>
      <w:marLeft w:val="0"/>
      <w:marRight w:val="0"/>
      <w:marTop w:val="0"/>
      <w:marBottom w:val="0"/>
      <w:divBdr>
        <w:top w:val="none" w:sz="0" w:space="0" w:color="auto"/>
        <w:left w:val="none" w:sz="0" w:space="0" w:color="auto"/>
        <w:bottom w:val="none" w:sz="0" w:space="0" w:color="auto"/>
        <w:right w:val="none" w:sz="0" w:space="0" w:color="auto"/>
      </w:divBdr>
    </w:div>
    <w:div w:id="690567579">
      <w:bodyDiv w:val="1"/>
      <w:marLeft w:val="0"/>
      <w:marRight w:val="0"/>
      <w:marTop w:val="0"/>
      <w:marBottom w:val="0"/>
      <w:divBdr>
        <w:top w:val="none" w:sz="0" w:space="0" w:color="auto"/>
        <w:left w:val="none" w:sz="0" w:space="0" w:color="auto"/>
        <w:bottom w:val="none" w:sz="0" w:space="0" w:color="auto"/>
        <w:right w:val="none" w:sz="0" w:space="0" w:color="auto"/>
      </w:divBdr>
    </w:div>
    <w:div w:id="721558144">
      <w:bodyDiv w:val="1"/>
      <w:marLeft w:val="0"/>
      <w:marRight w:val="0"/>
      <w:marTop w:val="0"/>
      <w:marBottom w:val="0"/>
      <w:divBdr>
        <w:top w:val="none" w:sz="0" w:space="0" w:color="auto"/>
        <w:left w:val="none" w:sz="0" w:space="0" w:color="auto"/>
        <w:bottom w:val="none" w:sz="0" w:space="0" w:color="auto"/>
        <w:right w:val="none" w:sz="0" w:space="0" w:color="auto"/>
      </w:divBdr>
    </w:div>
    <w:div w:id="722603934">
      <w:bodyDiv w:val="1"/>
      <w:marLeft w:val="0"/>
      <w:marRight w:val="0"/>
      <w:marTop w:val="0"/>
      <w:marBottom w:val="0"/>
      <w:divBdr>
        <w:top w:val="none" w:sz="0" w:space="0" w:color="auto"/>
        <w:left w:val="none" w:sz="0" w:space="0" w:color="auto"/>
        <w:bottom w:val="none" w:sz="0" w:space="0" w:color="auto"/>
        <w:right w:val="none" w:sz="0" w:space="0" w:color="auto"/>
      </w:divBdr>
      <w:divsChild>
        <w:div w:id="73547805">
          <w:marLeft w:val="3240"/>
          <w:marRight w:val="0"/>
          <w:marTop w:val="58"/>
          <w:marBottom w:val="0"/>
          <w:divBdr>
            <w:top w:val="none" w:sz="0" w:space="0" w:color="auto"/>
            <w:left w:val="none" w:sz="0" w:space="0" w:color="auto"/>
            <w:bottom w:val="none" w:sz="0" w:space="0" w:color="auto"/>
            <w:right w:val="none" w:sz="0" w:space="0" w:color="auto"/>
          </w:divBdr>
        </w:div>
        <w:div w:id="136343694">
          <w:marLeft w:val="3240"/>
          <w:marRight w:val="0"/>
          <w:marTop w:val="58"/>
          <w:marBottom w:val="0"/>
          <w:divBdr>
            <w:top w:val="none" w:sz="0" w:space="0" w:color="auto"/>
            <w:left w:val="none" w:sz="0" w:space="0" w:color="auto"/>
            <w:bottom w:val="none" w:sz="0" w:space="0" w:color="auto"/>
            <w:right w:val="none" w:sz="0" w:space="0" w:color="auto"/>
          </w:divBdr>
        </w:div>
        <w:div w:id="197592319">
          <w:marLeft w:val="3240"/>
          <w:marRight w:val="0"/>
          <w:marTop w:val="58"/>
          <w:marBottom w:val="0"/>
          <w:divBdr>
            <w:top w:val="none" w:sz="0" w:space="0" w:color="auto"/>
            <w:left w:val="none" w:sz="0" w:space="0" w:color="auto"/>
            <w:bottom w:val="none" w:sz="0" w:space="0" w:color="auto"/>
            <w:right w:val="none" w:sz="0" w:space="0" w:color="auto"/>
          </w:divBdr>
        </w:div>
        <w:div w:id="315572255">
          <w:marLeft w:val="1800"/>
          <w:marRight w:val="0"/>
          <w:marTop w:val="67"/>
          <w:marBottom w:val="0"/>
          <w:divBdr>
            <w:top w:val="none" w:sz="0" w:space="0" w:color="auto"/>
            <w:left w:val="none" w:sz="0" w:space="0" w:color="auto"/>
            <w:bottom w:val="none" w:sz="0" w:space="0" w:color="auto"/>
            <w:right w:val="none" w:sz="0" w:space="0" w:color="auto"/>
          </w:divBdr>
        </w:div>
        <w:div w:id="425158291">
          <w:marLeft w:val="1166"/>
          <w:marRight w:val="0"/>
          <w:marTop w:val="77"/>
          <w:marBottom w:val="0"/>
          <w:divBdr>
            <w:top w:val="none" w:sz="0" w:space="0" w:color="auto"/>
            <w:left w:val="none" w:sz="0" w:space="0" w:color="auto"/>
            <w:bottom w:val="none" w:sz="0" w:space="0" w:color="auto"/>
            <w:right w:val="none" w:sz="0" w:space="0" w:color="auto"/>
          </w:divBdr>
        </w:div>
        <w:div w:id="479927266">
          <w:marLeft w:val="1800"/>
          <w:marRight w:val="0"/>
          <w:marTop w:val="67"/>
          <w:marBottom w:val="0"/>
          <w:divBdr>
            <w:top w:val="none" w:sz="0" w:space="0" w:color="auto"/>
            <w:left w:val="none" w:sz="0" w:space="0" w:color="auto"/>
            <w:bottom w:val="none" w:sz="0" w:space="0" w:color="auto"/>
            <w:right w:val="none" w:sz="0" w:space="0" w:color="auto"/>
          </w:divBdr>
        </w:div>
        <w:div w:id="1107427931">
          <w:marLeft w:val="3240"/>
          <w:marRight w:val="0"/>
          <w:marTop w:val="58"/>
          <w:marBottom w:val="0"/>
          <w:divBdr>
            <w:top w:val="none" w:sz="0" w:space="0" w:color="auto"/>
            <w:left w:val="none" w:sz="0" w:space="0" w:color="auto"/>
            <w:bottom w:val="none" w:sz="0" w:space="0" w:color="auto"/>
            <w:right w:val="none" w:sz="0" w:space="0" w:color="auto"/>
          </w:divBdr>
        </w:div>
        <w:div w:id="1225337468">
          <w:marLeft w:val="3240"/>
          <w:marRight w:val="0"/>
          <w:marTop w:val="58"/>
          <w:marBottom w:val="0"/>
          <w:divBdr>
            <w:top w:val="none" w:sz="0" w:space="0" w:color="auto"/>
            <w:left w:val="none" w:sz="0" w:space="0" w:color="auto"/>
            <w:bottom w:val="none" w:sz="0" w:space="0" w:color="auto"/>
            <w:right w:val="none" w:sz="0" w:space="0" w:color="auto"/>
          </w:divBdr>
        </w:div>
        <w:div w:id="1248926562">
          <w:marLeft w:val="3240"/>
          <w:marRight w:val="0"/>
          <w:marTop w:val="58"/>
          <w:marBottom w:val="0"/>
          <w:divBdr>
            <w:top w:val="none" w:sz="0" w:space="0" w:color="auto"/>
            <w:left w:val="none" w:sz="0" w:space="0" w:color="auto"/>
            <w:bottom w:val="none" w:sz="0" w:space="0" w:color="auto"/>
            <w:right w:val="none" w:sz="0" w:space="0" w:color="auto"/>
          </w:divBdr>
        </w:div>
        <w:div w:id="1496145084">
          <w:marLeft w:val="1800"/>
          <w:marRight w:val="0"/>
          <w:marTop w:val="67"/>
          <w:marBottom w:val="0"/>
          <w:divBdr>
            <w:top w:val="none" w:sz="0" w:space="0" w:color="auto"/>
            <w:left w:val="none" w:sz="0" w:space="0" w:color="auto"/>
            <w:bottom w:val="none" w:sz="0" w:space="0" w:color="auto"/>
            <w:right w:val="none" w:sz="0" w:space="0" w:color="auto"/>
          </w:divBdr>
        </w:div>
        <w:div w:id="1756047721">
          <w:marLeft w:val="2520"/>
          <w:marRight w:val="0"/>
          <w:marTop w:val="58"/>
          <w:marBottom w:val="0"/>
          <w:divBdr>
            <w:top w:val="none" w:sz="0" w:space="0" w:color="auto"/>
            <w:left w:val="none" w:sz="0" w:space="0" w:color="auto"/>
            <w:bottom w:val="none" w:sz="0" w:space="0" w:color="auto"/>
            <w:right w:val="none" w:sz="0" w:space="0" w:color="auto"/>
          </w:divBdr>
        </w:div>
        <w:div w:id="1856919742">
          <w:marLeft w:val="1800"/>
          <w:marRight w:val="0"/>
          <w:marTop w:val="67"/>
          <w:marBottom w:val="0"/>
          <w:divBdr>
            <w:top w:val="none" w:sz="0" w:space="0" w:color="auto"/>
            <w:left w:val="none" w:sz="0" w:space="0" w:color="auto"/>
            <w:bottom w:val="none" w:sz="0" w:space="0" w:color="auto"/>
            <w:right w:val="none" w:sz="0" w:space="0" w:color="auto"/>
          </w:divBdr>
        </w:div>
        <w:div w:id="1877424423">
          <w:marLeft w:val="1166"/>
          <w:marRight w:val="0"/>
          <w:marTop w:val="77"/>
          <w:marBottom w:val="0"/>
          <w:divBdr>
            <w:top w:val="none" w:sz="0" w:space="0" w:color="auto"/>
            <w:left w:val="none" w:sz="0" w:space="0" w:color="auto"/>
            <w:bottom w:val="none" w:sz="0" w:space="0" w:color="auto"/>
            <w:right w:val="none" w:sz="0" w:space="0" w:color="auto"/>
          </w:divBdr>
        </w:div>
        <w:div w:id="1925645478">
          <w:marLeft w:val="547"/>
          <w:marRight w:val="0"/>
          <w:marTop w:val="86"/>
          <w:marBottom w:val="0"/>
          <w:divBdr>
            <w:top w:val="none" w:sz="0" w:space="0" w:color="auto"/>
            <w:left w:val="none" w:sz="0" w:space="0" w:color="auto"/>
            <w:bottom w:val="none" w:sz="0" w:space="0" w:color="auto"/>
            <w:right w:val="none" w:sz="0" w:space="0" w:color="auto"/>
          </w:divBdr>
        </w:div>
        <w:div w:id="2050254357">
          <w:marLeft w:val="1800"/>
          <w:marRight w:val="0"/>
          <w:marTop w:val="67"/>
          <w:marBottom w:val="0"/>
          <w:divBdr>
            <w:top w:val="none" w:sz="0" w:space="0" w:color="auto"/>
            <w:left w:val="none" w:sz="0" w:space="0" w:color="auto"/>
            <w:bottom w:val="none" w:sz="0" w:space="0" w:color="auto"/>
            <w:right w:val="none" w:sz="0" w:space="0" w:color="auto"/>
          </w:divBdr>
        </w:div>
        <w:div w:id="2066638606">
          <w:marLeft w:val="2520"/>
          <w:marRight w:val="0"/>
          <w:marTop w:val="58"/>
          <w:marBottom w:val="0"/>
          <w:divBdr>
            <w:top w:val="none" w:sz="0" w:space="0" w:color="auto"/>
            <w:left w:val="none" w:sz="0" w:space="0" w:color="auto"/>
            <w:bottom w:val="none" w:sz="0" w:space="0" w:color="auto"/>
            <w:right w:val="none" w:sz="0" w:space="0" w:color="auto"/>
          </w:divBdr>
        </w:div>
      </w:divsChild>
    </w:div>
    <w:div w:id="744106594">
      <w:bodyDiv w:val="1"/>
      <w:marLeft w:val="0"/>
      <w:marRight w:val="0"/>
      <w:marTop w:val="0"/>
      <w:marBottom w:val="0"/>
      <w:divBdr>
        <w:top w:val="none" w:sz="0" w:space="0" w:color="auto"/>
        <w:left w:val="none" w:sz="0" w:space="0" w:color="auto"/>
        <w:bottom w:val="none" w:sz="0" w:space="0" w:color="auto"/>
        <w:right w:val="none" w:sz="0" w:space="0" w:color="auto"/>
      </w:divBdr>
    </w:div>
    <w:div w:id="762266225">
      <w:bodyDiv w:val="1"/>
      <w:marLeft w:val="0"/>
      <w:marRight w:val="0"/>
      <w:marTop w:val="0"/>
      <w:marBottom w:val="0"/>
      <w:divBdr>
        <w:top w:val="none" w:sz="0" w:space="0" w:color="auto"/>
        <w:left w:val="none" w:sz="0" w:space="0" w:color="auto"/>
        <w:bottom w:val="none" w:sz="0" w:space="0" w:color="auto"/>
        <w:right w:val="none" w:sz="0" w:space="0" w:color="auto"/>
      </w:divBdr>
      <w:divsChild>
        <w:div w:id="231741730">
          <w:marLeft w:val="1267"/>
          <w:marRight w:val="0"/>
          <w:marTop w:val="0"/>
          <w:marBottom w:val="0"/>
          <w:divBdr>
            <w:top w:val="none" w:sz="0" w:space="0" w:color="auto"/>
            <w:left w:val="none" w:sz="0" w:space="0" w:color="auto"/>
            <w:bottom w:val="none" w:sz="0" w:space="0" w:color="auto"/>
            <w:right w:val="none" w:sz="0" w:space="0" w:color="auto"/>
          </w:divBdr>
        </w:div>
        <w:div w:id="900216767">
          <w:marLeft w:val="547"/>
          <w:marRight w:val="0"/>
          <w:marTop w:val="0"/>
          <w:marBottom w:val="0"/>
          <w:divBdr>
            <w:top w:val="none" w:sz="0" w:space="0" w:color="auto"/>
            <w:left w:val="none" w:sz="0" w:space="0" w:color="auto"/>
            <w:bottom w:val="none" w:sz="0" w:space="0" w:color="auto"/>
            <w:right w:val="none" w:sz="0" w:space="0" w:color="auto"/>
          </w:divBdr>
        </w:div>
        <w:div w:id="1736390837">
          <w:marLeft w:val="1267"/>
          <w:marRight w:val="0"/>
          <w:marTop w:val="0"/>
          <w:marBottom w:val="0"/>
          <w:divBdr>
            <w:top w:val="none" w:sz="0" w:space="0" w:color="auto"/>
            <w:left w:val="none" w:sz="0" w:space="0" w:color="auto"/>
            <w:bottom w:val="none" w:sz="0" w:space="0" w:color="auto"/>
            <w:right w:val="none" w:sz="0" w:space="0" w:color="auto"/>
          </w:divBdr>
        </w:div>
      </w:divsChild>
    </w:div>
    <w:div w:id="764111311">
      <w:bodyDiv w:val="1"/>
      <w:marLeft w:val="0"/>
      <w:marRight w:val="0"/>
      <w:marTop w:val="0"/>
      <w:marBottom w:val="0"/>
      <w:divBdr>
        <w:top w:val="none" w:sz="0" w:space="0" w:color="auto"/>
        <w:left w:val="none" w:sz="0" w:space="0" w:color="auto"/>
        <w:bottom w:val="none" w:sz="0" w:space="0" w:color="auto"/>
        <w:right w:val="none" w:sz="0" w:space="0" w:color="auto"/>
      </w:divBdr>
    </w:div>
    <w:div w:id="765155576">
      <w:bodyDiv w:val="1"/>
      <w:marLeft w:val="0"/>
      <w:marRight w:val="0"/>
      <w:marTop w:val="0"/>
      <w:marBottom w:val="0"/>
      <w:divBdr>
        <w:top w:val="none" w:sz="0" w:space="0" w:color="auto"/>
        <w:left w:val="none" w:sz="0" w:space="0" w:color="auto"/>
        <w:bottom w:val="none" w:sz="0" w:space="0" w:color="auto"/>
        <w:right w:val="none" w:sz="0" w:space="0" w:color="auto"/>
      </w:divBdr>
      <w:divsChild>
        <w:div w:id="488398667">
          <w:marLeft w:val="1080"/>
          <w:marRight w:val="0"/>
          <w:marTop w:val="100"/>
          <w:marBottom w:val="0"/>
          <w:divBdr>
            <w:top w:val="none" w:sz="0" w:space="0" w:color="auto"/>
            <w:left w:val="none" w:sz="0" w:space="0" w:color="auto"/>
            <w:bottom w:val="none" w:sz="0" w:space="0" w:color="auto"/>
            <w:right w:val="none" w:sz="0" w:space="0" w:color="auto"/>
          </w:divBdr>
        </w:div>
        <w:div w:id="702634414">
          <w:marLeft w:val="1080"/>
          <w:marRight w:val="0"/>
          <w:marTop w:val="100"/>
          <w:marBottom w:val="0"/>
          <w:divBdr>
            <w:top w:val="none" w:sz="0" w:space="0" w:color="auto"/>
            <w:left w:val="none" w:sz="0" w:space="0" w:color="auto"/>
            <w:bottom w:val="none" w:sz="0" w:space="0" w:color="auto"/>
            <w:right w:val="none" w:sz="0" w:space="0" w:color="auto"/>
          </w:divBdr>
        </w:div>
        <w:div w:id="959842797">
          <w:marLeft w:val="360"/>
          <w:marRight w:val="0"/>
          <w:marTop w:val="200"/>
          <w:marBottom w:val="0"/>
          <w:divBdr>
            <w:top w:val="none" w:sz="0" w:space="0" w:color="auto"/>
            <w:left w:val="none" w:sz="0" w:space="0" w:color="auto"/>
            <w:bottom w:val="none" w:sz="0" w:space="0" w:color="auto"/>
            <w:right w:val="none" w:sz="0" w:space="0" w:color="auto"/>
          </w:divBdr>
        </w:div>
        <w:div w:id="1163009127">
          <w:marLeft w:val="360"/>
          <w:marRight w:val="0"/>
          <w:marTop w:val="200"/>
          <w:marBottom w:val="0"/>
          <w:divBdr>
            <w:top w:val="none" w:sz="0" w:space="0" w:color="auto"/>
            <w:left w:val="none" w:sz="0" w:space="0" w:color="auto"/>
            <w:bottom w:val="none" w:sz="0" w:space="0" w:color="auto"/>
            <w:right w:val="none" w:sz="0" w:space="0" w:color="auto"/>
          </w:divBdr>
        </w:div>
        <w:div w:id="1657957488">
          <w:marLeft w:val="1080"/>
          <w:marRight w:val="0"/>
          <w:marTop w:val="100"/>
          <w:marBottom w:val="0"/>
          <w:divBdr>
            <w:top w:val="none" w:sz="0" w:space="0" w:color="auto"/>
            <w:left w:val="none" w:sz="0" w:space="0" w:color="auto"/>
            <w:bottom w:val="none" w:sz="0" w:space="0" w:color="auto"/>
            <w:right w:val="none" w:sz="0" w:space="0" w:color="auto"/>
          </w:divBdr>
        </w:div>
      </w:divsChild>
    </w:div>
    <w:div w:id="768114619">
      <w:bodyDiv w:val="1"/>
      <w:marLeft w:val="0"/>
      <w:marRight w:val="0"/>
      <w:marTop w:val="0"/>
      <w:marBottom w:val="0"/>
      <w:divBdr>
        <w:top w:val="none" w:sz="0" w:space="0" w:color="auto"/>
        <w:left w:val="none" w:sz="0" w:space="0" w:color="auto"/>
        <w:bottom w:val="none" w:sz="0" w:space="0" w:color="auto"/>
        <w:right w:val="none" w:sz="0" w:space="0" w:color="auto"/>
      </w:divBdr>
      <w:divsChild>
        <w:div w:id="191069878">
          <w:marLeft w:val="720"/>
          <w:marRight w:val="0"/>
          <w:marTop w:val="0"/>
          <w:marBottom w:val="0"/>
          <w:divBdr>
            <w:top w:val="none" w:sz="0" w:space="0" w:color="auto"/>
            <w:left w:val="none" w:sz="0" w:space="0" w:color="auto"/>
            <w:bottom w:val="none" w:sz="0" w:space="0" w:color="auto"/>
            <w:right w:val="none" w:sz="0" w:space="0" w:color="auto"/>
          </w:divBdr>
        </w:div>
        <w:div w:id="698050999">
          <w:marLeft w:val="720"/>
          <w:marRight w:val="0"/>
          <w:marTop w:val="0"/>
          <w:marBottom w:val="0"/>
          <w:divBdr>
            <w:top w:val="none" w:sz="0" w:space="0" w:color="auto"/>
            <w:left w:val="none" w:sz="0" w:space="0" w:color="auto"/>
            <w:bottom w:val="none" w:sz="0" w:space="0" w:color="auto"/>
            <w:right w:val="none" w:sz="0" w:space="0" w:color="auto"/>
          </w:divBdr>
        </w:div>
      </w:divsChild>
    </w:div>
    <w:div w:id="788352302">
      <w:bodyDiv w:val="1"/>
      <w:marLeft w:val="0"/>
      <w:marRight w:val="0"/>
      <w:marTop w:val="0"/>
      <w:marBottom w:val="0"/>
      <w:divBdr>
        <w:top w:val="none" w:sz="0" w:space="0" w:color="auto"/>
        <w:left w:val="none" w:sz="0" w:space="0" w:color="auto"/>
        <w:bottom w:val="none" w:sz="0" w:space="0" w:color="auto"/>
        <w:right w:val="none" w:sz="0" w:space="0" w:color="auto"/>
      </w:divBdr>
      <w:divsChild>
        <w:div w:id="565453025">
          <w:marLeft w:val="1800"/>
          <w:marRight w:val="0"/>
          <w:marTop w:val="86"/>
          <w:marBottom w:val="0"/>
          <w:divBdr>
            <w:top w:val="none" w:sz="0" w:space="0" w:color="auto"/>
            <w:left w:val="none" w:sz="0" w:space="0" w:color="auto"/>
            <w:bottom w:val="none" w:sz="0" w:space="0" w:color="auto"/>
            <w:right w:val="none" w:sz="0" w:space="0" w:color="auto"/>
          </w:divBdr>
        </w:div>
        <w:div w:id="868567957">
          <w:marLeft w:val="1800"/>
          <w:marRight w:val="0"/>
          <w:marTop w:val="86"/>
          <w:marBottom w:val="0"/>
          <w:divBdr>
            <w:top w:val="none" w:sz="0" w:space="0" w:color="auto"/>
            <w:left w:val="none" w:sz="0" w:space="0" w:color="auto"/>
            <w:bottom w:val="none" w:sz="0" w:space="0" w:color="auto"/>
            <w:right w:val="none" w:sz="0" w:space="0" w:color="auto"/>
          </w:divBdr>
        </w:div>
        <w:div w:id="1290042569">
          <w:marLeft w:val="547"/>
          <w:marRight w:val="0"/>
          <w:marTop w:val="96"/>
          <w:marBottom w:val="0"/>
          <w:divBdr>
            <w:top w:val="none" w:sz="0" w:space="0" w:color="auto"/>
            <w:left w:val="none" w:sz="0" w:space="0" w:color="auto"/>
            <w:bottom w:val="none" w:sz="0" w:space="0" w:color="auto"/>
            <w:right w:val="none" w:sz="0" w:space="0" w:color="auto"/>
          </w:divBdr>
        </w:div>
        <w:div w:id="1847862869">
          <w:marLeft w:val="1166"/>
          <w:marRight w:val="0"/>
          <w:marTop w:val="96"/>
          <w:marBottom w:val="0"/>
          <w:divBdr>
            <w:top w:val="none" w:sz="0" w:space="0" w:color="auto"/>
            <w:left w:val="none" w:sz="0" w:space="0" w:color="auto"/>
            <w:bottom w:val="none" w:sz="0" w:space="0" w:color="auto"/>
            <w:right w:val="none" w:sz="0" w:space="0" w:color="auto"/>
          </w:divBdr>
        </w:div>
        <w:div w:id="2117285339">
          <w:marLeft w:val="1166"/>
          <w:marRight w:val="0"/>
          <w:marTop w:val="96"/>
          <w:marBottom w:val="0"/>
          <w:divBdr>
            <w:top w:val="none" w:sz="0" w:space="0" w:color="auto"/>
            <w:left w:val="none" w:sz="0" w:space="0" w:color="auto"/>
            <w:bottom w:val="none" w:sz="0" w:space="0" w:color="auto"/>
            <w:right w:val="none" w:sz="0" w:space="0" w:color="auto"/>
          </w:divBdr>
        </w:div>
      </w:divsChild>
    </w:div>
    <w:div w:id="810171092">
      <w:bodyDiv w:val="1"/>
      <w:marLeft w:val="0"/>
      <w:marRight w:val="0"/>
      <w:marTop w:val="0"/>
      <w:marBottom w:val="0"/>
      <w:divBdr>
        <w:top w:val="none" w:sz="0" w:space="0" w:color="auto"/>
        <w:left w:val="none" w:sz="0" w:space="0" w:color="auto"/>
        <w:bottom w:val="none" w:sz="0" w:space="0" w:color="auto"/>
        <w:right w:val="none" w:sz="0" w:space="0" w:color="auto"/>
      </w:divBdr>
      <w:divsChild>
        <w:div w:id="444082268">
          <w:marLeft w:val="360"/>
          <w:marRight w:val="0"/>
          <w:marTop w:val="200"/>
          <w:marBottom w:val="0"/>
          <w:divBdr>
            <w:top w:val="none" w:sz="0" w:space="0" w:color="auto"/>
            <w:left w:val="none" w:sz="0" w:space="0" w:color="auto"/>
            <w:bottom w:val="none" w:sz="0" w:space="0" w:color="auto"/>
            <w:right w:val="none" w:sz="0" w:space="0" w:color="auto"/>
          </w:divBdr>
        </w:div>
        <w:div w:id="646908014">
          <w:marLeft w:val="360"/>
          <w:marRight w:val="0"/>
          <w:marTop w:val="200"/>
          <w:marBottom w:val="0"/>
          <w:divBdr>
            <w:top w:val="none" w:sz="0" w:space="0" w:color="auto"/>
            <w:left w:val="none" w:sz="0" w:space="0" w:color="auto"/>
            <w:bottom w:val="none" w:sz="0" w:space="0" w:color="auto"/>
            <w:right w:val="none" w:sz="0" w:space="0" w:color="auto"/>
          </w:divBdr>
        </w:div>
        <w:div w:id="1729956740">
          <w:marLeft w:val="360"/>
          <w:marRight w:val="0"/>
          <w:marTop w:val="200"/>
          <w:marBottom w:val="0"/>
          <w:divBdr>
            <w:top w:val="none" w:sz="0" w:space="0" w:color="auto"/>
            <w:left w:val="none" w:sz="0" w:space="0" w:color="auto"/>
            <w:bottom w:val="none" w:sz="0" w:space="0" w:color="auto"/>
            <w:right w:val="none" w:sz="0" w:space="0" w:color="auto"/>
          </w:divBdr>
        </w:div>
        <w:div w:id="2028822145">
          <w:marLeft w:val="360"/>
          <w:marRight w:val="0"/>
          <w:marTop w:val="200"/>
          <w:marBottom w:val="0"/>
          <w:divBdr>
            <w:top w:val="none" w:sz="0" w:space="0" w:color="auto"/>
            <w:left w:val="none" w:sz="0" w:space="0" w:color="auto"/>
            <w:bottom w:val="none" w:sz="0" w:space="0" w:color="auto"/>
            <w:right w:val="none" w:sz="0" w:space="0" w:color="auto"/>
          </w:divBdr>
        </w:div>
      </w:divsChild>
    </w:div>
    <w:div w:id="822895188">
      <w:bodyDiv w:val="1"/>
      <w:marLeft w:val="0"/>
      <w:marRight w:val="0"/>
      <w:marTop w:val="0"/>
      <w:marBottom w:val="0"/>
      <w:divBdr>
        <w:top w:val="none" w:sz="0" w:space="0" w:color="auto"/>
        <w:left w:val="none" w:sz="0" w:space="0" w:color="auto"/>
        <w:bottom w:val="none" w:sz="0" w:space="0" w:color="auto"/>
        <w:right w:val="none" w:sz="0" w:space="0" w:color="auto"/>
      </w:divBdr>
      <w:divsChild>
        <w:div w:id="371077878">
          <w:marLeft w:val="0"/>
          <w:marRight w:val="0"/>
          <w:marTop w:val="0"/>
          <w:marBottom w:val="120"/>
          <w:divBdr>
            <w:top w:val="none" w:sz="0" w:space="0" w:color="auto"/>
            <w:left w:val="none" w:sz="0" w:space="0" w:color="auto"/>
            <w:bottom w:val="none" w:sz="0" w:space="0" w:color="auto"/>
            <w:right w:val="none" w:sz="0" w:space="0" w:color="auto"/>
          </w:divBdr>
        </w:div>
      </w:divsChild>
    </w:div>
    <w:div w:id="832179177">
      <w:bodyDiv w:val="1"/>
      <w:marLeft w:val="0"/>
      <w:marRight w:val="0"/>
      <w:marTop w:val="0"/>
      <w:marBottom w:val="0"/>
      <w:divBdr>
        <w:top w:val="none" w:sz="0" w:space="0" w:color="auto"/>
        <w:left w:val="none" w:sz="0" w:space="0" w:color="auto"/>
        <w:bottom w:val="none" w:sz="0" w:space="0" w:color="auto"/>
        <w:right w:val="none" w:sz="0" w:space="0" w:color="auto"/>
      </w:divBdr>
    </w:div>
    <w:div w:id="844902845">
      <w:bodyDiv w:val="1"/>
      <w:marLeft w:val="0"/>
      <w:marRight w:val="0"/>
      <w:marTop w:val="0"/>
      <w:marBottom w:val="0"/>
      <w:divBdr>
        <w:top w:val="none" w:sz="0" w:space="0" w:color="auto"/>
        <w:left w:val="none" w:sz="0" w:space="0" w:color="auto"/>
        <w:bottom w:val="none" w:sz="0" w:space="0" w:color="auto"/>
        <w:right w:val="none" w:sz="0" w:space="0" w:color="auto"/>
      </w:divBdr>
    </w:div>
    <w:div w:id="846099024">
      <w:bodyDiv w:val="1"/>
      <w:marLeft w:val="0"/>
      <w:marRight w:val="0"/>
      <w:marTop w:val="0"/>
      <w:marBottom w:val="0"/>
      <w:divBdr>
        <w:top w:val="none" w:sz="0" w:space="0" w:color="auto"/>
        <w:left w:val="none" w:sz="0" w:space="0" w:color="auto"/>
        <w:bottom w:val="none" w:sz="0" w:space="0" w:color="auto"/>
        <w:right w:val="none" w:sz="0" w:space="0" w:color="auto"/>
      </w:divBdr>
    </w:div>
    <w:div w:id="863637399">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79510750">
      <w:bodyDiv w:val="1"/>
      <w:marLeft w:val="0"/>
      <w:marRight w:val="0"/>
      <w:marTop w:val="0"/>
      <w:marBottom w:val="0"/>
      <w:divBdr>
        <w:top w:val="none" w:sz="0" w:space="0" w:color="auto"/>
        <w:left w:val="none" w:sz="0" w:space="0" w:color="auto"/>
        <w:bottom w:val="none" w:sz="0" w:space="0" w:color="auto"/>
        <w:right w:val="none" w:sz="0" w:space="0" w:color="auto"/>
      </w:divBdr>
      <w:divsChild>
        <w:div w:id="857354328">
          <w:marLeft w:val="1080"/>
          <w:marRight w:val="0"/>
          <w:marTop w:val="100"/>
          <w:marBottom w:val="0"/>
          <w:divBdr>
            <w:top w:val="none" w:sz="0" w:space="0" w:color="auto"/>
            <w:left w:val="none" w:sz="0" w:space="0" w:color="auto"/>
            <w:bottom w:val="none" w:sz="0" w:space="0" w:color="auto"/>
            <w:right w:val="none" w:sz="0" w:space="0" w:color="auto"/>
          </w:divBdr>
        </w:div>
        <w:div w:id="1850027893">
          <w:marLeft w:val="360"/>
          <w:marRight w:val="0"/>
          <w:marTop w:val="200"/>
          <w:marBottom w:val="0"/>
          <w:divBdr>
            <w:top w:val="none" w:sz="0" w:space="0" w:color="auto"/>
            <w:left w:val="none" w:sz="0" w:space="0" w:color="auto"/>
            <w:bottom w:val="none" w:sz="0" w:space="0" w:color="auto"/>
            <w:right w:val="none" w:sz="0" w:space="0" w:color="auto"/>
          </w:divBdr>
        </w:div>
        <w:div w:id="2043168297">
          <w:marLeft w:val="1080"/>
          <w:marRight w:val="0"/>
          <w:marTop w:val="100"/>
          <w:marBottom w:val="0"/>
          <w:divBdr>
            <w:top w:val="none" w:sz="0" w:space="0" w:color="auto"/>
            <w:left w:val="none" w:sz="0" w:space="0" w:color="auto"/>
            <w:bottom w:val="none" w:sz="0" w:space="0" w:color="auto"/>
            <w:right w:val="none" w:sz="0" w:space="0" w:color="auto"/>
          </w:divBdr>
        </w:div>
      </w:divsChild>
    </w:div>
    <w:div w:id="881794283">
      <w:bodyDiv w:val="1"/>
      <w:marLeft w:val="0"/>
      <w:marRight w:val="0"/>
      <w:marTop w:val="0"/>
      <w:marBottom w:val="0"/>
      <w:divBdr>
        <w:top w:val="none" w:sz="0" w:space="0" w:color="auto"/>
        <w:left w:val="none" w:sz="0" w:space="0" w:color="auto"/>
        <w:bottom w:val="none" w:sz="0" w:space="0" w:color="auto"/>
        <w:right w:val="none" w:sz="0" w:space="0" w:color="auto"/>
      </w:divBdr>
      <w:divsChild>
        <w:div w:id="634338196">
          <w:marLeft w:val="1267"/>
          <w:marRight w:val="0"/>
          <w:marTop w:val="0"/>
          <w:marBottom w:val="0"/>
          <w:divBdr>
            <w:top w:val="none" w:sz="0" w:space="0" w:color="auto"/>
            <w:left w:val="none" w:sz="0" w:space="0" w:color="auto"/>
            <w:bottom w:val="none" w:sz="0" w:space="0" w:color="auto"/>
            <w:right w:val="none" w:sz="0" w:space="0" w:color="auto"/>
          </w:divBdr>
        </w:div>
        <w:div w:id="1221750606">
          <w:marLeft w:val="547"/>
          <w:marRight w:val="0"/>
          <w:marTop w:val="0"/>
          <w:marBottom w:val="0"/>
          <w:divBdr>
            <w:top w:val="none" w:sz="0" w:space="0" w:color="auto"/>
            <w:left w:val="none" w:sz="0" w:space="0" w:color="auto"/>
            <w:bottom w:val="none" w:sz="0" w:space="0" w:color="auto"/>
            <w:right w:val="none" w:sz="0" w:space="0" w:color="auto"/>
          </w:divBdr>
        </w:div>
        <w:div w:id="1657763170">
          <w:marLeft w:val="1267"/>
          <w:marRight w:val="0"/>
          <w:marTop w:val="0"/>
          <w:marBottom w:val="0"/>
          <w:divBdr>
            <w:top w:val="none" w:sz="0" w:space="0" w:color="auto"/>
            <w:left w:val="none" w:sz="0" w:space="0" w:color="auto"/>
            <w:bottom w:val="none" w:sz="0" w:space="0" w:color="auto"/>
            <w:right w:val="none" w:sz="0" w:space="0" w:color="auto"/>
          </w:divBdr>
        </w:div>
      </w:divsChild>
    </w:div>
    <w:div w:id="920219185">
      <w:bodyDiv w:val="1"/>
      <w:marLeft w:val="0"/>
      <w:marRight w:val="0"/>
      <w:marTop w:val="0"/>
      <w:marBottom w:val="0"/>
      <w:divBdr>
        <w:top w:val="none" w:sz="0" w:space="0" w:color="auto"/>
        <w:left w:val="none" w:sz="0" w:space="0" w:color="auto"/>
        <w:bottom w:val="none" w:sz="0" w:space="0" w:color="auto"/>
        <w:right w:val="none" w:sz="0" w:space="0" w:color="auto"/>
      </w:divBdr>
    </w:div>
    <w:div w:id="927544427">
      <w:bodyDiv w:val="1"/>
      <w:marLeft w:val="0"/>
      <w:marRight w:val="0"/>
      <w:marTop w:val="0"/>
      <w:marBottom w:val="0"/>
      <w:divBdr>
        <w:top w:val="none" w:sz="0" w:space="0" w:color="auto"/>
        <w:left w:val="none" w:sz="0" w:space="0" w:color="auto"/>
        <w:bottom w:val="none" w:sz="0" w:space="0" w:color="auto"/>
        <w:right w:val="none" w:sz="0" w:space="0" w:color="auto"/>
      </w:divBdr>
    </w:div>
    <w:div w:id="943266442">
      <w:bodyDiv w:val="1"/>
      <w:marLeft w:val="0"/>
      <w:marRight w:val="0"/>
      <w:marTop w:val="0"/>
      <w:marBottom w:val="0"/>
      <w:divBdr>
        <w:top w:val="none" w:sz="0" w:space="0" w:color="auto"/>
        <w:left w:val="none" w:sz="0" w:space="0" w:color="auto"/>
        <w:bottom w:val="none" w:sz="0" w:space="0" w:color="auto"/>
        <w:right w:val="none" w:sz="0" w:space="0" w:color="auto"/>
      </w:divBdr>
      <w:divsChild>
        <w:div w:id="464473862">
          <w:marLeft w:val="1267"/>
          <w:marRight w:val="0"/>
          <w:marTop w:val="0"/>
          <w:marBottom w:val="0"/>
          <w:divBdr>
            <w:top w:val="none" w:sz="0" w:space="0" w:color="auto"/>
            <w:left w:val="none" w:sz="0" w:space="0" w:color="auto"/>
            <w:bottom w:val="none" w:sz="0" w:space="0" w:color="auto"/>
            <w:right w:val="none" w:sz="0" w:space="0" w:color="auto"/>
          </w:divBdr>
        </w:div>
        <w:div w:id="1111246757">
          <w:marLeft w:val="1267"/>
          <w:marRight w:val="0"/>
          <w:marTop w:val="0"/>
          <w:marBottom w:val="0"/>
          <w:divBdr>
            <w:top w:val="none" w:sz="0" w:space="0" w:color="auto"/>
            <w:left w:val="none" w:sz="0" w:space="0" w:color="auto"/>
            <w:bottom w:val="none" w:sz="0" w:space="0" w:color="auto"/>
            <w:right w:val="none" w:sz="0" w:space="0" w:color="auto"/>
          </w:divBdr>
        </w:div>
      </w:divsChild>
    </w:div>
    <w:div w:id="943345322">
      <w:bodyDiv w:val="1"/>
      <w:marLeft w:val="0"/>
      <w:marRight w:val="0"/>
      <w:marTop w:val="0"/>
      <w:marBottom w:val="0"/>
      <w:divBdr>
        <w:top w:val="none" w:sz="0" w:space="0" w:color="auto"/>
        <w:left w:val="none" w:sz="0" w:space="0" w:color="auto"/>
        <w:bottom w:val="none" w:sz="0" w:space="0" w:color="auto"/>
        <w:right w:val="none" w:sz="0" w:space="0" w:color="auto"/>
      </w:divBdr>
      <w:divsChild>
        <w:div w:id="93090947">
          <w:marLeft w:val="1080"/>
          <w:marRight w:val="0"/>
          <w:marTop w:val="100"/>
          <w:marBottom w:val="0"/>
          <w:divBdr>
            <w:top w:val="none" w:sz="0" w:space="0" w:color="auto"/>
            <w:left w:val="none" w:sz="0" w:space="0" w:color="auto"/>
            <w:bottom w:val="none" w:sz="0" w:space="0" w:color="auto"/>
            <w:right w:val="none" w:sz="0" w:space="0" w:color="auto"/>
          </w:divBdr>
        </w:div>
        <w:div w:id="360324967">
          <w:marLeft w:val="1080"/>
          <w:marRight w:val="0"/>
          <w:marTop w:val="100"/>
          <w:marBottom w:val="0"/>
          <w:divBdr>
            <w:top w:val="none" w:sz="0" w:space="0" w:color="auto"/>
            <w:left w:val="none" w:sz="0" w:space="0" w:color="auto"/>
            <w:bottom w:val="none" w:sz="0" w:space="0" w:color="auto"/>
            <w:right w:val="none" w:sz="0" w:space="0" w:color="auto"/>
          </w:divBdr>
        </w:div>
        <w:div w:id="1023365627">
          <w:marLeft w:val="1080"/>
          <w:marRight w:val="0"/>
          <w:marTop w:val="100"/>
          <w:marBottom w:val="0"/>
          <w:divBdr>
            <w:top w:val="none" w:sz="0" w:space="0" w:color="auto"/>
            <w:left w:val="none" w:sz="0" w:space="0" w:color="auto"/>
            <w:bottom w:val="none" w:sz="0" w:space="0" w:color="auto"/>
            <w:right w:val="none" w:sz="0" w:space="0" w:color="auto"/>
          </w:divBdr>
        </w:div>
        <w:div w:id="1058286121">
          <w:marLeft w:val="360"/>
          <w:marRight w:val="0"/>
          <w:marTop w:val="200"/>
          <w:marBottom w:val="0"/>
          <w:divBdr>
            <w:top w:val="none" w:sz="0" w:space="0" w:color="auto"/>
            <w:left w:val="none" w:sz="0" w:space="0" w:color="auto"/>
            <w:bottom w:val="none" w:sz="0" w:space="0" w:color="auto"/>
            <w:right w:val="none" w:sz="0" w:space="0" w:color="auto"/>
          </w:divBdr>
        </w:div>
        <w:div w:id="1360594240">
          <w:marLeft w:val="1080"/>
          <w:marRight w:val="0"/>
          <w:marTop w:val="100"/>
          <w:marBottom w:val="0"/>
          <w:divBdr>
            <w:top w:val="none" w:sz="0" w:space="0" w:color="auto"/>
            <w:left w:val="none" w:sz="0" w:space="0" w:color="auto"/>
            <w:bottom w:val="none" w:sz="0" w:space="0" w:color="auto"/>
            <w:right w:val="none" w:sz="0" w:space="0" w:color="auto"/>
          </w:divBdr>
        </w:div>
        <w:div w:id="1463038340">
          <w:marLeft w:val="360"/>
          <w:marRight w:val="0"/>
          <w:marTop w:val="200"/>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965433832">
      <w:bodyDiv w:val="1"/>
      <w:marLeft w:val="0"/>
      <w:marRight w:val="0"/>
      <w:marTop w:val="0"/>
      <w:marBottom w:val="0"/>
      <w:divBdr>
        <w:top w:val="none" w:sz="0" w:space="0" w:color="auto"/>
        <w:left w:val="none" w:sz="0" w:space="0" w:color="auto"/>
        <w:bottom w:val="none" w:sz="0" w:space="0" w:color="auto"/>
        <w:right w:val="none" w:sz="0" w:space="0" w:color="auto"/>
      </w:divBdr>
    </w:div>
    <w:div w:id="971978786">
      <w:bodyDiv w:val="1"/>
      <w:marLeft w:val="0"/>
      <w:marRight w:val="0"/>
      <w:marTop w:val="0"/>
      <w:marBottom w:val="0"/>
      <w:divBdr>
        <w:top w:val="none" w:sz="0" w:space="0" w:color="auto"/>
        <w:left w:val="none" w:sz="0" w:space="0" w:color="auto"/>
        <w:bottom w:val="none" w:sz="0" w:space="0" w:color="auto"/>
        <w:right w:val="none" w:sz="0" w:space="0" w:color="auto"/>
      </w:divBdr>
    </w:div>
    <w:div w:id="981737497">
      <w:bodyDiv w:val="1"/>
      <w:marLeft w:val="0"/>
      <w:marRight w:val="0"/>
      <w:marTop w:val="0"/>
      <w:marBottom w:val="0"/>
      <w:divBdr>
        <w:top w:val="none" w:sz="0" w:space="0" w:color="auto"/>
        <w:left w:val="none" w:sz="0" w:space="0" w:color="auto"/>
        <w:bottom w:val="none" w:sz="0" w:space="0" w:color="auto"/>
        <w:right w:val="none" w:sz="0" w:space="0" w:color="auto"/>
      </w:divBdr>
    </w:div>
    <w:div w:id="996612838">
      <w:bodyDiv w:val="1"/>
      <w:marLeft w:val="0"/>
      <w:marRight w:val="0"/>
      <w:marTop w:val="0"/>
      <w:marBottom w:val="0"/>
      <w:divBdr>
        <w:top w:val="none" w:sz="0" w:space="0" w:color="auto"/>
        <w:left w:val="none" w:sz="0" w:space="0" w:color="auto"/>
        <w:bottom w:val="none" w:sz="0" w:space="0" w:color="auto"/>
        <w:right w:val="none" w:sz="0" w:space="0" w:color="auto"/>
      </w:divBdr>
      <w:divsChild>
        <w:div w:id="82577748">
          <w:marLeft w:val="1987"/>
          <w:marRight w:val="0"/>
          <w:marTop w:val="0"/>
          <w:marBottom w:val="0"/>
          <w:divBdr>
            <w:top w:val="none" w:sz="0" w:space="0" w:color="auto"/>
            <w:left w:val="none" w:sz="0" w:space="0" w:color="auto"/>
            <w:bottom w:val="none" w:sz="0" w:space="0" w:color="auto"/>
            <w:right w:val="none" w:sz="0" w:space="0" w:color="auto"/>
          </w:divBdr>
        </w:div>
        <w:div w:id="292638579">
          <w:marLeft w:val="547"/>
          <w:marRight w:val="0"/>
          <w:marTop w:val="0"/>
          <w:marBottom w:val="0"/>
          <w:divBdr>
            <w:top w:val="none" w:sz="0" w:space="0" w:color="auto"/>
            <w:left w:val="none" w:sz="0" w:space="0" w:color="auto"/>
            <w:bottom w:val="none" w:sz="0" w:space="0" w:color="auto"/>
            <w:right w:val="none" w:sz="0" w:space="0" w:color="auto"/>
          </w:divBdr>
        </w:div>
        <w:div w:id="985356308">
          <w:marLeft w:val="1987"/>
          <w:marRight w:val="0"/>
          <w:marTop w:val="0"/>
          <w:marBottom w:val="0"/>
          <w:divBdr>
            <w:top w:val="none" w:sz="0" w:space="0" w:color="auto"/>
            <w:left w:val="none" w:sz="0" w:space="0" w:color="auto"/>
            <w:bottom w:val="none" w:sz="0" w:space="0" w:color="auto"/>
            <w:right w:val="none" w:sz="0" w:space="0" w:color="auto"/>
          </w:divBdr>
        </w:div>
        <w:div w:id="1107314558">
          <w:marLeft w:val="1267"/>
          <w:marRight w:val="0"/>
          <w:marTop w:val="0"/>
          <w:marBottom w:val="0"/>
          <w:divBdr>
            <w:top w:val="none" w:sz="0" w:space="0" w:color="auto"/>
            <w:left w:val="none" w:sz="0" w:space="0" w:color="auto"/>
            <w:bottom w:val="none" w:sz="0" w:space="0" w:color="auto"/>
            <w:right w:val="none" w:sz="0" w:space="0" w:color="auto"/>
          </w:divBdr>
        </w:div>
        <w:div w:id="1676372083">
          <w:marLeft w:val="1987"/>
          <w:marRight w:val="0"/>
          <w:marTop w:val="0"/>
          <w:marBottom w:val="0"/>
          <w:divBdr>
            <w:top w:val="none" w:sz="0" w:space="0" w:color="auto"/>
            <w:left w:val="none" w:sz="0" w:space="0" w:color="auto"/>
            <w:bottom w:val="none" w:sz="0" w:space="0" w:color="auto"/>
            <w:right w:val="none" w:sz="0" w:space="0" w:color="auto"/>
          </w:divBdr>
        </w:div>
      </w:divsChild>
    </w:div>
    <w:div w:id="1003973491">
      <w:bodyDiv w:val="1"/>
      <w:marLeft w:val="0"/>
      <w:marRight w:val="0"/>
      <w:marTop w:val="0"/>
      <w:marBottom w:val="0"/>
      <w:divBdr>
        <w:top w:val="none" w:sz="0" w:space="0" w:color="auto"/>
        <w:left w:val="none" w:sz="0" w:space="0" w:color="auto"/>
        <w:bottom w:val="none" w:sz="0" w:space="0" w:color="auto"/>
        <w:right w:val="none" w:sz="0" w:space="0" w:color="auto"/>
      </w:divBdr>
      <w:divsChild>
        <w:div w:id="36588294">
          <w:marLeft w:val="1267"/>
          <w:marRight w:val="0"/>
          <w:marTop w:val="0"/>
          <w:marBottom w:val="0"/>
          <w:divBdr>
            <w:top w:val="none" w:sz="0" w:space="0" w:color="auto"/>
            <w:left w:val="none" w:sz="0" w:space="0" w:color="auto"/>
            <w:bottom w:val="none" w:sz="0" w:space="0" w:color="auto"/>
            <w:right w:val="none" w:sz="0" w:space="0" w:color="auto"/>
          </w:divBdr>
        </w:div>
        <w:div w:id="1835802664">
          <w:marLeft w:val="1267"/>
          <w:marRight w:val="0"/>
          <w:marTop w:val="0"/>
          <w:marBottom w:val="0"/>
          <w:divBdr>
            <w:top w:val="none" w:sz="0" w:space="0" w:color="auto"/>
            <w:left w:val="none" w:sz="0" w:space="0" w:color="auto"/>
            <w:bottom w:val="none" w:sz="0" w:space="0" w:color="auto"/>
            <w:right w:val="none" w:sz="0" w:space="0" w:color="auto"/>
          </w:divBdr>
        </w:div>
      </w:divsChild>
    </w:div>
    <w:div w:id="1013802185">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0106994">
      <w:bodyDiv w:val="1"/>
      <w:marLeft w:val="0"/>
      <w:marRight w:val="0"/>
      <w:marTop w:val="0"/>
      <w:marBottom w:val="0"/>
      <w:divBdr>
        <w:top w:val="none" w:sz="0" w:space="0" w:color="auto"/>
        <w:left w:val="none" w:sz="0" w:space="0" w:color="auto"/>
        <w:bottom w:val="none" w:sz="0" w:space="0" w:color="auto"/>
        <w:right w:val="none" w:sz="0" w:space="0" w:color="auto"/>
      </w:divBdr>
      <w:divsChild>
        <w:div w:id="411512243">
          <w:marLeft w:val="547"/>
          <w:marRight w:val="0"/>
          <w:marTop w:val="0"/>
          <w:marBottom w:val="0"/>
          <w:divBdr>
            <w:top w:val="none" w:sz="0" w:space="0" w:color="auto"/>
            <w:left w:val="none" w:sz="0" w:space="0" w:color="auto"/>
            <w:bottom w:val="none" w:sz="0" w:space="0" w:color="auto"/>
            <w:right w:val="none" w:sz="0" w:space="0" w:color="auto"/>
          </w:divBdr>
        </w:div>
      </w:divsChild>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50614552">
      <w:bodyDiv w:val="1"/>
      <w:marLeft w:val="0"/>
      <w:marRight w:val="0"/>
      <w:marTop w:val="0"/>
      <w:marBottom w:val="0"/>
      <w:divBdr>
        <w:top w:val="none" w:sz="0" w:space="0" w:color="auto"/>
        <w:left w:val="none" w:sz="0" w:space="0" w:color="auto"/>
        <w:bottom w:val="none" w:sz="0" w:space="0" w:color="auto"/>
        <w:right w:val="none" w:sz="0" w:space="0" w:color="auto"/>
      </w:divBdr>
    </w:div>
    <w:div w:id="1081634270">
      <w:bodyDiv w:val="1"/>
      <w:marLeft w:val="0"/>
      <w:marRight w:val="0"/>
      <w:marTop w:val="0"/>
      <w:marBottom w:val="0"/>
      <w:divBdr>
        <w:top w:val="none" w:sz="0" w:space="0" w:color="auto"/>
        <w:left w:val="none" w:sz="0" w:space="0" w:color="auto"/>
        <w:bottom w:val="none" w:sz="0" w:space="0" w:color="auto"/>
        <w:right w:val="none" w:sz="0" w:space="0" w:color="auto"/>
      </w:divBdr>
    </w:div>
    <w:div w:id="1123572432">
      <w:bodyDiv w:val="1"/>
      <w:marLeft w:val="0"/>
      <w:marRight w:val="0"/>
      <w:marTop w:val="0"/>
      <w:marBottom w:val="0"/>
      <w:divBdr>
        <w:top w:val="none" w:sz="0" w:space="0" w:color="auto"/>
        <w:left w:val="none" w:sz="0" w:space="0" w:color="auto"/>
        <w:bottom w:val="none" w:sz="0" w:space="0" w:color="auto"/>
        <w:right w:val="none" w:sz="0" w:space="0" w:color="auto"/>
      </w:divBdr>
      <w:divsChild>
        <w:div w:id="625622035">
          <w:marLeft w:val="0"/>
          <w:marRight w:val="0"/>
          <w:marTop w:val="0"/>
          <w:marBottom w:val="12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46553864">
      <w:bodyDiv w:val="1"/>
      <w:marLeft w:val="0"/>
      <w:marRight w:val="0"/>
      <w:marTop w:val="0"/>
      <w:marBottom w:val="0"/>
      <w:divBdr>
        <w:top w:val="none" w:sz="0" w:space="0" w:color="auto"/>
        <w:left w:val="none" w:sz="0" w:space="0" w:color="auto"/>
        <w:bottom w:val="none" w:sz="0" w:space="0" w:color="auto"/>
        <w:right w:val="none" w:sz="0" w:space="0" w:color="auto"/>
      </w:divBdr>
      <w:divsChild>
        <w:div w:id="1745637637">
          <w:marLeft w:val="0"/>
          <w:marRight w:val="0"/>
          <w:marTop w:val="0"/>
          <w:marBottom w:val="120"/>
          <w:divBdr>
            <w:top w:val="none" w:sz="0" w:space="0" w:color="auto"/>
            <w:left w:val="none" w:sz="0" w:space="0" w:color="auto"/>
            <w:bottom w:val="none" w:sz="0" w:space="0" w:color="auto"/>
            <w:right w:val="none" w:sz="0" w:space="0" w:color="auto"/>
          </w:divBdr>
        </w:div>
      </w:divsChild>
    </w:div>
    <w:div w:id="1166632414">
      <w:bodyDiv w:val="1"/>
      <w:marLeft w:val="0"/>
      <w:marRight w:val="0"/>
      <w:marTop w:val="0"/>
      <w:marBottom w:val="0"/>
      <w:divBdr>
        <w:top w:val="none" w:sz="0" w:space="0" w:color="auto"/>
        <w:left w:val="none" w:sz="0" w:space="0" w:color="auto"/>
        <w:bottom w:val="none" w:sz="0" w:space="0" w:color="auto"/>
        <w:right w:val="none" w:sz="0" w:space="0" w:color="auto"/>
      </w:divBdr>
      <w:divsChild>
        <w:div w:id="1708502">
          <w:marLeft w:val="1800"/>
          <w:marRight w:val="0"/>
          <w:marTop w:val="67"/>
          <w:marBottom w:val="0"/>
          <w:divBdr>
            <w:top w:val="none" w:sz="0" w:space="0" w:color="auto"/>
            <w:left w:val="none" w:sz="0" w:space="0" w:color="auto"/>
            <w:bottom w:val="none" w:sz="0" w:space="0" w:color="auto"/>
            <w:right w:val="none" w:sz="0" w:space="0" w:color="auto"/>
          </w:divBdr>
        </w:div>
        <w:div w:id="187567865">
          <w:marLeft w:val="3240"/>
          <w:marRight w:val="0"/>
          <w:marTop w:val="58"/>
          <w:marBottom w:val="0"/>
          <w:divBdr>
            <w:top w:val="none" w:sz="0" w:space="0" w:color="auto"/>
            <w:left w:val="none" w:sz="0" w:space="0" w:color="auto"/>
            <w:bottom w:val="none" w:sz="0" w:space="0" w:color="auto"/>
            <w:right w:val="none" w:sz="0" w:space="0" w:color="auto"/>
          </w:divBdr>
        </w:div>
        <w:div w:id="374814482">
          <w:marLeft w:val="3240"/>
          <w:marRight w:val="0"/>
          <w:marTop w:val="58"/>
          <w:marBottom w:val="0"/>
          <w:divBdr>
            <w:top w:val="none" w:sz="0" w:space="0" w:color="auto"/>
            <w:left w:val="none" w:sz="0" w:space="0" w:color="auto"/>
            <w:bottom w:val="none" w:sz="0" w:space="0" w:color="auto"/>
            <w:right w:val="none" w:sz="0" w:space="0" w:color="auto"/>
          </w:divBdr>
        </w:div>
        <w:div w:id="478110430">
          <w:marLeft w:val="2520"/>
          <w:marRight w:val="0"/>
          <w:marTop w:val="58"/>
          <w:marBottom w:val="0"/>
          <w:divBdr>
            <w:top w:val="none" w:sz="0" w:space="0" w:color="auto"/>
            <w:left w:val="none" w:sz="0" w:space="0" w:color="auto"/>
            <w:bottom w:val="none" w:sz="0" w:space="0" w:color="auto"/>
            <w:right w:val="none" w:sz="0" w:space="0" w:color="auto"/>
          </w:divBdr>
        </w:div>
        <w:div w:id="675807725">
          <w:marLeft w:val="547"/>
          <w:marRight w:val="0"/>
          <w:marTop w:val="86"/>
          <w:marBottom w:val="0"/>
          <w:divBdr>
            <w:top w:val="none" w:sz="0" w:space="0" w:color="auto"/>
            <w:left w:val="none" w:sz="0" w:space="0" w:color="auto"/>
            <w:bottom w:val="none" w:sz="0" w:space="0" w:color="auto"/>
            <w:right w:val="none" w:sz="0" w:space="0" w:color="auto"/>
          </w:divBdr>
        </w:div>
        <w:div w:id="786699376">
          <w:marLeft w:val="3240"/>
          <w:marRight w:val="0"/>
          <w:marTop w:val="58"/>
          <w:marBottom w:val="0"/>
          <w:divBdr>
            <w:top w:val="none" w:sz="0" w:space="0" w:color="auto"/>
            <w:left w:val="none" w:sz="0" w:space="0" w:color="auto"/>
            <w:bottom w:val="none" w:sz="0" w:space="0" w:color="auto"/>
            <w:right w:val="none" w:sz="0" w:space="0" w:color="auto"/>
          </w:divBdr>
        </w:div>
        <w:div w:id="825124258">
          <w:marLeft w:val="2520"/>
          <w:marRight w:val="0"/>
          <w:marTop w:val="58"/>
          <w:marBottom w:val="0"/>
          <w:divBdr>
            <w:top w:val="none" w:sz="0" w:space="0" w:color="auto"/>
            <w:left w:val="none" w:sz="0" w:space="0" w:color="auto"/>
            <w:bottom w:val="none" w:sz="0" w:space="0" w:color="auto"/>
            <w:right w:val="none" w:sz="0" w:space="0" w:color="auto"/>
          </w:divBdr>
        </w:div>
        <w:div w:id="944537482">
          <w:marLeft w:val="1166"/>
          <w:marRight w:val="0"/>
          <w:marTop w:val="77"/>
          <w:marBottom w:val="0"/>
          <w:divBdr>
            <w:top w:val="none" w:sz="0" w:space="0" w:color="auto"/>
            <w:left w:val="none" w:sz="0" w:space="0" w:color="auto"/>
            <w:bottom w:val="none" w:sz="0" w:space="0" w:color="auto"/>
            <w:right w:val="none" w:sz="0" w:space="0" w:color="auto"/>
          </w:divBdr>
        </w:div>
        <w:div w:id="1350839312">
          <w:marLeft w:val="1800"/>
          <w:marRight w:val="0"/>
          <w:marTop w:val="67"/>
          <w:marBottom w:val="0"/>
          <w:divBdr>
            <w:top w:val="none" w:sz="0" w:space="0" w:color="auto"/>
            <w:left w:val="none" w:sz="0" w:space="0" w:color="auto"/>
            <w:bottom w:val="none" w:sz="0" w:space="0" w:color="auto"/>
            <w:right w:val="none" w:sz="0" w:space="0" w:color="auto"/>
          </w:divBdr>
        </w:div>
        <w:div w:id="1590115870">
          <w:marLeft w:val="3240"/>
          <w:marRight w:val="0"/>
          <w:marTop w:val="58"/>
          <w:marBottom w:val="0"/>
          <w:divBdr>
            <w:top w:val="none" w:sz="0" w:space="0" w:color="auto"/>
            <w:left w:val="none" w:sz="0" w:space="0" w:color="auto"/>
            <w:bottom w:val="none" w:sz="0" w:space="0" w:color="auto"/>
            <w:right w:val="none" w:sz="0" w:space="0" w:color="auto"/>
          </w:divBdr>
        </w:div>
        <w:div w:id="1657764715">
          <w:marLeft w:val="3240"/>
          <w:marRight w:val="0"/>
          <w:marTop w:val="58"/>
          <w:marBottom w:val="0"/>
          <w:divBdr>
            <w:top w:val="none" w:sz="0" w:space="0" w:color="auto"/>
            <w:left w:val="none" w:sz="0" w:space="0" w:color="auto"/>
            <w:bottom w:val="none" w:sz="0" w:space="0" w:color="auto"/>
            <w:right w:val="none" w:sz="0" w:space="0" w:color="auto"/>
          </w:divBdr>
        </w:div>
        <w:div w:id="1683818787">
          <w:marLeft w:val="1166"/>
          <w:marRight w:val="0"/>
          <w:marTop w:val="77"/>
          <w:marBottom w:val="0"/>
          <w:divBdr>
            <w:top w:val="none" w:sz="0" w:space="0" w:color="auto"/>
            <w:left w:val="none" w:sz="0" w:space="0" w:color="auto"/>
            <w:bottom w:val="none" w:sz="0" w:space="0" w:color="auto"/>
            <w:right w:val="none" w:sz="0" w:space="0" w:color="auto"/>
          </w:divBdr>
        </w:div>
        <w:div w:id="1841768929">
          <w:marLeft w:val="1800"/>
          <w:marRight w:val="0"/>
          <w:marTop w:val="67"/>
          <w:marBottom w:val="0"/>
          <w:divBdr>
            <w:top w:val="none" w:sz="0" w:space="0" w:color="auto"/>
            <w:left w:val="none" w:sz="0" w:space="0" w:color="auto"/>
            <w:bottom w:val="none" w:sz="0" w:space="0" w:color="auto"/>
            <w:right w:val="none" w:sz="0" w:space="0" w:color="auto"/>
          </w:divBdr>
        </w:div>
        <w:div w:id="1882010506">
          <w:marLeft w:val="3240"/>
          <w:marRight w:val="0"/>
          <w:marTop w:val="58"/>
          <w:marBottom w:val="0"/>
          <w:divBdr>
            <w:top w:val="none" w:sz="0" w:space="0" w:color="auto"/>
            <w:left w:val="none" w:sz="0" w:space="0" w:color="auto"/>
            <w:bottom w:val="none" w:sz="0" w:space="0" w:color="auto"/>
            <w:right w:val="none" w:sz="0" w:space="0" w:color="auto"/>
          </w:divBdr>
        </w:div>
        <w:div w:id="1966503200">
          <w:marLeft w:val="1800"/>
          <w:marRight w:val="0"/>
          <w:marTop w:val="67"/>
          <w:marBottom w:val="0"/>
          <w:divBdr>
            <w:top w:val="none" w:sz="0" w:space="0" w:color="auto"/>
            <w:left w:val="none" w:sz="0" w:space="0" w:color="auto"/>
            <w:bottom w:val="none" w:sz="0" w:space="0" w:color="auto"/>
            <w:right w:val="none" w:sz="0" w:space="0" w:color="auto"/>
          </w:divBdr>
        </w:div>
      </w:divsChild>
    </w:div>
    <w:div w:id="1174495417">
      <w:bodyDiv w:val="1"/>
      <w:marLeft w:val="0"/>
      <w:marRight w:val="0"/>
      <w:marTop w:val="0"/>
      <w:marBottom w:val="0"/>
      <w:divBdr>
        <w:top w:val="none" w:sz="0" w:space="0" w:color="auto"/>
        <w:left w:val="none" w:sz="0" w:space="0" w:color="auto"/>
        <w:bottom w:val="none" w:sz="0" w:space="0" w:color="auto"/>
        <w:right w:val="none" w:sz="0" w:space="0" w:color="auto"/>
      </w:divBdr>
    </w:div>
    <w:div w:id="1180663558">
      <w:bodyDiv w:val="1"/>
      <w:marLeft w:val="0"/>
      <w:marRight w:val="0"/>
      <w:marTop w:val="0"/>
      <w:marBottom w:val="0"/>
      <w:divBdr>
        <w:top w:val="none" w:sz="0" w:space="0" w:color="auto"/>
        <w:left w:val="none" w:sz="0" w:space="0" w:color="auto"/>
        <w:bottom w:val="none" w:sz="0" w:space="0" w:color="auto"/>
        <w:right w:val="none" w:sz="0" w:space="0" w:color="auto"/>
      </w:divBdr>
    </w:div>
    <w:div w:id="1189490703">
      <w:bodyDiv w:val="1"/>
      <w:marLeft w:val="0"/>
      <w:marRight w:val="0"/>
      <w:marTop w:val="0"/>
      <w:marBottom w:val="0"/>
      <w:divBdr>
        <w:top w:val="none" w:sz="0" w:space="0" w:color="auto"/>
        <w:left w:val="none" w:sz="0" w:space="0" w:color="auto"/>
        <w:bottom w:val="none" w:sz="0" w:space="0" w:color="auto"/>
        <w:right w:val="none" w:sz="0" w:space="0" w:color="auto"/>
      </w:divBdr>
      <w:divsChild>
        <w:div w:id="287244690">
          <w:marLeft w:val="3240"/>
          <w:marRight w:val="0"/>
          <w:marTop w:val="58"/>
          <w:marBottom w:val="0"/>
          <w:divBdr>
            <w:top w:val="none" w:sz="0" w:space="0" w:color="auto"/>
            <w:left w:val="none" w:sz="0" w:space="0" w:color="auto"/>
            <w:bottom w:val="none" w:sz="0" w:space="0" w:color="auto"/>
            <w:right w:val="none" w:sz="0" w:space="0" w:color="auto"/>
          </w:divBdr>
        </w:div>
        <w:div w:id="312874767">
          <w:marLeft w:val="547"/>
          <w:marRight w:val="0"/>
          <w:marTop w:val="86"/>
          <w:marBottom w:val="0"/>
          <w:divBdr>
            <w:top w:val="none" w:sz="0" w:space="0" w:color="auto"/>
            <w:left w:val="none" w:sz="0" w:space="0" w:color="auto"/>
            <w:bottom w:val="none" w:sz="0" w:space="0" w:color="auto"/>
            <w:right w:val="none" w:sz="0" w:space="0" w:color="auto"/>
          </w:divBdr>
        </w:div>
        <w:div w:id="668018099">
          <w:marLeft w:val="3240"/>
          <w:marRight w:val="0"/>
          <w:marTop w:val="58"/>
          <w:marBottom w:val="0"/>
          <w:divBdr>
            <w:top w:val="none" w:sz="0" w:space="0" w:color="auto"/>
            <w:left w:val="none" w:sz="0" w:space="0" w:color="auto"/>
            <w:bottom w:val="none" w:sz="0" w:space="0" w:color="auto"/>
            <w:right w:val="none" w:sz="0" w:space="0" w:color="auto"/>
          </w:divBdr>
        </w:div>
        <w:div w:id="749497941">
          <w:marLeft w:val="1800"/>
          <w:marRight w:val="0"/>
          <w:marTop w:val="67"/>
          <w:marBottom w:val="0"/>
          <w:divBdr>
            <w:top w:val="none" w:sz="0" w:space="0" w:color="auto"/>
            <w:left w:val="none" w:sz="0" w:space="0" w:color="auto"/>
            <w:bottom w:val="none" w:sz="0" w:space="0" w:color="auto"/>
            <w:right w:val="none" w:sz="0" w:space="0" w:color="auto"/>
          </w:divBdr>
        </w:div>
        <w:div w:id="761871950">
          <w:marLeft w:val="2520"/>
          <w:marRight w:val="0"/>
          <w:marTop w:val="58"/>
          <w:marBottom w:val="0"/>
          <w:divBdr>
            <w:top w:val="none" w:sz="0" w:space="0" w:color="auto"/>
            <w:left w:val="none" w:sz="0" w:space="0" w:color="auto"/>
            <w:bottom w:val="none" w:sz="0" w:space="0" w:color="auto"/>
            <w:right w:val="none" w:sz="0" w:space="0" w:color="auto"/>
          </w:divBdr>
        </w:div>
        <w:div w:id="991716445">
          <w:marLeft w:val="2520"/>
          <w:marRight w:val="0"/>
          <w:marTop w:val="58"/>
          <w:marBottom w:val="0"/>
          <w:divBdr>
            <w:top w:val="none" w:sz="0" w:space="0" w:color="auto"/>
            <w:left w:val="none" w:sz="0" w:space="0" w:color="auto"/>
            <w:bottom w:val="none" w:sz="0" w:space="0" w:color="auto"/>
            <w:right w:val="none" w:sz="0" w:space="0" w:color="auto"/>
          </w:divBdr>
        </w:div>
        <w:div w:id="1014654181">
          <w:marLeft w:val="3240"/>
          <w:marRight w:val="0"/>
          <w:marTop w:val="58"/>
          <w:marBottom w:val="0"/>
          <w:divBdr>
            <w:top w:val="none" w:sz="0" w:space="0" w:color="auto"/>
            <w:left w:val="none" w:sz="0" w:space="0" w:color="auto"/>
            <w:bottom w:val="none" w:sz="0" w:space="0" w:color="auto"/>
            <w:right w:val="none" w:sz="0" w:space="0" w:color="auto"/>
          </w:divBdr>
        </w:div>
        <w:div w:id="1114860230">
          <w:marLeft w:val="1800"/>
          <w:marRight w:val="0"/>
          <w:marTop w:val="67"/>
          <w:marBottom w:val="0"/>
          <w:divBdr>
            <w:top w:val="none" w:sz="0" w:space="0" w:color="auto"/>
            <w:left w:val="none" w:sz="0" w:space="0" w:color="auto"/>
            <w:bottom w:val="none" w:sz="0" w:space="0" w:color="auto"/>
            <w:right w:val="none" w:sz="0" w:space="0" w:color="auto"/>
          </w:divBdr>
        </w:div>
        <w:div w:id="1128402757">
          <w:marLeft w:val="1800"/>
          <w:marRight w:val="0"/>
          <w:marTop w:val="67"/>
          <w:marBottom w:val="0"/>
          <w:divBdr>
            <w:top w:val="none" w:sz="0" w:space="0" w:color="auto"/>
            <w:left w:val="none" w:sz="0" w:space="0" w:color="auto"/>
            <w:bottom w:val="none" w:sz="0" w:space="0" w:color="auto"/>
            <w:right w:val="none" w:sz="0" w:space="0" w:color="auto"/>
          </w:divBdr>
        </w:div>
        <w:div w:id="1255094087">
          <w:marLeft w:val="3240"/>
          <w:marRight w:val="0"/>
          <w:marTop w:val="58"/>
          <w:marBottom w:val="0"/>
          <w:divBdr>
            <w:top w:val="none" w:sz="0" w:space="0" w:color="auto"/>
            <w:left w:val="none" w:sz="0" w:space="0" w:color="auto"/>
            <w:bottom w:val="none" w:sz="0" w:space="0" w:color="auto"/>
            <w:right w:val="none" w:sz="0" w:space="0" w:color="auto"/>
          </w:divBdr>
        </w:div>
        <w:div w:id="1411124968">
          <w:marLeft w:val="1800"/>
          <w:marRight w:val="0"/>
          <w:marTop w:val="67"/>
          <w:marBottom w:val="0"/>
          <w:divBdr>
            <w:top w:val="none" w:sz="0" w:space="0" w:color="auto"/>
            <w:left w:val="none" w:sz="0" w:space="0" w:color="auto"/>
            <w:bottom w:val="none" w:sz="0" w:space="0" w:color="auto"/>
            <w:right w:val="none" w:sz="0" w:space="0" w:color="auto"/>
          </w:divBdr>
        </w:div>
        <w:div w:id="1533881372">
          <w:marLeft w:val="3240"/>
          <w:marRight w:val="0"/>
          <w:marTop w:val="58"/>
          <w:marBottom w:val="0"/>
          <w:divBdr>
            <w:top w:val="none" w:sz="0" w:space="0" w:color="auto"/>
            <w:left w:val="none" w:sz="0" w:space="0" w:color="auto"/>
            <w:bottom w:val="none" w:sz="0" w:space="0" w:color="auto"/>
            <w:right w:val="none" w:sz="0" w:space="0" w:color="auto"/>
          </w:divBdr>
        </w:div>
        <w:div w:id="1658681036">
          <w:marLeft w:val="1166"/>
          <w:marRight w:val="0"/>
          <w:marTop w:val="77"/>
          <w:marBottom w:val="0"/>
          <w:divBdr>
            <w:top w:val="none" w:sz="0" w:space="0" w:color="auto"/>
            <w:left w:val="none" w:sz="0" w:space="0" w:color="auto"/>
            <w:bottom w:val="none" w:sz="0" w:space="0" w:color="auto"/>
            <w:right w:val="none" w:sz="0" w:space="0" w:color="auto"/>
          </w:divBdr>
        </w:div>
        <w:div w:id="1908345843">
          <w:marLeft w:val="1166"/>
          <w:marRight w:val="0"/>
          <w:marTop w:val="77"/>
          <w:marBottom w:val="0"/>
          <w:divBdr>
            <w:top w:val="none" w:sz="0" w:space="0" w:color="auto"/>
            <w:left w:val="none" w:sz="0" w:space="0" w:color="auto"/>
            <w:bottom w:val="none" w:sz="0" w:space="0" w:color="auto"/>
            <w:right w:val="none" w:sz="0" w:space="0" w:color="auto"/>
          </w:divBdr>
        </w:div>
        <w:div w:id="1953323550">
          <w:marLeft w:val="1800"/>
          <w:marRight w:val="0"/>
          <w:marTop w:val="67"/>
          <w:marBottom w:val="0"/>
          <w:divBdr>
            <w:top w:val="none" w:sz="0" w:space="0" w:color="auto"/>
            <w:left w:val="none" w:sz="0" w:space="0" w:color="auto"/>
            <w:bottom w:val="none" w:sz="0" w:space="0" w:color="auto"/>
            <w:right w:val="none" w:sz="0" w:space="0" w:color="auto"/>
          </w:divBdr>
        </w:div>
        <w:div w:id="2136017913">
          <w:marLeft w:val="3240"/>
          <w:marRight w:val="0"/>
          <w:marTop w:val="58"/>
          <w:marBottom w:val="0"/>
          <w:divBdr>
            <w:top w:val="none" w:sz="0" w:space="0" w:color="auto"/>
            <w:left w:val="none" w:sz="0" w:space="0" w:color="auto"/>
            <w:bottom w:val="none" w:sz="0" w:space="0" w:color="auto"/>
            <w:right w:val="none" w:sz="0" w:space="0" w:color="auto"/>
          </w:divBdr>
        </w:div>
      </w:divsChild>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58174188">
      <w:bodyDiv w:val="1"/>
      <w:marLeft w:val="0"/>
      <w:marRight w:val="0"/>
      <w:marTop w:val="0"/>
      <w:marBottom w:val="0"/>
      <w:divBdr>
        <w:top w:val="none" w:sz="0" w:space="0" w:color="auto"/>
        <w:left w:val="none" w:sz="0" w:space="0" w:color="auto"/>
        <w:bottom w:val="none" w:sz="0" w:space="0" w:color="auto"/>
        <w:right w:val="none" w:sz="0" w:space="0" w:color="auto"/>
      </w:divBdr>
    </w:div>
    <w:div w:id="1259216728">
      <w:bodyDiv w:val="1"/>
      <w:marLeft w:val="0"/>
      <w:marRight w:val="0"/>
      <w:marTop w:val="0"/>
      <w:marBottom w:val="0"/>
      <w:divBdr>
        <w:top w:val="none" w:sz="0" w:space="0" w:color="auto"/>
        <w:left w:val="none" w:sz="0" w:space="0" w:color="auto"/>
        <w:bottom w:val="none" w:sz="0" w:space="0" w:color="auto"/>
        <w:right w:val="none" w:sz="0" w:space="0" w:color="auto"/>
      </w:divBdr>
    </w:div>
    <w:div w:id="1260673907">
      <w:bodyDiv w:val="1"/>
      <w:marLeft w:val="0"/>
      <w:marRight w:val="0"/>
      <w:marTop w:val="0"/>
      <w:marBottom w:val="0"/>
      <w:divBdr>
        <w:top w:val="none" w:sz="0" w:space="0" w:color="auto"/>
        <w:left w:val="none" w:sz="0" w:space="0" w:color="auto"/>
        <w:bottom w:val="none" w:sz="0" w:space="0" w:color="auto"/>
        <w:right w:val="none" w:sz="0" w:space="0" w:color="auto"/>
      </w:divBdr>
      <w:divsChild>
        <w:div w:id="50738340">
          <w:marLeft w:val="547"/>
          <w:marRight w:val="0"/>
          <w:marTop w:val="77"/>
          <w:marBottom w:val="0"/>
          <w:divBdr>
            <w:top w:val="none" w:sz="0" w:space="0" w:color="auto"/>
            <w:left w:val="none" w:sz="0" w:space="0" w:color="auto"/>
            <w:bottom w:val="none" w:sz="0" w:space="0" w:color="auto"/>
            <w:right w:val="none" w:sz="0" w:space="0" w:color="auto"/>
          </w:divBdr>
        </w:div>
        <w:div w:id="443816566">
          <w:marLeft w:val="3240"/>
          <w:marRight w:val="0"/>
          <w:marTop w:val="67"/>
          <w:marBottom w:val="0"/>
          <w:divBdr>
            <w:top w:val="none" w:sz="0" w:space="0" w:color="auto"/>
            <w:left w:val="none" w:sz="0" w:space="0" w:color="auto"/>
            <w:bottom w:val="none" w:sz="0" w:space="0" w:color="auto"/>
            <w:right w:val="none" w:sz="0" w:space="0" w:color="auto"/>
          </w:divBdr>
        </w:div>
        <w:div w:id="582951226">
          <w:marLeft w:val="1800"/>
          <w:marRight w:val="0"/>
          <w:marTop w:val="77"/>
          <w:marBottom w:val="0"/>
          <w:divBdr>
            <w:top w:val="none" w:sz="0" w:space="0" w:color="auto"/>
            <w:left w:val="none" w:sz="0" w:space="0" w:color="auto"/>
            <w:bottom w:val="none" w:sz="0" w:space="0" w:color="auto"/>
            <w:right w:val="none" w:sz="0" w:space="0" w:color="auto"/>
          </w:divBdr>
        </w:div>
        <w:div w:id="612634115">
          <w:marLeft w:val="1800"/>
          <w:marRight w:val="0"/>
          <w:marTop w:val="77"/>
          <w:marBottom w:val="0"/>
          <w:divBdr>
            <w:top w:val="none" w:sz="0" w:space="0" w:color="auto"/>
            <w:left w:val="none" w:sz="0" w:space="0" w:color="auto"/>
            <w:bottom w:val="none" w:sz="0" w:space="0" w:color="auto"/>
            <w:right w:val="none" w:sz="0" w:space="0" w:color="auto"/>
          </w:divBdr>
        </w:div>
        <w:div w:id="714308457">
          <w:marLeft w:val="1166"/>
          <w:marRight w:val="0"/>
          <w:marTop w:val="86"/>
          <w:marBottom w:val="0"/>
          <w:divBdr>
            <w:top w:val="none" w:sz="0" w:space="0" w:color="auto"/>
            <w:left w:val="none" w:sz="0" w:space="0" w:color="auto"/>
            <w:bottom w:val="none" w:sz="0" w:space="0" w:color="auto"/>
            <w:right w:val="none" w:sz="0" w:space="0" w:color="auto"/>
          </w:divBdr>
        </w:div>
        <w:div w:id="844055517">
          <w:marLeft w:val="1800"/>
          <w:marRight w:val="0"/>
          <w:marTop w:val="77"/>
          <w:marBottom w:val="0"/>
          <w:divBdr>
            <w:top w:val="none" w:sz="0" w:space="0" w:color="auto"/>
            <w:left w:val="none" w:sz="0" w:space="0" w:color="auto"/>
            <w:bottom w:val="none" w:sz="0" w:space="0" w:color="auto"/>
            <w:right w:val="none" w:sz="0" w:space="0" w:color="auto"/>
          </w:divBdr>
        </w:div>
        <w:div w:id="903754190">
          <w:marLeft w:val="3240"/>
          <w:marRight w:val="0"/>
          <w:marTop w:val="67"/>
          <w:marBottom w:val="0"/>
          <w:divBdr>
            <w:top w:val="none" w:sz="0" w:space="0" w:color="auto"/>
            <w:left w:val="none" w:sz="0" w:space="0" w:color="auto"/>
            <w:bottom w:val="none" w:sz="0" w:space="0" w:color="auto"/>
            <w:right w:val="none" w:sz="0" w:space="0" w:color="auto"/>
          </w:divBdr>
        </w:div>
        <w:div w:id="1034187526">
          <w:marLeft w:val="2520"/>
          <w:marRight w:val="0"/>
          <w:marTop w:val="67"/>
          <w:marBottom w:val="0"/>
          <w:divBdr>
            <w:top w:val="none" w:sz="0" w:space="0" w:color="auto"/>
            <w:left w:val="none" w:sz="0" w:space="0" w:color="auto"/>
            <w:bottom w:val="none" w:sz="0" w:space="0" w:color="auto"/>
            <w:right w:val="none" w:sz="0" w:space="0" w:color="auto"/>
          </w:divBdr>
        </w:div>
        <w:div w:id="1125154620">
          <w:marLeft w:val="1800"/>
          <w:marRight w:val="0"/>
          <w:marTop w:val="77"/>
          <w:marBottom w:val="0"/>
          <w:divBdr>
            <w:top w:val="none" w:sz="0" w:space="0" w:color="auto"/>
            <w:left w:val="none" w:sz="0" w:space="0" w:color="auto"/>
            <w:bottom w:val="none" w:sz="0" w:space="0" w:color="auto"/>
            <w:right w:val="none" w:sz="0" w:space="0" w:color="auto"/>
          </w:divBdr>
        </w:div>
        <w:div w:id="1560094485">
          <w:marLeft w:val="2520"/>
          <w:marRight w:val="0"/>
          <w:marTop w:val="67"/>
          <w:marBottom w:val="0"/>
          <w:divBdr>
            <w:top w:val="none" w:sz="0" w:space="0" w:color="auto"/>
            <w:left w:val="none" w:sz="0" w:space="0" w:color="auto"/>
            <w:bottom w:val="none" w:sz="0" w:space="0" w:color="auto"/>
            <w:right w:val="none" w:sz="0" w:space="0" w:color="auto"/>
          </w:divBdr>
        </w:div>
        <w:div w:id="1708480715">
          <w:marLeft w:val="2520"/>
          <w:marRight w:val="0"/>
          <w:marTop w:val="67"/>
          <w:marBottom w:val="0"/>
          <w:divBdr>
            <w:top w:val="none" w:sz="0" w:space="0" w:color="auto"/>
            <w:left w:val="none" w:sz="0" w:space="0" w:color="auto"/>
            <w:bottom w:val="none" w:sz="0" w:space="0" w:color="auto"/>
            <w:right w:val="none" w:sz="0" w:space="0" w:color="auto"/>
          </w:divBdr>
        </w:div>
        <w:div w:id="2118796163">
          <w:marLeft w:val="1166"/>
          <w:marRight w:val="0"/>
          <w:marTop w:val="86"/>
          <w:marBottom w:val="0"/>
          <w:divBdr>
            <w:top w:val="none" w:sz="0" w:space="0" w:color="auto"/>
            <w:left w:val="none" w:sz="0" w:space="0" w:color="auto"/>
            <w:bottom w:val="none" w:sz="0" w:space="0" w:color="auto"/>
            <w:right w:val="none" w:sz="0" w:space="0" w:color="auto"/>
          </w:divBdr>
        </w:div>
      </w:divsChild>
    </w:div>
    <w:div w:id="1267497612">
      <w:bodyDiv w:val="1"/>
      <w:marLeft w:val="0"/>
      <w:marRight w:val="0"/>
      <w:marTop w:val="0"/>
      <w:marBottom w:val="0"/>
      <w:divBdr>
        <w:top w:val="none" w:sz="0" w:space="0" w:color="auto"/>
        <w:left w:val="none" w:sz="0" w:space="0" w:color="auto"/>
        <w:bottom w:val="none" w:sz="0" w:space="0" w:color="auto"/>
        <w:right w:val="none" w:sz="0" w:space="0" w:color="auto"/>
      </w:divBdr>
    </w:div>
    <w:div w:id="1269503826">
      <w:bodyDiv w:val="1"/>
      <w:marLeft w:val="0"/>
      <w:marRight w:val="0"/>
      <w:marTop w:val="0"/>
      <w:marBottom w:val="0"/>
      <w:divBdr>
        <w:top w:val="none" w:sz="0" w:space="0" w:color="auto"/>
        <w:left w:val="none" w:sz="0" w:space="0" w:color="auto"/>
        <w:bottom w:val="none" w:sz="0" w:space="0" w:color="auto"/>
        <w:right w:val="none" w:sz="0" w:space="0" w:color="auto"/>
      </w:divBdr>
      <w:divsChild>
        <w:div w:id="242762101">
          <w:marLeft w:val="1800"/>
          <w:marRight w:val="0"/>
          <w:marTop w:val="100"/>
          <w:marBottom w:val="0"/>
          <w:divBdr>
            <w:top w:val="none" w:sz="0" w:space="0" w:color="auto"/>
            <w:left w:val="none" w:sz="0" w:space="0" w:color="auto"/>
            <w:bottom w:val="none" w:sz="0" w:space="0" w:color="auto"/>
            <w:right w:val="none" w:sz="0" w:space="0" w:color="auto"/>
          </w:divBdr>
        </w:div>
        <w:div w:id="399866011">
          <w:marLeft w:val="1080"/>
          <w:marRight w:val="0"/>
          <w:marTop w:val="100"/>
          <w:marBottom w:val="0"/>
          <w:divBdr>
            <w:top w:val="none" w:sz="0" w:space="0" w:color="auto"/>
            <w:left w:val="none" w:sz="0" w:space="0" w:color="auto"/>
            <w:bottom w:val="none" w:sz="0" w:space="0" w:color="auto"/>
            <w:right w:val="none" w:sz="0" w:space="0" w:color="auto"/>
          </w:divBdr>
        </w:div>
        <w:div w:id="627516965">
          <w:marLeft w:val="360"/>
          <w:marRight w:val="0"/>
          <w:marTop w:val="200"/>
          <w:marBottom w:val="0"/>
          <w:divBdr>
            <w:top w:val="none" w:sz="0" w:space="0" w:color="auto"/>
            <w:left w:val="none" w:sz="0" w:space="0" w:color="auto"/>
            <w:bottom w:val="none" w:sz="0" w:space="0" w:color="auto"/>
            <w:right w:val="none" w:sz="0" w:space="0" w:color="auto"/>
          </w:divBdr>
        </w:div>
        <w:div w:id="817578076">
          <w:marLeft w:val="1080"/>
          <w:marRight w:val="0"/>
          <w:marTop w:val="100"/>
          <w:marBottom w:val="0"/>
          <w:divBdr>
            <w:top w:val="none" w:sz="0" w:space="0" w:color="auto"/>
            <w:left w:val="none" w:sz="0" w:space="0" w:color="auto"/>
            <w:bottom w:val="none" w:sz="0" w:space="0" w:color="auto"/>
            <w:right w:val="none" w:sz="0" w:space="0" w:color="auto"/>
          </w:divBdr>
        </w:div>
        <w:div w:id="1873371996">
          <w:marLeft w:val="1080"/>
          <w:marRight w:val="0"/>
          <w:marTop w:val="100"/>
          <w:marBottom w:val="0"/>
          <w:divBdr>
            <w:top w:val="none" w:sz="0" w:space="0" w:color="auto"/>
            <w:left w:val="none" w:sz="0" w:space="0" w:color="auto"/>
            <w:bottom w:val="none" w:sz="0" w:space="0" w:color="auto"/>
            <w:right w:val="none" w:sz="0" w:space="0" w:color="auto"/>
          </w:divBdr>
        </w:div>
        <w:div w:id="2033921415">
          <w:marLeft w:val="1080"/>
          <w:marRight w:val="0"/>
          <w:marTop w:val="100"/>
          <w:marBottom w:val="0"/>
          <w:divBdr>
            <w:top w:val="none" w:sz="0" w:space="0" w:color="auto"/>
            <w:left w:val="none" w:sz="0" w:space="0" w:color="auto"/>
            <w:bottom w:val="none" w:sz="0" w:space="0" w:color="auto"/>
            <w:right w:val="none" w:sz="0" w:space="0" w:color="auto"/>
          </w:divBdr>
        </w:div>
        <w:div w:id="2086031391">
          <w:marLeft w:val="360"/>
          <w:marRight w:val="0"/>
          <w:marTop w:val="200"/>
          <w:marBottom w:val="0"/>
          <w:divBdr>
            <w:top w:val="none" w:sz="0" w:space="0" w:color="auto"/>
            <w:left w:val="none" w:sz="0" w:space="0" w:color="auto"/>
            <w:bottom w:val="none" w:sz="0" w:space="0" w:color="auto"/>
            <w:right w:val="none" w:sz="0" w:space="0" w:color="auto"/>
          </w:divBdr>
        </w:div>
      </w:divsChild>
    </w:div>
    <w:div w:id="1279988256">
      <w:bodyDiv w:val="1"/>
      <w:marLeft w:val="0"/>
      <w:marRight w:val="0"/>
      <w:marTop w:val="0"/>
      <w:marBottom w:val="0"/>
      <w:divBdr>
        <w:top w:val="none" w:sz="0" w:space="0" w:color="auto"/>
        <w:left w:val="none" w:sz="0" w:space="0" w:color="auto"/>
        <w:bottom w:val="none" w:sz="0" w:space="0" w:color="auto"/>
        <w:right w:val="none" w:sz="0" w:space="0" w:color="auto"/>
      </w:divBdr>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288970951">
      <w:bodyDiv w:val="1"/>
      <w:marLeft w:val="0"/>
      <w:marRight w:val="0"/>
      <w:marTop w:val="0"/>
      <w:marBottom w:val="0"/>
      <w:divBdr>
        <w:top w:val="none" w:sz="0" w:space="0" w:color="auto"/>
        <w:left w:val="none" w:sz="0" w:space="0" w:color="auto"/>
        <w:bottom w:val="none" w:sz="0" w:space="0" w:color="auto"/>
        <w:right w:val="none" w:sz="0" w:space="0" w:color="auto"/>
      </w:divBdr>
      <w:divsChild>
        <w:div w:id="1735547103">
          <w:marLeft w:val="547"/>
          <w:marRight w:val="0"/>
          <w:marTop w:val="0"/>
          <w:marBottom w:val="0"/>
          <w:divBdr>
            <w:top w:val="none" w:sz="0" w:space="0" w:color="auto"/>
            <w:left w:val="none" w:sz="0" w:space="0" w:color="auto"/>
            <w:bottom w:val="none" w:sz="0" w:space="0" w:color="auto"/>
            <w:right w:val="none" w:sz="0" w:space="0" w:color="auto"/>
          </w:divBdr>
        </w:div>
        <w:div w:id="1835336259">
          <w:marLeft w:val="1267"/>
          <w:marRight w:val="0"/>
          <w:marTop w:val="0"/>
          <w:marBottom w:val="0"/>
          <w:divBdr>
            <w:top w:val="none" w:sz="0" w:space="0" w:color="auto"/>
            <w:left w:val="none" w:sz="0" w:space="0" w:color="auto"/>
            <w:bottom w:val="none" w:sz="0" w:space="0" w:color="auto"/>
            <w:right w:val="none" w:sz="0" w:space="0" w:color="auto"/>
          </w:divBdr>
        </w:div>
      </w:divsChild>
    </w:div>
    <w:div w:id="1291976745">
      <w:bodyDiv w:val="1"/>
      <w:marLeft w:val="0"/>
      <w:marRight w:val="0"/>
      <w:marTop w:val="0"/>
      <w:marBottom w:val="0"/>
      <w:divBdr>
        <w:top w:val="none" w:sz="0" w:space="0" w:color="auto"/>
        <w:left w:val="none" w:sz="0" w:space="0" w:color="auto"/>
        <w:bottom w:val="none" w:sz="0" w:space="0" w:color="auto"/>
        <w:right w:val="none" w:sz="0" w:space="0" w:color="auto"/>
      </w:divBdr>
      <w:divsChild>
        <w:div w:id="109134189">
          <w:marLeft w:val="1800"/>
          <w:marRight w:val="0"/>
          <w:marTop w:val="99"/>
          <w:marBottom w:val="0"/>
          <w:divBdr>
            <w:top w:val="none" w:sz="0" w:space="0" w:color="auto"/>
            <w:left w:val="none" w:sz="0" w:space="0" w:color="auto"/>
            <w:bottom w:val="none" w:sz="0" w:space="0" w:color="auto"/>
            <w:right w:val="none" w:sz="0" w:space="0" w:color="auto"/>
          </w:divBdr>
        </w:div>
        <w:div w:id="359820147">
          <w:marLeft w:val="2520"/>
          <w:marRight w:val="0"/>
          <w:marTop w:val="82"/>
          <w:marBottom w:val="0"/>
          <w:divBdr>
            <w:top w:val="none" w:sz="0" w:space="0" w:color="auto"/>
            <w:left w:val="none" w:sz="0" w:space="0" w:color="auto"/>
            <w:bottom w:val="none" w:sz="0" w:space="0" w:color="auto"/>
            <w:right w:val="none" w:sz="0" w:space="0" w:color="auto"/>
          </w:divBdr>
        </w:div>
        <w:div w:id="571546990">
          <w:marLeft w:val="1800"/>
          <w:marRight w:val="0"/>
          <w:marTop w:val="99"/>
          <w:marBottom w:val="0"/>
          <w:divBdr>
            <w:top w:val="none" w:sz="0" w:space="0" w:color="auto"/>
            <w:left w:val="none" w:sz="0" w:space="0" w:color="auto"/>
            <w:bottom w:val="none" w:sz="0" w:space="0" w:color="auto"/>
            <w:right w:val="none" w:sz="0" w:space="0" w:color="auto"/>
          </w:divBdr>
        </w:div>
        <w:div w:id="692419882">
          <w:marLeft w:val="1800"/>
          <w:marRight w:val="0"/>
          <w:marTop w:val="99"/>
          <w:marBottom w:val="0"/>
          <w:divBdr>
            <w:top w:val="none" w:sz="0" w:space="0" w:color="auto"/>
            <w:left w:val="none" w:sz="0" w:space="0" w:color="auto"/>
            <w:bottom w:val="none" w:sz="0" w:space="0" w:color="auto"/>
            <w:right w:val="none" w:sz="0" w:space="0" w:color="auto"/>
          </w:divBdr>
        </w:div>
        <w:div w:id="724566668">
          <w:marLeft w:val="2520"/>
          <w:marRight w:val="0"/>
          <w:marTop w:val="82"/>
          <w:marBottom w:val="0"/>
          <w:divBdr>
            <w:top w:val="none" w:sz="0" w:space="0" w:color="auto"/>
            <w:left w:val="none" w:sz="0" w:space="0" w:color="auto"/>
            <w:bottom w:val="none" w:sz="0" w:space="0" w:color="auto"/>
            <w:right w:val="none" w:sz="0" w:space="0" w:color="auto"/>
          </w:divBdr>
        </w:div>
        <w:div w:id="1390110199">
          <w:marLeft w:val="1800"/>
          <w:marRight w:val="0"/>
          <w:marTop w:val="99"/>
          <w:marBottom w:val="0"/>
          <w:divBdr>
            <w:top w:val="none" w:sz="0" w:space="0" w:color="auto"/>
            <w:left w:val="none" w:sz="0" w:space="0" w:color="auto"/>
            <w:bottom w:val="none" w:sz="0" w:space="0" w:color="auto"/>
            <w:right w:val="none" w:sz="0" w:space="0" w:color="auto"/>
          </w:divBdr>
        </w:div>
        <w:div w:id="1396784200">
          <w:marLeft w:val="1166"/>
          <w:marRight w:val="0"/>
          <w:marTop w:val="115"/>
          <w:marBottom w:val="0"/>
          <w:divBdr>
            <w:top w:val="none" w:sz="0" w:space="0" w:color="auto"/>
            <w:left w:val="none" w:sz="0" w:space="0" w:color="auto"/>
            <w:bottom w:val="none" w:sz="0" w:space="0" w:color="auto"/>
            <w:right w:val="none" w:sz="0" w:space="0" w:color="auto"/>
          </w:divBdr>
        </w:div>
        <w:div w:id="1420055704">
          <w:marLeft w:val="547"/>
          <w:marRight w:val="0"/>
          <w:marTop w:val="115"/>
          <w:marBottom w:val="0"/>
          <w:divBdr>
            <w:top w:val="none" w:sz="0" w:space="0" w:color="auto"/>
            <w:left w:val="none" w:sz="0" w:space="0" w:color="auto"/>
            <w:bottom w:val="none" w:sz="0" w:space="0" w:color="auto"/>
            <w:right w:val="none" w:sz="0" w:space="0" w:color="auto"/>
          </w:divBdr>
        </w:div>
        <w:div w:id="1423530874">
          <w:marLeft w:val="1166"/>
          <w:marRight w:val="0"/>
          <w:marTop w:val="115"/>
          <w:marBottom w:val="0"/>
          <w:divBdr>
            <w:top w:val="none" w:sz="0" w:space="0" w:color="auto"/>
            <w:left w:val="none" w:sz="0" w:space="0" w:color="auto"/>
            <w:bottom w:val="none" w:sz="0" w:space="0" w:color="auto"/>
            <w:right w:val="none" w:sz="0" w:space="0" w:color="auto"/>
          </w:divBdr>
        </w:div>
        <w:div w:id="1750229742">
          <w:marLeft w:val="1800"/>
          <w:marRight w:val="0"/>
          <w:marTop w:val="99"/>
          <w:marBottom w:val="0"/>
          <w:divBdr>
            <w:top w:val="none" w:sz="0" w:space="0" w:color="auto"/>
            <w:left w:val="none" w:sz="0" w:space="0" w:color="auto"/>
            <w:bottom w:val="none" w:sz="0" w:space="0" w:color="auto"/>
            <w:right w:val="none" w:sz="0" w:space="0" w:color="auto"/>
          </w:divBdr>
        </w:div>
        <w:div w:id="1791633542">
          <w:marLeft w:val="1800"/>
          <w:marRight w:val="0"/>
          <w:marTop w:val="99"/>
          <w:marBottom w:val="0"/>
          <w:divBdr>
            <w:top w:val="none" w:sz="0" w:space="0" w:color="auto"/>
            <w:left w:val="none" w:sz="0" w:space="0" w:color="auto"/>
            <w:bottom w:val="none" w:sz="0" w:space="0" w:color="auto"/>
            <w:right w:val="none" w:sz="0" w:space="0" w:color="auto"/>
          </w:divBdr>
        </w:div>
      </w:divsChild>
    </w:div>
    <w:div w:id="1335572203">
      <w:bodyDiv w:val="1"/>
      <w:marLeft w:val="0"/>
      <w:marRight w:val="0"/>
      <w:marTop w:val="0"/>
      <w:marBottom w:val="0"/>
      <w:divBdr>
        <w:top w:val="none" w:sz="0" w:space="0" w:color="auto"/>
        <w:left w:val="none" w:sz="0" w:space="0" w:color="auto"/>
        <w:bottom w:val="none" w:sz="0" w:space="0" w:color="auto"/>
        <w:right w:val="none" w:sz="0" w:space="0" w:color="auto"/>
      </w:divBdr>
    </w:div>
    <w:div w:id="1352730622">
      <w:bodyDiv w:val="1"/>
      <w:marLeft w:val="0"/>
      <w:marRight w:val="0"/>
      <w:marTop w:val="0"/>
      <w:marBottom w:val="0"/>
      <w:divBdr>
        <w:top w:val="none" w:sz="0" w:space="0" w:color="auto"/>
        <w:left w:val="none" w:sz="0" w:space="0" w:color="auto"/>
        <w:bottom w:val="none" w:sz="0" w:space="0" w:color="auto"/>
        <w:right w:val="none" w:sz="0" w:space="0" w:color="auto"/>
      </w:divBdr>
      <w:divsChild>
        <w:div w:id="1733388090">
          <w:marLeft w:val="360"/>
          <w:marRight w:val="0"/>
          <w:marTop w:val="200"/>
          <w:marBottom w:val="0"/>
          <w:divBdr>
            <w:top w:val="none" w:sz="0" w:space="0" w:color="auto"/>
            <w:left w:val="none" w:sz="0" w:space="0" w:color="auto"/>
            <w:bottom w:val="none" w:sz="0" w:space="0" w:color="auto"/>
            <w:right w:val="none" w:sz="0" w:space="0" w:color="auto"/>
          </w:divBdr>
        </w:div>
        <w:div w:id="1769079216">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19327473">
      <w:bodyDiv w:val="1"/>
      <w:marLeft w:val="0"/>
      <w:marRight w:val="0"/>
      <w:marTop w:val="0"/>
      <w:marBottom w:val="0"/>
      <w:divBdr>
        <w:top w:val="none" w:sz="0" w:space="0" w:color="auto"/>
        <w:left w:val="none" w:sz="0" w:space="0" w:color="auto"/>
        <w:bottom w:val="none" w:sz="0" w:space="0" w:color="auto"/>
        <w:right w:val="none" w:sz="0" w:space="0" w:color="auto"/>
      </w:divBdr>
    </w:div>
    <w:div w:id="1465200631">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4028393">
      <w:bodyDiv w:val="1"/>
      <w:marLeft w:val="0"/>
      <w:marRight w:val="0"/>
      <w:marTop w:val="0"/>
      <w:marBottom w:val="0"/>
      <w:divBdr>
        <w:top w:val="none" w:sz="0" w:space="0" w:color="auto"/>
        <w:left w:val="none" w:sz="0" w:space="0" w:color="auto"/>
        <w:bottom w:val="none" w:sz="0" w:space="0" w:color="auto"/>
        <w:right w:val="none" w:sz="0" w:space="0" w:color="auto"/>
      </w:divBdr>
    </w:div>
    <w:div w:id="1494447230">
      <w:bodyDiv w:val="1"/>
      <w:marLeft w:val="0"/>
      <w:marRight w:val="0"/>
      <w:marTop w:val="0"/>
      <w:marBottom w:val="0"/>
      <w:divBdr>
        <w:top w:val="none" w:sz="0" w:space="0" w:color="auto"/>
        <w:left w:val="none" w:sz="0" w:space="0" w:color="auto"/>
        <w:bottom w:val="none" w:sz="0" w:space="0" w:color="auto"/>
        <w:right w:val="none" w:sz="0" w:space="0" w:color="auto"/>
      </w:divBdr>
    </w:div>
    <w:div w:id="1517499362">
      <w:bodyDiv w:val="1"/>
      <w:marLeft w:val="0"/>
      <w:marRight w:val="0"/>
      <w:marTop w:val="0"/>
      <w:marBottom w:val="0"/>
      <w:divBdr>
        <w:top w:val="none" w:sz="0" w:space="0" w:color="auto"/>
        <w:left w:val="none" w:sz="0" w:space="0" w:color="auto"/>
        <w:bottom w:val="none" w:sz="0" w:space="0" w:color="auto"/>
        <w:right w:val="none" w:sz="0" w:space="0" w:color="auto"/>
      </w:divBdr>
    </w:div>
    <w:div w:id="1526823761">
      <w:bodyDiv w:val="1"/>
      <w:marLeft w:val="0"/>
      <w:marRight w:val="0"/>
      <w:marTop w:val="0"/>
      <w:marBottom w:val="0"/>
      <w:divBdr>
        <w:top w:val="none" w:sz="0" w:space="0" w:color="auto"/>
        <w:left w:val="none" w:sz="0" w:space="0" w:color="auto"/>
        <w:bottom w:val="none" w:sz="0" w:space="0" w:color="auto"/>
        <w:right w:val="none" w:sz="0" w:space="0" w:color="auto"/>
      </w:divBdr>
      <w:divsChild>
        <w:div w:id="1912422510">
          <w:marLeft w:val="547"/>
          <w:marRight w:val="0"/>
          <w:marTop w:val="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2015325">
      <w:bodyDiv w:val="1"/>
      <w:marLeft w:val="0"/>
      <w:marRight w:val="0"/>
      <w:marTop w:val="0"/>
      <w:marBottom w:val="0"/>
      <w:divBdr>
        <w:top w:val="none" w:sz="0" w:space="0" w:color="auto"/>
        <w:left w:val="none" w:sz="0" w:space="0" w:color="auto"/>
        <w:bottom w:val="none" w:sz="0" w:space="0" w:color="auto"/>
        <w:right w:val="none" w:sz="0" w:space="0" w:color="auto"/>
      </w:divBdr>
    </w:div>
    <w:div w:id="1549225287">
      <w:bodyDiv w:val="1"/>
      <w:marLeft w:val="0"/>
      <w:marRight w:val="0"/>
      <w:marTop w:val="0"/>
      <w:marBottom w:val="0"/>
      <w:divBdr>
        <w:top w:val="none" w:sz="0" w:space="0" w:color="auto"/>
        <w:left w:val="none" w:sz="0" w:space="0" w:color="auto"/>
        <w:bottom w:val="none" w:sz="0" w:space="0" w:color="auto"/>
        <w:right w:val="none" w:sz="0" w:space="0" w:color="auto"/>
      </w:divBdr>
      <w:divsChild>
        <w:div w:id="547182037">
          <w:marLeft w:val="547"/>
          <w:marRight w:val="0"/>
          <w:marTop w:val="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639384879">
      <w:bodyDiv w:val="1"/>
      <w:marLeft w:val="0"/>
      <w:marRight w:val="0"/>
      <w:marTop w:val="0"/>
      <w:marBottom w:val="0"/>
      <w:divBdr>
        <w:top w:val="none" w:sz="0" w:space="0" w:color="auto"/>
        <w:left w:val="none" w:sz="0" w:space="0" w:color="auto"/>
        <w:bottom w:val="none" w:sz="0" w:space="0" w:color="auto"/>
        <w:right w:val="none" w:sz="0" w:space="0" w:color="auto"/>
      </w:divBdr>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44197568">
      <w:bodyDiv w:val="1"/>
      <w:marLeft w:val="0"/>
      <w:marRight w:val="0"/>
      <w:marTop w:val="0"/>
      <w:marBottom w:val="0"/>
      <w:divBdr>
        <w:top w:val="none" w:sz="0" w:space="0" w:color="auto"/>
        <w:left w:val="none" w:sz="0" w:space="0" w:color="auto"/>
        <w:bottom w:val="none" w:sz="0" w:space="0" w:color="auto"/>
        <w:right w:val="none" w:sz="0" w:space="0" w:color="auto"/>
      </w:divBdr>
      <w:divsChild>
        <w:div w:id="204559375">
          <w:marLeft w:val="1800"/>
          <w:marRight w:val="0"/>
          <w:marTop w:val="77"/>
          <w:marBottom w:val="0"/>
          <w:divBdr>
            <w:top w:val="none" w:sz="0" w:space="0" w:color="auto"/>
            <w:left w:val="none" w:sz="0" w:space="0" w:color="auto"/>
            <w:bottom w:val="none" w:sz="0" w:space="0" w:color="auto"/>
            <w:right w:val="none" w:sz="0" w:space="0" w:color="auto"/>
          </w:divBdr>
        </w:div>
        <w:div w:id="359860114">
          <w:marLeft w:val="1166"/>
          <w:marRight w:val="0"/>
          <w:marTop w:val="86"/>
          <w:marBottom w:val="0"/>
          <w:divBdr>
            <w:top w:val="none" w:sz="0" w:space="0" w:color="auto"/>
            <w:left w:val="none" w:sz="0" w:space="0" w:color="auto"/>
            <w:bottom w:val="none" w:sz="0" w:space="0" w:color="auto"/>
            <w:right w:val="none" w:sz="0" w:space="0" w:color="auto"/>
          </w:divBdr>
        </w:div>
        <w:div w:id="855267921">
          <w:marLeft w:val="2520"/>
          <w:marRight w:val="0"/>
          <w:marTop w:val="77"/>
          <w:marBottom w:val="0"/>
          <w:divBdr>
            <w:top w:val="none" w:sz="0" w:space="0" w:color="auto"/>
            <w:left w:val="none" w:sz="0" w:space="0" w:color="auto"/>
            <w:bottom w:val="none" w:sz="0" w:space="0" w:color="auto"/>
            <w:right w:val="none" w:sz="0" w:space="0" w:color="auto"/>
          </w:divBdr>
        </w:div>
        <w:div w:id="1132795424">
          <w:marLeft w:val="2520"/>
          <w:marRight w:val="0"/>
          <w:marTop w:val="77"/>
          <w:marBottom w:val="0"/>
          <w:divBdr>
            <w:top w:val="none" w:sz="0" w:space="0" w:color="auto"/>
            <w:left w:val="none" w:sz="0" w:space="0" w:color="auto"/>
            <w:bottom w:val="none" w:sz="0" w:space="0" w:color="auto"/>
            <w:right w:val="none" w:sz="0" w:space="0" w:color="auto"/>
          </w:divBdr>
        </w:div>
        <w:div w:id="1248153589">
          <w:marLeft w:val="1166"/>
          <w:marRight w:val="0"/>
          <w:marTop w:val="86"/>
          <w:marBottom w:val="0"/>
          <w:divBdr>
            <w:top w:val="none" w:sz="0" w:space="0" w:color="auto"/>
            <w:left w:val="none" w:sz="0" w:space="0" w:color="auto"/>
            <w:bottom w:val="none" w:sz="0" w:space="0" w:color="auto"/>
            <w:right w:val="none" w:sz="0" w:space="0" w:color="auto"/>
          </w:divBdr>
        </w:div>
        <w:div w:id="1358042024">
          <w:marLeft w:val="547"/>
          <w:marRight w:val="0"/>
          <w:marTop w:val="96"/>
          <w:marBottom w:val="0"/>
          <w:divBdr>
            <w:top w:val="none" w:sz="0" w:space="0" w:color="auto"/>
            <w:left w:val="none" w:sz="0" w:space="0" w:color="auto"/>
            <w:bottom w:val="none" w:sz="0" w:space="0" w:color="auto"/>
            <w:right w:val="none" w:sz="0" w:space="0" w:color="auto"/>
          </w:divBdr>
        </w:div>
        <w:div w:id="1721631260">
          <w:marLeft w:val="547"/>
          <w:marRight w:val="0"/>
          <w:marTop w:val="96"/>
          <w:marBottom w:val="0"/>
          <w:divBdr>
            <w:top w:val="none" w:sz="0" w:space="0" w:color="auto"/>
            <w:left w:val="none" w:sz="0" w:space="0" w:color="auto"/>
            <w:bottom w:val="none" w:sz="0" w:space="0" w:color="auto"/>
            <w:right w:val="none" w:sz="0" w:space="0" w:color="auto"/>
          </w:divBdr>
        </w:div>
        <w:div w:id="1769080230">
          <w:marLeft w:val="1800"/>
          <w:marRight w:val="0"/>
          <w:marTop w:val="77"/>
          <w:marBottom w:val="0"/>
          <w:divBdr>
            <w:top w:val="none" w:sz="0" w:space="0" w:color="auto"/>
            <w:left w:val="none" w:sz="0" w:space="0" w:color="auto"/>
            <w:bottom w:val="none" w:sz="0" w:space="0" w:color="auto"/>
            <w:right w:val="none" w:sz="0" w:space="0" w:color="auto"/>
          </w:divBdr>
        </w:div>
        <w:div w:id="1847403503">
          <w:marLeft w:val="547"/>
          <w:marRight w:val="0"/>
          <w:marTop w:val="96"/>
          <w:marBottom w:val="0"/>
          <w:divBdr>
            <w:top w:val="none" w:sz="0" w:space="0" w:color="auto"/>
            <w:left w:val="none" w:sz="0" w:space="0" w:color="auto"/>
            <w:bottom w:val="none" w:sz="0" w:space="0" w:color="auto"/>
            <w:right w:val="none" w:sz="0" w:space="0" w:color="auto"/>
          </w:divBdr>
        </w:div>
      </w:divsChild>
    </w:div>
    <w:div w:id="1704555563">
      <w:bodyDiv w:val="1"/>
      <w:marLeft w:val="0"/>
      <w:marRight w:val="0"/>
      <w:marTop w:val="0"/>
      <w:marBottom w:val="0"/>
      <w:divBdr>
        <w:top w:val="none" w:sz="0" w:space="0" w:color="auto"/>
        <w:left w:val="none" w:sz="0" w:space="0" w:color="auto"/>
        <w:bottom w:val="none" w:sz="0" w:space="0" w:color="auto"/>
        <w:right w:val="none" w:sz="0" w:space="0" w:color="auto"/>
      </w:divBdr>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801536083">
      <w:bodyDiv w:val="1"/>
      <w:marLeft w:val="0"/>
      <w:marRight w:val="0"/>
      <w:marTop w:val="0"/>
      <w:marBottom w:val="0"/>
      <w:divBdr>
        <w:top w:val="none" w:sz="0" w:space="0" w:color="auto"/>
        <w:left w:val="none" w:sz="0" w:space="0" w:color="auto"/>
        <w:bottom w:val="none" w:sz="0" w:space="0" w:color="auto"/>
        <w:right w:val="none" w:sz="0" w:space="0" w:color="auto"/>
      </w:divBdr>
      <w:divsChild>
        <w:div w:id="217516652">
          <w:marLeft w:val="720"/>
          <w:marRight w:val="0"/>
          <w:marTop w:val="0"/>
          <w:marBottom w:val="0"/>
          <w:divBdr>
            <w:top w:val="none" w:sz="0" w:space="0" w:color="auto"/>
            <w:left w:val="none" w:sz="0" w:space="0" w:color="auto"/>
            <w:bottom w:val="none" w:sz="0" w:space="0" w:color="auto"/>
            <w:right w:val="none" w:sz="0" w:space="0" w:color="auto"/>
          </w:divBdr>
        </w:div>
      </w:divsChild>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30053504">
      <w:bodyDiv w:val="1"/>
      <w:marLeft w:val="0"/>
      <w:marRight w:val="0"/>
      <w:marTop w:val="0"/>
      <w:marBottom w:val="0"/>
      <w:divBdr>
        <w:top w:val="none" w:sz="0" w:space="0" w:color="auto"/>
        <w:left w:val="none" w:sz="0" w:space="0" w:color="auto"/>
        <w:bottom w:val="none" w:sz="0" w:space="0" w:color="auto"/>
        <w:right w:val="none" w:sz="0" w:space="0" w:color="auto"/>
      </w:divBdr>
    </w:div>
    <w:div w:id="1838155844">
      <w:bodyDiv w:val="1"/>
      <w:marLeft w:val="0"/>
      <w:marRight w:val="0"/>
      <w:marTop w:val="0"/>
      <w:marBottom w:val="0"/>
      <w:divBdr>
        <w:top w:val="none" w:sz="0" w:space="0" w:color="auto"/>
        <w:left w:val="none" w:sz="0" w:space="0" w:color="auto"/>
        <w:bottom w:val="none" w:sz="0" w:space="0" w:color="auto"/>
        <w:right w:val="none" w:sz="0" w:space="0" w:color="auto"/>
      </w:divBdr>
      <w:divsChild>
        <w:div w:id="30495504">
          <w:marLeft w:val="1267"/>
          <w:marRight w:val="0"/>
          <w:marTop w:val="0"/>
          <w:marBottom w:val="0"/>
          <w:divBdr>
            <w:top w:val="none" w:sz="0" w:space="0" w:color="auto"/>
            <w:left w:val="none" w:sz="0" w:space="0" w:color="auto"/>
            <w:bottom w:val="none" w:sz="0" w:space="0" w:color="auto"/>
            <w:right w:val="none" w:sz="0" w:space="0" w:color="auto"/>
          </w:divBdr>
        </w:div>
        <w:div w:id="662321345">
          <w:marLeft w:val="1267"/>
          <w:marRight w:val="0"/>
          <w:marTop w:val="0"/>
          <w:marBottom w:val="0"/>
          <w:divBdr>
            <w:top w:val="none" w:sz="0" w:space="0" w:color="auto"/>
            <w:left w:val="none" w:sz="0" w:space="0" w:color="auto"/>
            <w:bottom w:val="none" w:sz="0" w:space="0" w:color="auto"/>
            <w:right w:val="none" w:sz="0" w:space="0" w:color="auto"/>
          </w:divBdr>
        </w:div>
        <w:div w:id="1978026311">
          <w:marLeft w:val="547"/>
          <w:marRight w:val="0"/>
          <w:marTop w:val="0"/>
          <w:marBottom w:val="0"/>
          <w:divBdr>
            <w:top w:val="none" w:sz="0" w:space="0" w:color="auto"/>
            <w:left w:val="none" w:sz="0" w:space="0" w:color="auto"/>
            <w:bottom w:val="none" w:sz="0" w:space="0" w:color="auto"/>
            <w:right w:val="none" w:sz="0" w:space="0" w:color="auto"/>
          </w:divBdr>
        </w:div>
      </w:divsChild>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3010089">
      <w:bodyDiv w:val="1"/>
      <w:marLeft w:val="0"/>
      <w:marRight w:val="0"/>
      <w:marTop w:val="0"/>
      <w:marBottom w:val="0"/>
      <w:divBdr>
        <w:top w:val="none" w:sz="0" w:space="0" w:color="auto"/>
        <w:left w:val="none" w:sz="0" w:space="0" w:color="auto"/>
        <w:bottom w:val="none" w:sz="0" w:space="0" w:color="auto"/>
        <w:right w:val="none" w:sz="0" w:space="0" w:color="auto"/>
      </w:divBdr>
    </w:div>
    <w:div w:id="1891920646">
      <w:bodyDiv w:val="1"/>
      <w:marLeft w:val="0"/>
      <w:marRight w:val="0"/>
      <w:marTop w:val="0"/>
      <w:marBottom w:val="0"/>
      <w:divBdr>
        <w:top w:val="none" w:sz="0" w:space="0" w:color="auto"/>
        <w:left w:val="none" w:sz="0" w:space="0" w:color="auto"/>
        <w:bottom w:val="none" w:sz="0" w:space="0" w:color="auto"/>
        <w:right w:val="none" w:sz="0" w:space="0" w:color="auto"/>
      </w:divBdr>
      <w:divsChild>
        <w:div w:id="111098999">
          <w:marLeft w:val="0"/>
          <w:marRight w:val="0"/>
          <w:marTop w:val="0"/>
          <w:marBottom w:val="120"/>
          <w:divBdr>
            <w:top w:val="none" w:sz="0" w:space="0" w:color="auto"/>
            <w:left w:val="none" w:sz="0" w:space="0" w:color="auto"/>
            <w:bottom w:val="none" w:sz="0" w:space="0" w:color="auto"/>
            <w:right w:val="none" w:sz="0" w:space="0" w:color="auto"/>
          </w:divBdr>
        </w:div>
        <w:div w:id="1049039469">
          <w:marLeft w:val="0"/>
          <w:marRight w:val="0"/>
          <w:marTop w:val="0"/>
          <w:marBottom w:val="120"/>
          <w:divBdr>
            <w:top w:val="none" w:sz="0" w:space="0" w:color="auto"/>
            <w:left w:val="none" w:sz="0" w:space="0" w:color="auto"/>
            <w:bottom w:val="none" w:sz="0" w:space="0" w:color="auto"/>
            <w:right w:val="none" w:sz="0" w:space="0" w:color="auto"/>
          </w:divBdr>
        </w:div>
        <w:div w:id="1824423335">
          <w:marLeft w:val="0"/>
          <w:marRight w:val="0"/>
          <w:marTop w:val="0"/>
          <w:marBottom w:val="120"/>
          <w:divBdr>
            <w:top w:val="none" w:sz="0" w:space="0" w:color="auto"/>
            <w:left w:val="none" w:sz="0" w:space="0" w:color="auto"/>
            <w:bottom w:val="none" w:sz="0" w:space="0" w:color="auto"/>
            <w:right w:val="none" w:sz="0" w:space="0" w:color="auto"/>
          </w:divBdr>
        </w:div>
      </w:divsChild>
    </w:div>
    <w:div w:id="1902136784">
      <w:bodyDiv w:val="1"/>
      <w:marLeft w:val="0"/>
      <w:marRight w:val="0"/>
      <w:marTop w:val="0"/>
      <w:marBottom w:val="0"/>
      <w:divBdr>
        <w:top w:val="none" w:sz="0" w:space="0" w:color="auto"/>
        <w:left w:val="none" w:sz="0" w:space="0" w:color="auto"/>
        <w:bottom w:val="none" w:sz="0" w:space="0" w:color="auto"/>
        <w:right w:val="none" w:sz="0" w:space="0" w:color="auto"/>
      </w:divBdr>
      <w:divsChild>
        <w:div w:id="202180377">
          <w:marLeft w:val="1267"/>
          <w:marRight w:val="0"/>
          <w:marTop w:val="0"/>
          <w:marBottom w:val="0"/>
          <w:divBdr>
            <w:top w:val="none" w:sz="0" w:space="0" w:color="auto"/>
            <w:left w:val="none" w:sz="0" w:space="0" w:color="auto"/>
            <w:bottom w:val="none" w:sz="0" w:space="0" w:color="auto"/>
            <w:right w:val="none" w:sz="0" w:space="0" w:color="auto"/>
          </w:divBdr>
        </w:div>
        <w:div w:id="1494419724">
          <w:marLeft w:val="547"/>
          <w:marRight w:val="0"/>
          <w:marTop w:val="0"/>
          <w:marBottom w:val="0"/>
          <w:divBdr>
            <w:top w:val="none" w:sz="0" w:space="0" w:color="auto"/>
            <w:left w:val="none" w:sz="0" w:space="0" w:color="auto"/>
            <w:bottom w:val="none" w:sz="0" w:space="0" w:color="auto"/>
            <w:right w:val="none" w:sz="0" w:space="0" w:color="auto"/>
          </w:divBdr>
        </w:div>
        <w:div w:id="1553955121">
          <w:marLeft w:val="1267"/>
          <w:marRight w:val="0"/>
          <w:marTop w:val="0"/>
          <w:marBottom w:val="0"/>
          <w:divBdr>
            <w:top w:val="none" w:sz="0" w:space="0" w:color="auto"/>
            <w:left w:val="none" w:sz="0" w:space="0" w:color="auto"/>
            <w:bottom w:val="none" w:sz="0" w:space="0" w:color="auto"/>
            <w:right w:val="none" w:sz="0" w:space="0" w:color="auto"/>
          </w:divBdr>
        </w:div>
      </w:divsChild>
    </w:div>
    <w:div w:id="1922332612">
      <w:bodyDiv w:val="1"/>
      <w:marLeft w:val="0"/>
      <w:marRight w:val="0"/>
      <w:marTop w:val="0"/>
      <w:marBottom w:val="0"/>
      <w:divBdr>
        <w:top w:val="none" w:sz="0" w:space="0" w:color="auto"/>
        <w:left w:val="none" w:sz="0" w:space="0" w:color="auto"/>
        <w:bottom w:val="none" w:sz="0" w:space="0" w:color="auto"/>
        <w:right w:val="none" w:sz="0" w:space="0" w:color="auto"/>
      </w:divBdr>
      <w:divsChild>
        <w:div w:id="13920969">
          <w:marLeft w:val="360"/>
          <w:marRight w:val="0"/>
          <w:marTop w:val="200"/>
          <w:marBottom w:val="0"/>
          <w:divBdr>
            <w:top w:val="none" w:sz="0" w:space="0" w:color="auto"/>
            <w:left w:val="none" w:sz="0" w:space="0" w:color="auto"/>
            <w:bottom w:val="none" w:sz="0" w:space="0" w:color="auto"/>
            <w:right w:val="none" w:sz="0" w:space="0" w:color="auto"/>
          </w:divBdr>
        </w:div>
        <w:div w:id="25296988">
          <w:marLeft w:val="1080"/>
          <w:marRight w:val="0"/>
          <w:marTop w:val="100"/>
          <w:marBottom w:val="0"/>
          <w:divBdr>
            <w:top w:val="none" w:sz="0" w:space="0" w:color="auto"/>
            <w:left w:val="none" w:sz="0" w:space="0" w:color="auto"/>
            <w:bottom w:val="none" w:sz="0" w:space="0" w:color="auto"/>
            <w:right w:val="none" w:sz="0" w:space="0" w:color="auto"/>
          </w:divBdr>
        </w:div>
        <w:div w:id="724718263">
          <w:marLeft w:val="1080"/>
          <w:marRight w:val="0"/>
          <w:marTop w:val="100"/>
          <w:marBottom w:val="0"/>
          <w:divBdr>
            <w:top w:val="none" w:sz="0" w:space="0" w:color="auto"/>
            <w:left w:val="none" w:sz="0" w:space="0" w:color="auto"/>
            <w:bottom w:val="none" w:sz="0" w:space="0" w:color="auto"/>
            <w:right w:val="none" w:sz="0" w:space="0" w:color="auto"/>
          </w:divBdr>
        </w:div>
        <w:div w:id="1157266831">
          <w:marLeft w:val="1080"/>
          <w:marRight w:val="0"/>
          <w:marTop w:val="100"/>
          <w:marBottom w:val="0"/>
          <w:divBdr>
            <w:top w:val="none" w:sz="0" w:space="0" w:color="auto"/>
            <w:left w:val="none" w:sz="0" w:space="0" w:color="auto"/>
            <w:bottom w:val="none" w:sz="0" w:space="0" w:color="auto"/>
            <w:right w:val="none" w:sz="0" w:space="0" w:color="auto"/>
          </w:divBdr>
        </w:div>
        <w:div w:id="1214581053">
          <w:marLeft w:val="1080"/>
          <w:marRight w:val="0"/>
          <w:marTop w:val="100"/>
          <w:marBottom w:val="0"/>
          <w:divBdr>
            <w:top w:val="none" w:sz="0" w:space="0" w:color="auto"/>
            <w:left w:val="none" w:sz="0" w:space="0" w:color="auto"/>
            <w:bottom w:val="none" w:sz="0" w:space="0" w:color="auto"/>
            <w:right w:val="none" w:sz="0" w:space="0" w:color="auto"/>
          </w:divBdr>
        </w:div>
        <w:div w:id="1705785173">
          <w:marLeft w:val="360"/>
          <w:marRight w:val="0"/>
          <w:marTop w:val="200"/>
          <w:marBottom w:val="0"/>
          <w:divBdr>
            <w:top w:val="none" w:sz="0" w:space="0" w:color="auto"/>
            <w:left w:val="none" w:sz="0" w:space="0" w:color="auto"/>
            <w:bottom w:val="none" w:sz="0" w:space="0" w:color="auto"/>
            <w:right w:val="none" w:sz="0" w:space="0" w:color="auto"/>
          </w:divBdr>
        </w:div>
      </w:divsChild>
    </w:div>
    <w:div w:id="1927029830">
      <w:bodyDiv w:val="1"/>
      <w:marLeft w:val="0"/>
      <w:marRight w:val="0"/>
      <w:marTop w:val="0"/>
      <w:marBottom w:val="0"/>
      <w:divBdr>
        <w:top w:val="none" w:sz="0" w:space="0" w:color="auto"/>
        <w:left w:val="none" w:sz="0" w:space="0" w:color="auto"/>
        <w:bottom w:val="none" w:sz="0" w:space="0" w:color="auto"/>
        <w:right w:val="none" w:sz="0" w:space="0" w:color="auto"/>
      </w:divBdr>
    </w:div>
    <w:div w:id="1948124547">
      <w:bodyDiv w:val="1"/>
      <w:marLeft w:val="0"/>
      <w:marRight w:val="0"/>
      <w:marTop w:val="0"/>
      <w:marBottom w:val="0"/>
      <w:divBdr>
        <w:top w:val="none" w:sz="0" w:space="0" w:color="auto"/>
        <w:left w:val="none" w:sz="0" w:space="0" w:color="auto"/>
        <w:bottom w:val="none" w:sz="0" w:space="0" w:color="auto"/>
        <w:right w:val="none" w:sz="0" w:space="0" w:color="auto"/>
      </w:divBdr>
      <w:divsChild>
        <w:div w:id="648636779">
          <w:marLeft w:val="1080"/>
          <w:marRight w:val="0"/>
          <w:marTop w:val="96"/>
          <w:marBottom w:val="0"/>
          <w:divBdr>
            <w:top w:val="none" w:sz="0" w:space="0" w:color="auto"/>
            <w:left w:val="none" w:sz="0" w:space="0" w:color="auto"/>
            <w:bottom w:val="none" w:sz="0" w:space="0" w:color="auto"/>
            <w:right w:val="none" w:sz="0" w:space="0" w:color="auto"/>
          </w:divBdr>
        </w:div>
        <w:div w:id="719982136">
          <w:marLeft w:val="1886"/>
          <w:marRight w:val="0"/>
          <w:marTop w:val="96"/>
          <w:marBottom w:val="0"/>
          <w:divBdr>
            <w:top w:val="none" w:sz="0" w:space="0" w:color="auto"/>
            <w:left w:val="none" w:sz="0" w:space="0" w:color="auto"/>
            <w:bottom w:val="none" w:sz="0" w:space="0" w:color="auto"/>
            <w:right w:val="none" w:sz="0" w:space="0" w:color="auto"/>
          </w:divBdr>
        </w:div>
        <w:div w:id="832795089">
          <w:marLeft w:val="1886"/>
          <w:marRight w:val="0"/>
          <w:marTop w:val="96"/>
          <w:marBottom w:val="0"/>
          <w:divBdr>
            <w:top w:val="none" w:sz="0" w:space="0" w:color="auto"/>
            <w:left w:val="none" w:sz="0" w:space="0" w:color="auto"/>
            <w:bottom w:val="none" w:sz="0" w:space="0" w:color="auto"/>
            <w:right w:val="none" w:sz="0" w:space="0" w:color="auto"/>
          </w:divBdr>
        </w:div>
        <w:div w:id="1492483349">
          <w:marLeft w:val="1886"/>
          <w:marRight w:val="0"/>
          <w:marTop w:val="96"/>
          <w:marBottom w:val="0"/>
          <w:divBdr>
            <w:top w:val="none" w:sz="0" w:space="0" w:color="auto"/>
            <w:left w:val="none" w:sz="0" w:space="0" w:color="auto"/>
            <w:bottom w:val="none" w:sz="0" w:space="0" w:color="auto"/>
            <w:right w:val="none" w:sz="0" w:space="0" w:color="auto"/>
          </w:divBdr>
        </w:div>
      </w:divsChild>
    </w:div>
    <w:div w:id="1972320362">
      <w:bodyDiv w:val="1"/>
      <w:marLeft w:val="0"/>
      <w:marRight w:val="0"/>
      <w:marTop w:val="0"/>
      <w:marBottom w:val="0"/>
      <w:divBdr>
        <w:top w:val="none" w:sz="0" w:space="0" w:color="auto"/>
        <w:left w:val="none" w:sz="0" w:space="0" w:color="auto"/>
        <w:bottom w:val="none" w:sz="0" w:space="0" w:color="auto"/>
        <w:right w:val="none" w:sz="0" w:space="0" w:color="auto"/>
      </w:divBdr>
      <w:divsChild>
        <w:div w:id="972293422">
          <w:marLeft w:val="547"/>
          <w:marRight w:val="0"/>
          <w:marTop w:val="0"/>
          <w:marBottom w:val="0"/>
          <w:divBdr>
            <w:top w:val="none" w:sz="0" w:space="0" w:color="auto"/>
            <w:left w:val="none" w:sz="0" w:space="0" w:color="auto"/>
            <w:bottom w:val="none" w:sz="0" w:space="0" w:color="auto"/>
            <w:right w:val="none" w:sz="0" w:space="0" w:color="auto"/>
          </w:divBdr>
        </w:div>
        <w:div w:id="2005933091">
          <w:marLeft w:val="547"/>
          <w:marRight w:val="0"/>
          <w:marTop w:val="0"/>
          <w:marBottom w:val="0"/>
          <w:divBdr>
            <w:top w:val="none" w:sz="0" w:space="0" w:color="auto"/>
            <w:left w:val="none" w:sz="0" w:space="0" w:color="auto"/>
            <w:bottom w:val="none" w:sz="0" w:space="0" w:color="auto"/>
            <w:right w:val="none" w:sz="0" w:space="0" w:color="auto"/>
          </w:divBdr>
        </w:div>
      </w:divsChild>
    </w:div>
    <w:div w:id="1978490343">
      <w:bodyDiv w:val="1"/>
      <w:marLeft w:val="0"/>
      <w:marRight w:val="0"/>
      <w:marTop w:val="0"/>
      <w:marBottom w:val="0"/>
      <w:divBdr>
        <w:top w:val="none" w:sz="0" w:space="0" w:color="auto"/>
        <w:left w:val="none" w:sz="0" w:space="0" w:color="auto"/>
        <w:bottom w:val="none" w:sz="0" w:space="0" w:color="auto"/>
        <w:right w:val="none" w:sz="0" w:space="0" w:color="auto"/>
      </w:divBdr>
      <w:divsChild>
        <w:div w:id="33385399">
          <w:marLeft w:val="1800"/>
          <w:marRight w:val="0"/>
          <w:marTop w:val="100"/>
          <w:marBottom w:val="0"/>
          <w:divBdr>
            <w:top w:val="none" w:sz="0" w:space="0" w:color="auto"/>
            <w:left w:val="none" w:sz="0" w:space="0" w:color="auto"/>
            <w:bottom w:val="none" w:sz="0" w:space="0" w:color="auto"/>
            <w:right w:val="none" w:sz="0" w:space="0" w:color="auto"/>
          </w:divBdr>
        </w:div>
        <w:div w:id="119224481">
          <w:marLeft w:val="1800"/>
          <w:marRight w:val="0"/>
          <w:marTop w:val="100"/>
          <w:marBottom w:val="0"/>
          <w:divBdr>
            <w:top w:val="none" w:sz="0" w:space="0" w:color="auto"/>
            <w:left w:val="none" w:sz="0" w:space="0" w:color="auto"/>
            <w:bottom w:val="none" w:sz="0" w:space="0" w:color="auto"/>
            <w:right w:val="none" w:sz="0" w:space="0" w:color="auto"/>
          </w:divBdr>
        </w:div>
        <w:div w:id="178736958">
          <w:marLeft w:val="1800"/>
          <w:marRight w:val="0"/>
          <w:marTop w:val="100"/>
          <w:marBottom w:val="0"/>
          <w:divBdr>
            <w:top w:val="none" w:sz="0" w:space="0" w:color="auto"/>
            <w:left w:val="none" w:sz="0" w:space="0" w:color="auto"/>
            <w:bottom w:val="none" w:sz="0" w:space="0" w:color="auto"/>
            <w:right w:val="none" w:sz="0" w:space="0" w:color="auto"/>
          </w:divBdr>
        </w:div>
        <w:div w:id="258029052">
          <w:marLeft w:val="1080"/>
          <w:marRight w:val="0"/>
          <w:marTop w:val="100"/>
          <w:marBottom w:val="0"/>
          <w:divBdr>
            <w:top w:val="none" w:sz="0" w:space="0" w:color="auto"/>
            <w:left w:val="none" w:sz="0" w:space="0" w:color="auto"/>
            <w:bottom w:val="none" w:sz="0" w:space="0" w:color="auto"/>
            <w:right w:val="none" w:sz="0" w:space="0" w:color="auto"/>
          </w:divBdr>
        </w:div>
        <w:div w:id="311956939">
          <w:marLeft w:val="1800"/>
          <w:marRight w:val="0"/>
          <w:marTop w:val="100"/>
          <w:marBottom w:val="0"/>
          <w:divBdr>
            <w:top w:val="none" w:sz="0" w:space="0" w:color="auto"/>
            <w:left w:val="none" w:sz="0" w:space="0" w:color="auto"/>
            <w:bottom w:val="none" w:sz="0" w:space="0" w:color="auto"/>
            <w:right w:val="none" w:sz="0" w:space="0" w:color="auto"/>
          </w:divBdr>
        </w:div>
        <w:div w:id="477234699">
          <w:marLeft w:val="1080"/>
          <w:marRight w:val="0"/>
          <w:marTop w:val="100"/>
          <w:marBottom w:val="0"/>
          <w:divBdr>
            <w:top w:val="none" w:sz="0" w:space="0" w:color="auto"/>
            <w:left w:val="none" w:sz="0" w:space="0" w:color="auto"/>
            <w:bottom w:val="none" w:sz="0" w:space="0" w:color="auto"/>
            <w:right w:val="none" w:sz="0" w:space="0" w:color="auto"/>
          </w:divBdr>
        </w:div>
        <w:div w:id="673918015">
          <w:marLeft w:val="1800"/>
          <w:marRight w:val="0"/>
          <w:marTop w:val="100"/>
          <w:marBottom w:val="0"/>
          <w:divBdr>
            <w:top w:val="none" w:sz="0" w:space="0" w:color="auto"/>
            <w:left w:val="none" w:sz="0" w:space="0" w:color="auto"/>
            <w:bottom w:val="none" w:sz="0" w:space="0" w:color="auto"/>
            <w:right w:val="none" w:sz="0" w:space="0" w:color="auto"/>
          </w:divBdr>
        </w:div>
        <w:div w:id="825164864">
          <w:marLeft w:val="1080"/>
          <w:marRight w:val="0"/>
          <w:marTop w:val="100"/>
          <w:marBottom w:val="0"/>
          <w:divBdr>
            <w:top w:val="none" w:sz="0" w:space="0" w:color="auto"/>
            <w:left w:val="none" w:sz="0" w:space="0" w:color="auto"/>
            <w:bottom w:val="none" w:sz="0" w:space="0" w:color="auto"/>
            <w:right w:val="none" w:sz="0" w:space="0" w:color="auto"/>
          </w:divBdr>
        </w:div>
        <w:div w:id="1117792386">
          <w:marLeft w:val="360"/>
          <w:marRight w:val="0"/>
          <w:marTop w:val="200"/>
          <w:marBottom w:val="0"/>
          <w:divBdr>
            <w:top w:val="none" w:sz="0" w:space="0" w:color="auto"/>
            <w:left w:val="none" w:sz="0" w:space="0" w:color="auto"/>
            <w:bottom w:val="none" w:sz="0" w:space="0" w:color="auto"/>
            <w:right w:val="none" w:sz="0" w:space="0" w:color="auto"/>
          </w:divBdr>
        </w:div>
        <w:div w:id="1419252918">
          <w:marLeft w:val="1080"/>
          <w:marRight w:val="0"/>
          <w:marTop w:val="100"/>
          <w:marBottom w:val="0"/>
          <w:divBdr>
            <w:top w:val="none" w:sz="0" w:space="0" w:color="auto"/>
            <w:left w:val="none" w:sz="0" w:space="0" w:color="auto"/>
            <w:bottom w:val="none" w:sz="0" w:space="0" w:color="auto"/>
            <w:right w:val="none" w:sz="0" w:space="0" w:color="auto"/>
          </w:divBdr>
        </w:div>
        <w:div w:id="1701323619">
          <w:marLeft w:val="1080"/>
          <w:marRight w:val="0"/>
          <w:marTop w:val="100"/>
          <w:marBottom w:val="0"/>
          <w:divBdr>
            <w:top w:val="none" w:sz="0" w:space="0" w:color="auto"/>
            <w:left w:val="none" w:sz="0" w:space="0" w:color="auto"/>
            <w:bottom w:val="none" w:sz="0" w:space="0" w:color="auto"/>
            <w:right w:val="none" w:sz="0" w:space="0" w:color="auto"/>
          </w:divBdr>
        </w:div>
        <w:div w:id="1814179653">
          <w:marLeft w:val="1800"/>
          <w:marRight w:val="0"/>
          <w:marTop w:val="100"/>
          <w:marBottom w:val="0"/>
          <w:divBdr>
            <w:top w:val="none" w:sz="0" w:space="0" w:color="auto"/>
            <w:left w:val="none" w:sz="0" w:space="0" w:color="auto"/>
            <w:bottom w:val="none" w:sz="0" w:space="0" w:color="auto"/>
            <w:right w:val="none" w:sz="0" w:space="0" w:color="auto"/>
          </w:divBdr>
        </w:div>
        <w:div w:id="1845898998">
          <w:marLeft w:val="360"/>
          <w:marRight w:val="0"/>
          <w:marTop w:val="200"/>
          <w:marBottom w:val="0"/>
          <w:divBdr>
            <w:top w:val="none" w:sz="0" w:space="0" w:color="auto"/>
            <w:left w:val="none" w:sz="0" w:space="0" w:color="auto"/>
            <w:bottom w:val="none" w:sz="0" w:space="0" w:color="auto"/>
            <w:right w:val="none" w:sz="0" w:space="0" w:color="auto"/>
          </w:divBdr>
        </w:div>
        <w:div w:id="1988894757">
          <w:marLeft w:val="1080"/>
          <w:marRight w:val="0"/>
          <w:marTop w:val="100"/>
          <w:marBottom w:val="0"/>
          <w:divBdr>
            <w:top w:val="none" w:sz="0" w:space="0" w:color="auto"/>
            <w:left w:val="none" w:sz="0" w:space="0" w:color="auto"/>
            <w:bottom w:val="none" w:sz="0" w:space="0" w:color="auto"/>
            <w:right w:val="none" w:sz="0" w:space="0" w:color="auto"/>
          </w:divBdr>
        </w:div>
      </w:divsChild>
    </w:div>
    <w:div w:id="1983267481">
      <w:bodyDiv w:val="1"/>
      <w:marLeft w:val="0"/>
      <w:marRight w:val="0"/>
      <w:marTop w:val="0"/>
      <w:marBottom w:val="0"/>
      <w:divBdr>
        <w:top w:val="none" w:sz="0" w:space="0" w:color="auto"/>
        <w:left w:val="none" w:sz="0" w:space="0" w:color="auto"/>
        <w:bottom w:val="none" w:sz="0" w:space="0" w:color="auto"/>
        <w:right w:val="none" w:sz="0" w:space="0" w:color="auto"/>
      </w:divBdr>
      <w:divsChild>
        <w:div w:id="203447005">
          <w:marLeft w:val="360"/>
          <w:marRight w:val="0"/>
          <w:marTop w:val="200"/>
          <w:marBottom w:val="0"/>
          <w:divBdr>
            <w:top w:val="none" w:sz="0" w:space="0" w:color="auto"/>
            <w:left w:val="none" w:sz="0" w:space="0" w:color="auto"/>
            <w:bottom w:val="none" w:sz="0" w:space="0" w:color="auto"/>
            <w:right w:val="none" w:sz="0" w:space="0" w:color="auto"/>
          </w:divBdr>
        </w:div>
        <w:div w:id="633290475">
          <w:marLeft w:val="1080"/>
          <w:marRight w:val="0"/>
          <w:marTop w:val="100"/>
          <w:marBottom w:val="0"/>
          <w:divBdr>
            <w:top w:val="none" w:sz="0" w:space="0" w:color="auto"/>
            <w:left w:val="none" w:sz="0" w:space="0" w:color="auto"/>
            <w:bottom w:val="none" w:sz="0" w:space="0" w:color="auto"/>
            <w:right w:val="none" w:sz="0" w:space="0" w:color="auto"/>
          </w:divBdr>
        </w:div>
        <w:div w:id="673459756">
          <w:marLeft w:val="1080"/>
          <w:marRight w:val="0"/>
          <w:marTop w:val="100"/>
          <w:marBottom w:val="0"/>
          <w:divBdr>
            <w:top w:val="none" w:sz="0" w:space="0" w:color="auto"/>
            <w:left w:val="none" w:sz="0" w:space="0" w:color="auto"/>
            <w:bottom w:val="none" w:sz="0" w:space="0" w:color="auto"/>
            <w:right w:val="none" w:sz="0" w:space="0" w:color="auto"/>
          </w:divBdr>
        </w:div>
        <w:div w:id="763112778">
          <w:marLeft w:val="360"/>
          <w:marRight w:val="0"/>
          <w:marTop w:val="200"/>
          <w:marBottom w:val="0"/>
          <w:divBdr>
            <w:top w:val="none" w:sz="0" w:space="0" w:color="auto"/>
            <w:left w:val="none" w:sz="0" w:space="0" w:color="auto"/>
            <w:bottom w:val="none" w:sz="0" w:space="0" w:color="auto"/>
            <w:right w:val="none" w:sz="0" w:space="0" w:color="auto"/>
          </w:divBdr>
        </w:div>
        <w:div w:id="1196042191">
          <w:marLeft w:val="1080"/>
          <w:marRight w:val="0"/>
          <w:marTop w:val="100"/>
          <w:marBottom w:val="0"/>
          <w:divBdr>
            <w:top w:val="none" w:sz="0" w:space="0" w:color="auto"/>
            <w:left w:val="none" w:sz="0" w:space="0" w:color="auto"/>
            <w:bottom w:val="none" w:sz="0" w:space="0" w:color="auto"/>
            <w:right w:val="none" w:sz="0" w:space="0" w:color="auto"/>
          </w:divBdr>
        </w:div>
        <w:div w:id="1321151708">
          <w:marLeft w:val="1080"/>
          <w:marRight w:val="0"/>
          <w:marTop w:val="100"/>
          <w:marBottom w:val="0"/>
          <w:divBdr>
            <w:top w:val="none" w:sz="0" w:space="0" w:color="auto"/>
            <w:left w:val="none" w:sz="0" w:space="0" w:color="auto"/>
            <w:bottom w:val="none" w:sz="0" w:space="0" w:color="auto"/>
            <w:right w:val="none" w:sz="0" w:space="0" w:color="auto"/>
          </w:divBdr>
        </w:div>
      </w:divsChild>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9087490">
      <w:bodyDiv w:val="1"/>
      <w:marLeft w:val="0"/>
      <w:marRight w:val="0"/>
      <w:marTop w:val="0"/>
      <w:marBottom w:val="0"/>
      <w:divBdr>
        <w:top w:val="none" w:sz="0" w:space="0" w:color="auto"/>
        <w:left w:val="none" w:sz="0" w:space="0" w:color="auto"/>
        <w:bottom w:val="none" w:sz="0" w:space="0" w:color="auto"/>
        <w:right w:val="none" w:sz="0" w:space="0" w:color="auto"/>
      </w:divBdr>
    </w:div>
    <w:div w:id="2104760285">
      <w:bodyDiv w:val="1"/>
      <w:marLeft w:val="0"/>
      <w:marRight w:val="0"/>
      <w:marTop w:val="0"/>
      <w:marBottom w:val="0"/>
      <w:divBdr>
        <w:top w:val="none" w:sz="0" w:space="0" w:color="auto"/>
        <w:left w:val="none" w:sz="0" w:space="0" w:color="auto"/>
        <w:bottom w:val="none" w:sz="0" w:space="0" w:color="auto"/>
        <w:right w:val="none" w:sz="0" w:space="0" w:color="auto"/>
      </w:divBdr>
    </w:div>
    <w:div w:id="211131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79422A-CF64-4DFB-A0EE-5EB829EFB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3331</Words>
  <Characters>18989</Characters>
  <Application>Microsoft Office Word</Application>
  <DocSecurity>0</DocSecurity>
  <Lines>158</Lines>
  <Paragraphs>44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22276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LGE</cp:lastModifiedBy>
  <cp:revision>2</cp:revision>
  <cp:lastPrinted>2013-04-01T03:20:00Z</cp:lastPrinted>
  <dcterms:created xsi:type="dcterms:W3CDTF">2026-01-30T08:00:00Z</dcterms:created>
  <dcterms:modified xsi:type="dcterms:W3CDTF">2026-01-30T08:00:00Z</dcterms:modified>
</cp:coreProperties>
</file>