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161D78" w:rsidP="00616E35">
      <w:pPr>
        <w:pStyle w:val="Doc-title"/>
      </w:pPr>
      <w:hyperlink r:id="rId10" w:history="1">
        <w:r w:rsidR="00616E35" w:rsidRPr="00113699">
          <w:rPr>
            <w:rStyle w:val="Hyperlink"/>
          </w:rPr>
          <w:t>R2-2506049</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w:t>
      </w:r>
      <w:r w:rsidR="00616E35">
        <w:tab/>
        <w:t>discussion</w:t>
      </w:r>
      <w:r w:rsidR="00616E35">
        <w:tab/>
        <w:t>Rel-19</w:t>
      </w:r>
      <w:r w:rsidR="00616E35">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161D78" w:rsidP="00616E35">
      <w:pPr>
        <w:pStyle w:val="Doc-title"/>
      </w:pPr>
      <w:hyperlink r:id="rId12" w:history="1">
        <w:r w:rsidR="00616E35" w:rsidRPr="00113699">
          <w:rPr>
            <w:rStyle w:val="Hyperlink"/>
          </w:rPr>
          <w:t>R2-2506198</w:t>
        </w:r>
      </w:hyperlink>
      <w:r w:rsidR="00616E35">
        <w:tab/>
        <w:t>Discussion on UE assistance information for cell DTX/DRX</w:t>
      </w:r>
      <w:r w:rsidR="00616E35">
        <w:tab/>
        <w:t>Huawei, HiSilicon, China Telecom, NTT DOCOMO, Deutsche Telekom, KT Corporation, LG Uplus, Orange, Turkcell, SK Telecom, China Unicom, CMCC, Sharp, TCL, HONOR, ZTE Corporation, Sanechips, Google, Fraunhofer IIS, Fraunhofer HHI, CEWiT, CAICT, Apple, OPPO, CATT, TIM</w:t>
      </w:r>
      <w:r w:rsidR="00616E35">
        <w:tab/>
        <w:t>discussion</w:t>
      </w:r>
      <w:r w:rsidR="00616E35">
        <w:tab/>
        <w:t>Rel-19</w:t>
      </w:r>
      <w:r w:rsidR="00616E35">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575282CE" w14:textId="77777777" w:rsidR="00280A70"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BodyText"/>
              <w:keepNext/>
              <w:rPr>
                <w:bCs/>
                <w:lang w:val="en-US"/>
              </w:rPr>
            </w:pPr>
          </w:p>
          <w:p w14:paraId="18E1471E" w14:textId="77777777" w:rsidR="00DA7B79" w:rsidRDefault="00DA7B79" w:rsidP="00280A70">
            <w:pPr>
              <w:pStyle w:val="BodyText"/>
              <w:keepNext/>
              <w:rPr>
                <w:bCs/>
                <w:lang w:val="en-US"/>
              </w:rPr>
            </w:pPr>
            <w:r>
              <w:rPr>
                <w:bCs/>
                <w:lang w:val="en-US"/>
              </w:rPr>
              <w:t>[Updated comments]</w:t>
            </w:r>
          </w:p>
          <w:p w14:paraId="2F456378" w14:textId="634072FC" w:rsidR="00DA7B79" w:rsidRPr="00D45311" w:rsidRDefault="00DA7B79" w:rsidP="00280A70">
            <w:pPr>
              <w:pStyle w:val="BodyText"/>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BodyText"/>
              <w:keepNext/>
              <w:rPr>
                <w:bCs/>
                <w:lang w:val="en-US"/>
              </w:rPr>
            </w:pPr>
            <w:r>
              <w:rPr>
                <w:bCs/>
                <w:lang w:val="en-US"/>
              </w:rPr>
              <w:lastRenderedPageBreak/>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 xml:space="preserve">And if this is the case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 xml:space="preserve">First, we would agree that the UE capability is beneficial, as it would enable NW to know if the UE has been able to take into account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r>
              <w:t>behavior</w:t>
            </w:r>
            <w:proofErr w:type="spell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 xml:space="preserve">We are OK with the </w:t>
            </w:r>
            <w:proofErr w:type="spellStart"/>
            <w:r>
              <w:rPr>
                <w:rFonts w:eastAsia="DengXian" w:hint="eastAsia"/>
                <w:bCs/>
                <w:lang w:val="en-US"/>
              </w:rPr>
              <w:t>CR.we</w:t>
            </w:r>
            <w:proofErr w:type="spell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BodyText"/>
              <w:keepNext/>
              <w:rPr>
                <w:bCs/>
                <w:lang w:val="en-US"/>
              </w:rPr>
            </w:pPr>
            <w:r>
              <w:rPr>
                <w:bCs/>
                <w:lang w:val="en-US"/>
              </w:rPr>
              <w:lastRenderedPageBreak/>
              <w:t>BT_2</w:t>
            </w:r>
          </w:p>
        </w:tc>
        <w:tc>
          <w:tcPr>
            <w:tcW w:w="6525" w:type="dxa"/>
          </w:tcPr>
          <w:p w14:paraId="5568C382" w14:textId="68D51B44"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BodyText"/>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 xml:space="preserve">The current CR goes too far beyond what was agreed. We should respect the conclusion, and we suggest to only have the following note in 5.7.4.3 and </w:t>
            </w:r>
            <w:proofErr w:type="spellStart"/>
            <w:r>
              <w:rPr>
                <w:rFonts w:eastAsia="DengXian" w:hint="eastAsia"/>
                <w:bCs/>
                <w:lang w:val="en-US"/>
              </w:rPr>
              <w:t>romove</w:t>
            </w:r>
            <w:proofErr w:type="spellEnd"/>
            <w:r>
              <w:rPr>
                <w:rFonts w:eastAsia="DengXian" w:hint="eastAsia"/>
                <w:bCs/>
                <w:lang w:val="en-US"/>
              </w:rPr>
              <w:t xml:space="preser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BodyText"/>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proofErr w:type="spellStart"/>
            <w:r w:rsidRPr="004640FA">
              <w:rPr>
                <w:rFonts w:eastAsia="DengXian"/>
                <w:bCs/>
                <w:i/>
                <w:color w:val="0070C0"/>
                <w:lang w:val="x-none"/>
              </w:rPr>
              <w:t>drx</w:t>
            </w:r>
            <w:proofErr w:type="spellEnd"/>
            <w:r w:rsidRPr="004640FA">
              <w:rPr>
                <w:rFonts w:eastAsia="DengXian"/>
                <w:bCs/>
                <w:i/>
                <w:color w:val="0070C0"/>
                <w:lang w:val="x-none"/>
              </w:rPr>
              <w:t>-Preference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 xml:space="preserve">for preference of </w:t>
            </w:r>
            <w:proofErr w:type="spellStart"/>
            <w:r w:rsidRPr="00B80D9A">
              <w:rPr>
                <w:rFonts w:eastAsia="DengXian"/>
                <w:bCs/>
                <w:color w:val="0070C0"/>
                <w:highlight w:val="yellow"/>
                <w:lang w:val="x-none"/>
              </w:rPr>
              <w:t>cellDTX</w:t>
            </w:r>
            <w:proofErr w:type="spellEnd"/>
            <w:r w:rsidRPr="00B80D9A">
              <w:rPr>
                <w:rFonts w:eastAsia="DengXian"/>
                <w:bCs/>
                <w:color w:val="0070C0"/>
                <w:highlight w:val="yellow"/>
                <w:lang w:val="x-none"/>
              </w:rPr>
              <w:t>-DRX-Cycle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877E36B" w14:textId="77777777" w:rsidR="00397140" w:rsidRDefault="00397140" w:rsidP="00397140">
            <w:pPr>
              <w:pStyle w:val="BodyText"/>
              <w:keepNext/>
              <w:rPr>
                <w:bCs/>
                <w:lang w:val="en-US"/>
              </w:rPr>
            </w:pPr>
            <w:r>
              <w:rPr>
                <w:bCs/>
                <w:lang w:val="en-US"/>
              </w:rPr>
              <w:lastRenderedPageBreak/>
              <w:t>On the “and” “or” issue:</w:t>
            </w:r>
          </w:p>
          <w:p w14:paraId="1A5C5511" w14:textId="77777777" w:rsidR="00397140" w:rsidRDefault="00397140" w:rsidP="00397140">
            <w:pPr>
              <w:pStyle w:val="BodyText"/>
              <w:keepNext/>
              <w:rPr>
                <w:bCs/>
                <w:lang w:val="en-US"/>
              </w:rPr>
            </w:pPr>
            <w:r>
              <w:rPr>
                <w:bCs/>
                <w:lang w:val="en-US"/>
              </w:rPr>
              <w:t xml:space="preserve">Please note that there is </w:t>
            </w:r>
            <w:r w:rsidRPr="005F7AEF">
              <w:rPr>
                <w:bCs/>
                <w:lang w:val="en-US"/>
              </w:rPr>
              <w:t>single configuration</w:t>
            </w:r>
            <w:r>
              <w:rPr>
                <w:bCs/>
                <w:lang w:val="en-US"/>
              </w:rPr>
              <w:t xml:space="preserve"> (</w:t>
            </w:r>
            <w:proofErr w:type="spellStart"/>
            <w:r w:rsidRPr="005F7AEF">
              <w:rPr>
                <w:bCs/>
                <w:i/>
                <w:lang w:val="en-US"/>
              </w:rPr>
              <w:t>drx-PreferenceConfig</w:t>
            </w:r>
            <w:proofErr w:type="spellEnd"/>
            <w:r>
              <w:rPr>
                <w:bCs/>
                <w:lang w:val="en-US"/>
              </w:rPr>
              <w:t>)</w:t>
            </w:r>
            <w:r w:rsidRPr="005F7AEF">
              <w:rPr>
                <w:bCs/>
                <w:lang w:val="en-US"/>
              </w:rPr>
              <w:t xml:space="preserve"> in </w:t>
            </w:r>
            <w:proofErr w:type="spellStart"/>
            <w:r w:rsidRPr="005F7AEF">
              <w:rPr>
                <w:bCs/>
                <w:i/>
                <w:lang w:val="en-US"/>
              </w:rPr>
              <w:t>otherConfig</w:t>
            </w:r>
            <w:proofErr w:type="spellEnd"/>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BodyText"/>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BodyText"/>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BodyText"/>
              <w:keepNext/>
              <w:rPr>
                <w:bCs/>
                <w:lang w:val="en-US"/>
              </w:rPr>
            </w:pPr>
          </w:p>
          <w:p w14:paraId="549D9D8E" w14:textId="77777777" w:rsidR="00397140" w:rsidRDefault="00397140" w:rsidP="00397140">
            <w:pPr>
              <w:pStyle w:val="BodyText"/>
              <w:keepNext/>
              <w:rPr>
                <w:bCs/>
                <w:lang w:val="en-US"/>
              </w:rPr>
            </w:pPr>
            <w:r>
              <w:rPr>
                <w:bCs/>
                <w:lang w:val="en-US"/>
              </w:rPr>
              <w:t xml:space="preserve">On </w:t>
            </w:r>
            <w:proofErr w:type="spellStart"/>
            <w:r w:rsidRPr="009213DD">
              <w:rPr>
                <w:bCs/>
                <w:i/>
                <w:lang w:val="en-US"/>
              </w:rPr>
              <w:t>cellDTX</w:t>
            </w:r>
            <w:proofErr w:type="spellEnd"/>
            <w:r w:rsidRPr="009213DD">
              <w:rPr>
                <w:bCs/>
                <w:i/>
                <w:lang w:val="en-US"/>
              </w:rPr>
              <w:t>-DRX-Cycle</w:t>
            </w:r>
            <w:r>
              <w:rPr>
                <w:bCs/>
                <w:lang w:val="en-US"/>
              </w:rPr>
              <w:t>:</w:t>
            </w:r>
          </w:p>
          <w:p w14:paraId="3DB2360A" w14:textId="77777777" w:rsidR="00397140" w:rsidRDefault="00397140" w:rsidP="00397140">
            <w:pPr>
              <w:pStyle w:val="BodyText"/>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BodyText"/>
              <w:keepNext/>
              <w:rPr>
                <w:bCs/>
                <w:lang w:val="en-US"/>
              </w:rPr>
            </w:pPr>
            <w:r>
              <w:rPr>
                <w:bCs/>
                <w:lang w:val="en-US"/>
              </w:rPr>
              <w:t xml:space="preserve">If </w:t>
            </w:r>
            <w:proofErr w:type="spellStart"/>
            <w:r w:rsidRPr="009213DD">
              <w:rPr>
                <w:bCs/>
                <w:i/>
                <w:lang w:val="en-US"/>
              </w:rPr>
              <w:t>cellDTX</w:t>
            </w:r>
            <w:proofErr w:type="spellEnd"/>
            <w:r w:rsidRPr="009213DD">
              <w:rPr>
                <w:bCs/>
                <w:i/>
                <w:lang w:val="en-US"/>
              </w:rPr>
              <w:t>-DRX-Cycle</w:t>
            </w:r>
            <w:r>
              <w:rPr>
                <w:bCs/>
                <w:lang w:val="en-US"/>
              </w:rPr>
              <w:t xml:space="preserve"> becomes unsuitable, UE should trigger the reporting.</w:t>
            </w:r>
          </w:p>
          <w:p w14:paraId="6D5D32E1" w14:textId="77777777" w:rsidR="00397140" w:rsidRDefault="00397140" w:rsidP="00397140">
            <w:pPr>
              <w:pStyle w:val="BodyText"/>
              <w:keepNext/>
              <w:rPr>
                <w:bCs/>
                <w:lang w:val="en-US"/>
              </w:rPr>
            </w:pPr>
          </w:p>
          <w:p w14:paraId="2B75CA6A" w14:textId="77777777" w:rsidR="00397140" w:rsidRDefault="00397140" w:rsidP="00397140">
            <w:pPr>
              <w:pStyle w:val="BodyText"/>
              <w:keepNext/>
              <w:rPr>
                <w:bCs/>
                <w:lang w:val="en-US"/>
              </w:rPr>
            </w:pPr>
            <w:r>
              <w:rPr>
                <w:bCs/>
                <w:lang w:val="en-US"/>
              </w:rPr>
              <w:t>On UE capability:</w:t>
            </w:r>
          </w:p>
          <w:p w14:paraId="2BEAFC3F" w14:textId="60E314E7" w:rsidR="00690F00" w:rsidRPr="00D45311" w:rsidRDefault="00397140" w:rsidP="00397140">
            <w:pPr>
              <w:pStyle w:val="BodyText"/>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BodyText"/>
              <w:keepNext/>
              <w:rPr>
                <w:rFonts w:eastAsia="DengXian"/>
                <w:bCs/>
                <w:lang w:val="en-US"/>
              </w:rPr>
            </w:pPr>
            <w:proofErr w:type="spellStart"/>
            <w:r>
              <w:rPr>
                <w:rFonts w:eastAsia="DengXian"/>
                <w:bCs/>
                <w:lang w:val="en-US"/>
              </w:rPr>
              <w:t>InterDigital</w:t>
            </w:r>
            <w:proofErr w:type="spellEnd"/>
          </w:p>
        </w:tc>
        <w:tc>
          <w:tcPr>
            <w:tcW w:w="6525" w:type="dxa"/>
          </w:tcPr>
          <w:p w14:paraId="1B629DF8" w14:textId="1B1F110B" w:rsidR="00667FF5" w:rsidRPr="00E62EE2" w:rsidRDefault="00667FF5" w:rsidP="00667FF5">
            <w:pPr>
              <w:pStyle w:val="BodyText"/>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in light of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BodyText"/>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BodyText"/>
              <w:keepNext/>
              <w:rPr>
                <w:rFonts w:eastAsia="SimSun"/>
              </w:rPr>
            </w:pPr>
            <w:r w:rsidRPr="0041120B">
              <w:rPr>
                <w:rFonts w:eastAsia="SimSun"/>
              </w:rPr>
              <w:t>We agree with the current version of CR.</w:t>
            </w:r>
          </w:p>
          <w:p w14:paraId="7A178672" w14:textId="449ACB93" w:rsidR="0041120B" w:rsidRDefault="0041120B" w:rsidP="0041120B">
            <w:pPr>
              <w:pStyle w:val="BodyText"/>
              <w:keepNext/>
              <w:rPr>
                <w:rFonts w:eastAsia="SimSun"/>
              </w:rPr>
            </w:pPr>
            <w:r w:rsidRPr="0041120B">
              <w:rPr>
                <w:rFonts w:eastAsia="SimSun"/>
              </w:rPr>
              <w:t xml:space="preserve">We also think, without the procedural text, a UE is supposed to never report its preference of cell DTX. From operators' perspective, it is beneficial to define clearer UE </w:t>
            </w:r>
            <w:proofErr w:type="spellStart"/>
            <w:r w:rsidRPr="0041120B">
              <w:rPr>
                <w:rFonts w:eastAsia="SimSun"/>
              </w:rPr>
              <w:t>behavior</w:t>
            </w:r>
            <w:proofErr w:type="spellEnd"/>
            <w:r w:rsidRPr="0041120B">
              <w:rPr>
                <w:rFonts w:eastAsia="SimSun"/>
              </w:rPr>
              <w:t>.</w:t>
            </w:r>
          </w:p>
        </w:tc>
        <w:tc>
          <w:tcPr>
            <w:tcW w:w="6804" w:type="dxa"/>
          </w:tcPr>
          <w:p w14:paraId="738DBD9F" w14:textId="77777777" w:rsidR="0041120B" w:rsidRPr="00D45311" w:rsidRDefault="0041120B" w:rsidP="00690F00">
            <w:pPr>
              <w:pStyle w:val="BodyText"/>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BodyText"/>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BodyText"/>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A95D" w14:textId="77777777" w:rsidR="00161D78" w:rsidRDefault="00161D78">
      <w:pPr>
        <w:spacing w:after="0"/>
      </w:pPr>
      <w:r>
        <w:separator/>
      </w:r>
    </w:p>
  </w:endnote>
  <w:endnote w:type="continuationSeparator" w:id="0">
    <w:p w14:paraId="159FA70C" w14:textId="77777777" w:rsidR="00161D78" w:rsidRDefault="00161D78">
      <w:pPr>
        <w:spacing w:after="0"/>
      </w:pPr>
      <w:r>
        <w:continuationSeparator/>
      </w:r>
    </w:p>
  </w:endnote>
  <w:endnote w:type="continuationNotice" w:id="1">
    <w:p w14:paraId="0782F5D5" w14:textId="77777777" w:rsidR="00161D78" w:rsidRDefault="00161D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FF5C" w14:textId="77777777" w:rsidR="00161D78" w:rsidRDefault="00161D78">
      <w:pPr>
        <w:spacing w:after="0"/>
      </w:pPr>
      <w:r>
        <w:separator/>
      </w:r>
    </w:p>
  </w:footnote>
  <w:footnote w:type="continuationSeparator" w:id="0">
    <w:p w14:paraId="3460D0BD" w14:textId="77777777" w:rsidR="00161D78" w:rsidRDefault="00161D78">
      <w:pPr>
        <w:spacing w:after="0"/>
      </w:pPr>
      <w:r>
        <w:continuationSeparator/>
      </w:r>
    </w:p>
  </w:footnote>
  <w:footnote w:type="continuationNotice" w:id="1">
    <w:p w14:paraId="5CBDA85D" w14:textId="77777777" w:rsidR="00161D78" w:rsidRDefault="00161D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6"/>
  </w:num>
  <w:num w:numId="15">
    <w:abstractNumId w:val="4"/>
  </w:num>
  <w:num w:numId="16">
    <w:abstractNumId w:val="10"/>
  </w:num>
  <w:num w:numId="17">
    <w:abstractNumId w:val="5"/>
  </w:num>
  <w:num w:numId="18">
    <w:abstractNumId w:val="15"/>
  </w:num>
  <w:num w:numId="19">
    <w:abstractNumId w:val="7"/>
  </w:num>
  <w:num w:numId="20">
    <w:abstractNumId w:val="14"/>
  </w:num>
  <w:num w:numId="21">
    <w:abstractNumId w:val="9"/>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cp:lastModifiedBy>
  <cp:revision>5</cp:revision>
  <dcterms:created xsi:type="dcterms:W3CDTF">2025-08-27T07:02:00Z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