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a9"/>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a9"/>
          </w:rPr>
          <w:t>R2-2506198</w:t>
        </w:r>
      </w:hyperlink>
    </w:p>
    <w:p w14:paraId="28F3B33F" w14:textId="77777777" w:rsidR="00616E35" w:rsidRDefault="00616E35" w:rsidP="00616E35">
      <w:pPr>
        <w:pStyle w:val="Doc-title"/>
      </w:pPr>
      <w:hyperlink r:id="rId12" w:history="1">
        <w:r w:rsidRPr="00113699">
          <w:rPr>
            <w:rStyle w:val="a9"/>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a0"/>
              <w:keepNext/>
              <w:rPr>
                <w:bCs/>
                <w:lang w:val="en-US"/>
              </w:rPr>
            </w:pPr>
          </w:p>
          <w:p w14:paraId="2F456378" w14:textId="0C38DBA1" w:rsidR="00280A70" w:rsidRPr="00D45311" w:rsidRDefault="00280A70" w:rsidP="00280A70">
            <w:pPr>
              <w:pStyle w:val="a0"/>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a0"/>
              <w:keepNext/>
              <w:rPr>
                <w:bCs/>
                <w:lang w:val="en-US"/>
              </w:rPr>
            </w:pPr>
            <w:r>
              <w:rPr>
                <w:bCs/>
                <w:lang w:val="en-US"/>
              </w:rPr>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for the reporting of </w:t>
            </w:r>
            <w:r w:rsidRPr="00997390">
              <w:rPr>
                <w:bCs/>
                <w:lang w:val="en-US"/>
              </w:rPr>
              <w:t>preferredDRX-LongCycle</w:t>
            </w:r>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a0"/>
              <w:keepNext/>
              <w:rPr>
                <w:bCs/>
                <w:lang w:val="en-US"/>
              </w:rPr>
            </w:pPr>
            <w:r>
              <w:rPr>
                <w:bCs/>
                <w:lang w:val="en-US"/>
              </w:rPr>
              <w:lastRenderedPageBreak/>
              <w:t>Nokia</w:t>
            </w:r>
          </w:p>
        </w:tc>
        <w:tc>
          <w:tcPr>
            <w:tcW w:w="6525" w:type="dxa"/>
          </w:tcPr>
          <w:p w14:paraId="2D54FD62" w14:textId="77777777" w:rsidR="00D45311" w:rsidRDefault="00824FD4" w:rsidP="00D45311">
            <w:pPr>
              <w:pStyle w:val="a0"/>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a0"/>
              <w:keepNext/>
              <w:rPr>
                <w:bCs/>
                <w:lang w:val="en-US"/>
              </w:rPr>
            </w:pPr>
            <w:r>
              <w:rPr>
                <w:bCs/>
                <w:lang w:val="en-US"/>
              </w:rPr>
              <w:t>And if this is the case I guess we don’t need UE capability either or activation to allow this behaviour from NW?</w:t>
            </w:r>
          </w:p>
          <w:p w14:paraId="4B7266D7" w14:textId="77777777" w:rsidR="00824FD4" w:rsidRDefault="00824FD4" w:rsidP="00D45311">
            <w:pPr>
              <w:pStyle w:val="a0"/>
              <w:keepNext/>
              <w:rPr>
                <w:bCs/>
                <w:lang w:val="en-US"/>
              </w:rPr>
            </w:pPr>
          </w:p>
          <w:p w14:paraId="63E93705" w14:textId="111E7068" w:rsidR="00824FD4" w:rsidRPr="00D45311" w:rsidRDefault="00824FD4" w:rsidP="00D45311">
            <w:pPr>
              <w:pStyle w:val="a0"/>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a0"/>
              <w:keepNext/>
            </w:pPr>
            <w:r>
              <w:t>First, we would agree that the UE capability is beneficial, as it would enable NW to know if the UE has been able to take into account cell DTX/DRX configuration in the reported drx-Preference. If the UE supports reporting drx-Preference based on cell DTX/DRX configuration (i.e. this TEI19 feature), the NW can configure such UE reporting drx-Preference if NW configures long cell DTX/DTX. Regarding the two questions, we agree that the NW could implicitly understand what this preference is for. For example, if the network configures a long DTX/DRX, and the UE supporting this Rel-19 TEI feature reports a shorter cycle in drx-Preference,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a0"/>
              <w:keepNext/>
              <w:rPr>
                <w:bCs/>
                <w:lang w:val="en-US"/>
              </w:rPr>
            </w:pPr>
            <w:r>
              <w:br/>
              <w:t>Regarding the last question our interpretation from the online discussions was that we go for option 2 and the wording in the agreement is exactly reflecting option 2 from the proposal. Since the field description proposed by Ericsson does not define NW behavior we think it is fine to add it, but the procedural text also needs to be present (as described in the answer above).</w:t>
            </w: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a0"/>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a0"/>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a0"/>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a0"/>
              <w:keepNext/>
              <w:rPr>
                <w:bCs/>
                <w:lang w:val="en-US"/>
              </w:rPr>
            </w:pPr>
            <w:r>
              <w:rPr>
                <w:rFonts w:eastAsia="DengXian" w:hint="eastAsia"/>
                <w:bCs/>
                <w:lang w:val="en-US"/>
              </w:rPr>
              <w:t>We are OK with the CR.we share the same view as Rapp that w</w:t>
            </w:r>
            <w:r>
              <w:rPr>
                <w:bCs/>
                <w:lang w:val="en-US"/>
              </w:rPr>
              <w:t xml:space="preserve">ithout the procedural text there will be no standardized UE behavior for the reporting of </w:t>
            </w:r>
            <w:r w:rsidRPr="00997390">
              <w:rPr>
                <w:bCs/>
                <w:lang w:val="en-US"/>
              </w:rPr>
              <w:t>preferredDRX-LongCycle</w:t>
            </w:r>
            <w:r>
              <w:rPr>
                <w:bCs/>
                <w:lang w:val="en-US"/>
              </w:rPr>
              <w:t xml:space="preserve"> used for Cell DTX preference. </w:t>
            </w:r>
          </w:p>
          <w:p w14:paraId="0F06824E" w14:textId="2EB58063" w:rsidR="00D45311" w:rsidRPr="007834C7" w:rsidRDefault="00D45311" w:rsidP="007834C7">
            <w:pPr>
              <w:pStyle w:val="a0"/>
              <w:keepNext/>
              <w:rPr>
                <w:rFonts w:eastAsia="DengXian"/>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shd w:val="clear" w:color="auto" w:fill="auto"/>
          </w:tcPr>
          <w:p w14:paraId="1A7517C2" w14:textId="2934AE2B" w:rsidR="00D45311" w:rsidRPr="00D45311" w:rsidRDefault="00712FA0" w:rsidP="00D45311">
            <w:pPr>
              <w:pStyle w:val="a0"/>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a0"/>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a0"/>
              <w:keepNext/>
              <w:rPr>
                <w:bCs/>
                <w:lang w:val="en-US"/>
              </w:rPr>
            </w:pPr>
          </w:p>
        </w:tc>
      </w:tr>
      <w:tr w:rsidR="00E0379D" w:rsidRPr="00D45311" w14:paraId="5594707E" w14:textId="77777777" w:rsidTr="003903A8">
        <w:trPr>
          <w:trHeight w:val="127"/>
        </w:trPr>
        <w:tc>
          <w:tcPr>
            <w:tcW w:w="1555" w:type="dxa"/>
            <w:shd w:val="clear" w:color="auto" w:fill="auto"/>
          </w:tcPr>
          <w:p w14:paraId="36E78FD5" w14:textId="528C8138" w:rsidR="00E0379D" w:rsidRPr="00D45311" w:rsidRDefault="00E0379D" w:rsidP="00E0379D">
            <w:pPr>
              <w:pStyle w:val="a0"/>
              <w:keepNext/>
              <w:rPr>
                <w:bCs/>
                <w:lang w:val="en-US"/>
              </w:rPr>
            </w:pPr>
            <w:r>
              <w:rPr>
                <w:bCs/>
                <w:lang w:val="en-US"/>
              </w:rPr>
              <w:lastRenderedPageBreak/>
              <w:t>BT_2</w:t>
            </w:r>
          </w:p>
        </w:tc>
        <w:tc>
          <w:tcPr>
            <w:tcW w:w="6525" w:type="dxa"/>
          </w:tcPr>
          <w:p w14:paraId="5568C382" w14:textId="7DB7BF91" w:rsidR="00410242" w:rsidRDefault="00410242" w:rsidP="00E0379D">
            <w:pPr>
              <w:pStyle w:val="a0"/>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 the process is not standardized.</w:t>
            </w:r>
          </w:p>
          <w:p w14:paraId="116C702C" w14:textId="549AE5A5" w:rsidR="00E0379D" w:rsidRDefault="00E0379D" w:rsidP="00E0379D">
            <w:pPr>
              <w:pStyle w:val="a0"/>
              <w:keepNext/>
              <w:rPr>
                <w:bCs/>
                <w:lang w:val="en-US"/>
              </w:rPr>
            </w:pPr>
            <w:r>
              <w:rPr>
                <w:bCs/>
                <w:lang w:val="en-US"/>
              </w:rPr>
              <w:t>The agreement says:</w:t>
            </w:r>
          </w:p>
          <w:p w14:paraId="08180A00" w14:textId="77777777" w:rsidR="00E0379D" w:rsidRDefault="00E0379D" w:rsidP="00E0379D">
            <w:pPr>
              <w:pStyle w:val="a0"/>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a0"/>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a0"/>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a0"/>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r w:rsidRPr="008E27D8">
              <w:rPr>
                <w:i/>
                <w:lang w:val="x-none" w:eastAsia="x-none"/>
              </w:rPr>
              <w:t>otherConfig</w:t>
            </w:r>
            <w:r w:rsidRPr="008E27D8">
              <w:rPr>
                <w:lang w:val="x-none" w:eastAsia="x-none"/>
              </w:rPr>
              <w:t xml:space="preserve"> includes the </w:t>
            </w:r>
            <w:r w:rsidRPr="008E27D8">
              <w:rPr>
                <w:i/>
                <w:lang w:val="x-none" w:eastAsia="x-none"/>
              </w:rPr>
              <w:t>drx-PreferenceConfig</w:t>
            </w:r>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r w:rsidRPr="008E27D8">
              <w:rPr>
                <w:i/>
                <w:lang w:val="x-none" w:eastAsia="x-none"/>
              </w:rPr>
              <w:t>drx-PreferenceConfig</w:t>
            </w:r>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a0"/>
              <w:keepNext/>
              <w:rPr>
                <w:bCs/>
                <w:lang w:val="x-none"/>
              </w:rPr>
            </w:pPr>
          </w:p>
          <w:p w14:paraId="4F26C35F" w14:textId="0E3FAB17" w:rsidR="00E0379D" w:rsidRDefault="00E0379D" w:rsidP="00E0379D">
            <w:pPr>
              <w:pStyle w:val="a0"/>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a0"/>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If the report is shorter than configured, it is most likely to suit QoS UE requirements.</w:t>
            </w:r>
          </w:p>
          <w:p w14:paraId="3B02B734" w14:textId="555C1187" w:rsidR="00E0379D" w:rsidRDefault="00EE186B" w:rsidP="00E0379D">
            <w:pPr>
              <w:pStyle w:val="a0"/>
              <w:keepNext/>
              <w:rPr>
                <w:bCs/>
                <w:lang w:val="en-US"/>
              </w:rPr>
            </w:pPr>
            <w:r>
              <w:rPr>
                <w:bCs/>
                <w:lang w:val="en-US"/>
              </w:rPr>
              <w:lastRenderedPageBreak/>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r w:rsidR="00E0379D" w:rsidRPr="00997390">
              <w:rPr>
                <w:bCs/>
                <w:lang w:val="en-US"/>
              </w:rPr>
              <w:t>preferredDRX-LongCycle</w:t>
            </w:r>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a0"/>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a0"/>
              <w:keepNext/>
              <w:rPr>
                <w:bCs/>
                <w:lang w:val="en-US"/>
              </w:rPr>
            </w:pPr>
          </w:p>
          <w:p w14:paraId="144F7460" w14:textId="77777777" w:rsidR="00E0379D" w:rsidRPr="00EE6E73" w:rsidRDefault="00E0379D" w:rsidP="00E0379D">
            <w:pPr>
              <w:pStyle w:val="TAL"/>
              <w:rPr>
                <w:szCs w:val="18"/>
                <w:lang w:eastAsia="sv-SE"/>
              </w:rPr>
            </w:pPr>
            <w:r w:rsidRPr="00EE6E73">
              <w:rPr>
                <w:b/>
                <w:bCs/>
                <w:i/>
                <w:iCs/>
              </w:rPr>
              <w:t>preferredDRX-LongCycle</w:t>
            </w:r>
          </w:p>
          <w:p w14:paraId="6C85B465" w14:textId="47305480" w:rsidR="00E0379D" w:rsidRPr="00D45311" w:rsidRDefault="00E0379D" w:rsidP="00E0379D">
            <w:pPr>
              <w:pStyle w:val="a0"/>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a0"/>
              <w:keepNext/>
              <w:rPr>
                <w:bCs/>
                <w:i/>
                <w:lang w:val="en-US"/>
              </w:rPr>
            </w:pPr>
          </w:p>
        </w:tc>
      </w:tr>
      <w:tr w:rsidR="00E0379D" w:rsidRPr="00D45311" w14:paraId="41261535" w14:textId="77777777" w:rsidTr="003903A8">
        <w:trPr>
          <w:trHeight w:val="127"/>
        </w:trPr>
        <w:tc>
          <w:tcPr>
            <w:tcW w:w="1555" w:type="dxa"/>
            <w:shd w:val="clear" w:color="auto" w:fill="auto"/>
          </w:tcPr>
          <w:p w14:paraId="3AAC7A39" w14:textId="37F3D510" w:rsidR="00E0379D" w:rsidRPr="0000759B" w:rsidRDefault="0000759B" w:rsidP="00E0379D">
            <w:pPr>
              <w:pStyle w:val="a0"/>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a0"/>
              <w:keepNext/>
              <w:rPr>
                <w:rFonts w:eastAsia="DengXian"/>
                <w:bCs/>
                <w:lang w:val="en-US"/>
              </w:rPr>
            </w:pPr>
            <w:r>
              <w:rPr>
                <w:rFonts w:eastAsia="DengXian" w:hint="eastAsia"/>
                <w:bCs/>
                <w:lang w:val="en-US"/>
              </w:rPr>
              <w:t>The current CR goes too far beyond what was agreed. We should respect the conclusion, and we suggest to only have the following note in 5.7.4.3 and romove all the other changes:</w:t>
            </w:r>
          </w:p>
          <w:p w14:paraId="05D9BE7E" w14:textId="5AD8DA39" w:rsidR="0000759B" w:rsidRPr="0000759B" w:rsidRDefault="0000759B" w:rsidP="00E0379D">
            <w:pPr>
              <w:pStyle w:val="a0"/>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a0"/>
              <w:keepNext/>
              <w:rPr>
                <w:bCs/>
                <w:lang w:val="en-US"/>
              </w:rPr>
            </w:pPr>
          </w:p>
        </w:tc>
      </w:tr>
      <w:tr w:rsidR="00690F00" w:rsidRPr="00D45311" w14:paraId="70DBB90D" w14:textId="77777777" w:rsidTr="003903A8">
        <w:trPr>
          <w:trHeight w:val="127"/>
        </w:trPr>
        <w:tc>
          <w:tcPr>
            <w:tcW w:w="1555" w:type="dxa"/>
            <w:shd w:val="clear" w:color="auto" w:fill="auto"/>
          </w:tcPr>
          <w:p w14:paraId="12340B99" w14:textId="7AC25C89" w:rsidR="00690F00" w:rsidRPr="00690F00" w:rsidRDefault="00690F00" w:rsidP="00690F00">
            <w:pPr>
              <w:pStyle w:val="a0"/>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4"/>
              <w:rPr>
                <w:rFonts w:eastAsia="ＭＳ 明朝"/>
              </w:rPr>
            </w:pPr>
            <w:r w:rsidRPr="00EE6E73">
              <w:rPr>
                <w:rFonts w:eastAsia="SimSun"/>
              </w:rPr>
              <w:t>5.3.5.9</w:t>
            </w:r>
            <w:r w:rsidRPr="00EE6E73">
              <w:rPr>
                <w:rFonts w:eastAsia="SimSun"/>
              </w:rPr>
              <w:tab/>
            </w:r>
            <w:r w:rsidRPr="00EE6E73">
              <w:rPr>
                <w:rFonts w:eastAsia="ＭＳ 明朝"/>
              </w:rPr>
              <w:t>Other configuration</w:t>
            </w:r>
          </w:p>
          <w:p w14:paraId="0D0925AB" w14:textId="77777777" w:rsidR="00690F00" w:rsidRPr="00EE6E73" w:rsidRDefault="00690F00" w:rsidP="00690F00">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2F6BD68" w14:textId="77777777" w:rsidR="00690F00" w:rsidRPr="00EE6E73" w:rsidRDefault="00690F00" w:rsidP="00690F00">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PCell</w:t>
            </w:r>
            <w:r>
              <w:t>,</w:t>
            </w:r>
            <w:r w:rsidRPr="00EE6E73">
              <w:t xml:space="preserve"> in accordance with 5.7.4;</w:t>
            </w:r>
          </w:p>
          <w:p w14:paraId="5979287F" w14:textId="77777777" w:rsidR="00690F00" w:rsidRPr="00EE6E73" w:rsidRDefault="00690F00" w:rsidP="00690F00">
            <w:pPr>
              <w:pStyle w:val="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a0"/>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a0"/>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a0"/>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a0"/>
              <w:keepNext/>
              <w:rPr>
                <w:rFonts w:eastAsia="DengXian"/>
                <w:bCs/>
                <w:color w:val="0070C0"/>
                <w:lang w:val="x-none"/>
              </w:rPr>
            </w:pPr>
          </w:p>
          <w:p w14:paraId="670DC826" w14:textId="77777777" w:rsidR="00690F00" w:rsidRDefault="00690F00" w:rsidP="00690F00">
            <w:pPr>
              <w:pStyle w:val="a0"/>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4"/>
            </w:pPr>
            <w:r w:rsidRPr="00EE6E73">
              <w:t>5.7.4.3</w:t>
            </w:r>
            <w:r w:rsidRPr="00EE6E73">
              <w:tab/>
              <w:t xml:space="preserve">Actions related to transmission of </w:t>
            </w:r>
            <w:r w:rsidRPr="00EE6E73">
              <w:rPr>
                <w:i/>
              </w:rPr>
              <w:t>UEAssistanceInformation</w:t>
            </w:r>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r w:rsidRPr="008F636D">
              <w:rPr>
                <w:i/>
                <w:highlight w:val="yellow"/>
                <w:lang w:eastAsia="ko-KR"/>
              </w:rPr>
              <w:t>cellDTX-DRX-Cycle</w:t>
            </w:r>
            <w:r w:rsidRPr="00EE6E73">
              <w:rPr>
                <w:lang w:eastAsia="ko-KR"/>
              </w:rPr>
              <w:t>:</w:t>
            </w:r>
          </w:p>
          <w:p w14:paraId="6564F340" w14:textId="77777777" w:rsidR="00A53819" w:rsidRDefault="00690F00" w:rsidP="00690F00">
            <w:pPr>
              <w:pStyle w:val="a0"/>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r w:rsidRPr="004640FA">
              <w:rPr>
                <w:rFonts w:eastAsia="DengXian"/>
                <w:bCs/>
                <w:i/>
                <w:color w:val="0070C0"/>
                <w:lang w:val="x-none"/>
              </w:rPr>
              <w:t>drx-Preference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a0"/>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for preference of cellDTX-DRX-Cycle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a0"/>
              <w:keepNext/>
              <w:rPr>
                <w:rFonts w:eastAsia="DengXian"/>
                <w:bCs/>
                <w:color w:val="0070C0"/>
                <w:lang w:val="x-none"/>
              </w:rPr>
            </w:pPr>
          </w:p>
          <w:p w14:paraId="33058D5C" w14:textId="77777777" w:rsidR="00690F00" w:rsidRDefault="00690F00" w:rsidP="00690F00">
            <w:pPr>
              <w:pStyle w:val="a0"/>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a0"/>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BEAFC3F" w14:textId="77777777" w:rsidR="00690F00" w:rsidRPr="00D45311" w:rsidRDefault="00690F00" w:rsidP="00690F00">
            <w:pPr>
              <w:pStyle w:val="a0"/>
              <w:keepNext/>
              <w:rPr>
                <w:bCs/>
                <w:lang w:val="en-US"/>
              </w:rPr>
            </w:pPr>
          </w:p>
        </w:tc>
      </w:tr>
      <w:tr w:rsidR="00667FF5" w:rsidRPr="00D45311" w14:paraId="58F34C34" w14:textId="77777777" w:rsidTr="003903A8">
        <w:trPr>
          <w:trHeight w:val="127"/>
        </w:trPr>
        <w:tc>
          <w:tcPr>
            <w:tcW w:w="1555" w:type="dxa"/>
            <w:shd w:val="clear" w:color="auto" w:fill="auto"/>
          </w:tcPr>
          <w:p w14:paraId="59E40362" w14:textId="7C2B128A" w:rsidR="00667FF5" w:rsidRDefault="00667FF5" w:rsidP="00690F00">
            <w:pPr>
              <w:pStyle w:val="a0"/>
              <w:keepNext/>
              <w:rPr>
                <w:rFonts w:eastAsia="DengXian"/>
                <w:bCs/>
                <w:lang w:val="en-US"/>
              </w:rPr>
            </w:pPr>
            <w:r>
              <w:rPr>
                <w:rFonts w:eastAsia="DengXian"/>
                <w:bCs/>
                <w:lang w:val="en-US"/>
              </w:rPr>
              <w:t>InterDigital</w:t>
            </w:r>
          </w:p>
        </w:tc>
        <w:tc>
          <w:tcPr>
            <w:tcW w:w="6525" w:type="dxa"/>
          </w:tcPr>
          <w:p w14:paraId="1B629DF8" w14:textId="1B1F110B" w:rsidR="00667FF5" w:rsidRPr="00E62EE2" w:rsidRDefault="00667FF5" w:rsidP="00667FF5">
            <w:pPr>
              <w:pStyle w:val="a0"/>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in light of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a0"/>
              <w:keepNext/>
              <w:rPr>
                <w:bCs/>
                <w:lang w:val="en-US"/>
              </w:rPr>
            </w:pPr>
          </w:p>
        </w:tc>
      </w:tr>
      <w:tr w:rsidR="0041120B" w:rsidRPr="00D45311" w14:paraId="1FB0607E" w14:textId="77777777" w:rsidTr="003903A8">
        <w:trPr>
          <w:trHeight w:val="127"/>
        </w:trPr>
        <w:tc>
          <w:tcPr>
            <w:tcW w:w="1555" w:type="dxa"/>
            <w:shd w:val="clear" w:color="auto" w:fill="auto"/>
          </w:tcPr>
          <w:p w14:paraId="7116285E" w14:textId="374D4417" w:rsidR="0041120B" w:rsidRPr="0041120B" w:rsidRDefault="0041120B" w:rsidP="00690F00">
            <w:pPr>
              <w:pStyle w:val="a0"/>
              <w:keepNext/>
              <w:rPr>
                <w:rFonts w:eastAsiaTheme="minorEastAsia" w:hint="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a0"/>
              <w:keepNext/>
              <w:rPr>
                <w:rFonts w:eastAsia="SimSun"/>
              </w:rPr>
            </w:pPr>
            <w:r w:rsidRPr="0041120B">
              <w:rPr>
                <w:rFonts w:eastAsia="SimSun"/>
              </w:rPr>
              <w:t>We agree with the current version of CR.</w:t>
            </w:r>
          </w:p>
          <w:p w14:paraId="7A178672" w14:textId="449ACB93" w:rsidR="0041120B" w:rsidRDefault="0041120B" w:rsidP="0041120B">
            <w:pPr>
              <w:pStyle w:val="a0"/>
              <w:keepNext/>
              <w:rPr>
                <w:rFonts w:eastAsia="SimSun"/>
              </w:rPr>
            </w:pPr>
            <w:r w:rsidRPr="0041120B">
              <w:rPr>
                <w:rFonts w:eastAsia="SimSun"/>
              </w:rPr>
              <w:t>We also think, without the procedural text, a UE is supposed to never report its preference of cell DTX. From operators' perspective, it is beneficial to define clearer UE behavior.</w:t>
            </w:r>
          </w:p>
        </w:tc>
        <w:tc>
          <w:tcPr>
            <w:tcW w:w="6804" w:type="dxa"/>
          </w:tcPr>
          <w:p w14:paraId="738DBD9F" w14:textId="77777777" w:rsidR="0041120B" w:rsidRPr="00D45311" w:rsidRDefault="0041120B" w:rsidP="00690F00">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50CD" w14:textId="77777777" w:rsidR="00B14E34" w:rsidRDefault="00B14E34">
      <w:pPr>
        <w:spacing w:after="0"/>
      </w:pPr>
      <w:r>
        <w:separator/>
      </w:r>
    </w:p>
  </w:endnote>
  <w:endnote w:type="continuationSeparator" w:id="0">
    <w:p w14:paraId="490459E1" w14:textId="77777777" w:rsidR="00B14E34" w:rsidRDefault="00B14E34">
      <w:pPr>
        <w:spacing w:after="0"/>
      </w:pPr>
      <w:r>
        <w:continuationSeparator/>
      </w:r>
    </w:p>
  </w:endnote>
  <w:endnote w:type="continuationNotice" w:id="1">
    <w:p w14:paraId="549E99DA" w14:textId="77777777" w:rsidR="00B14E34" w:rsidRDefault="00B14E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7834C7">
      <w:rPr>
        <w:rStyle w:val="a7"/>
      </w:rPr>
      <w:t>4</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7834C7">
      <w:rPr>
        <w:rStyle w:val="a7"/>
      </w:rPr>
      <w:t>4</w:t>
    </w:r>
    <w:r w:rsidR="00950D79">
      <w:rPr>
        <w:rStyle w:val="a7"/>
      </w:rPr>
      <w:fldChar w:fldCharType="end"/>
    </w:r>
    <w:r w:rsidR="00950D79">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1827" w14:textId="77777777" w:rsidR="00B14E34" w:rsidRDefault="00B14E34">
      <w:pPr>
        <w:spacing w:after="0"/>
      </w:pPr>
      <w:r>
        <w:separator/>
      </w:r>
    </w:p>
  </w:footnote>
  <w:footnote w:type="continuationSeparator" w:id="0">
    <w:p w14:paraId="428ADD8E" w14:textId="77777777" w:rsidR="00B14E34" w:rsidRDefault="00B14E34">
      <w:pPr>
        <w:spacing w:after="0"/>
      </w:pPr>
      <w:r>
        <w:continuationSeparator/>
      </w:r>
    </w:p>
  </w:footnote>
  <w:footnote w:type="continuationNotice" w:id="1">
    <w:p w14:paraId="2C71C21A" w14:textId="77777777" w:rsidR="00B14E34" w:rsidRDefault="00B14E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2163184">
    <w:abstractNumId w:val="11"/>
  </w:num>
  <w:num w:numId="2" w16cid:durableId="718238090">
    <w:abstractNumId w:val="6"/>
  </w:num>
  <w:num w:numId="3" w16cid:durableId="702053131">
    <w:abstractNumId w:val="12"/>
  </w:num>
  <w:num w:numId="4" w16cid:durableId="1869950252">
    <w:abstractNumId w:val="18"/>
  </w:num>
  <w:num w:numId="5" w16cid:durableId="1834682345">
    <w:abstractNumId w:val="13"/>
  </w:num>
  <w:num w:numId="6" w16cid:durableId="1344354504">
    <w:abstractNumId w:val="1"/>
  </w:num>
  <w:num w:numId="7" w16cid:durableId="646931609">
    <w:abstractNumId w:val="16"/>
  </w:num>
  <w:num w:numId="8" w16cid:durableId="1171680442">
    <w:abstractNumId w:val="17"/>
  </w:num>
  <w:num w:numId="9" w16cid:durableId="1631204446">
    <w:abstractNumId w:val="2"/>
  </w:num>
  <w:num w:numId="10" w16cid:durableId="894855183">
    <w:abstractNumId w:val="8"/>
  </w:num>
  <w:num w:numId="11" w16cid:durableId="386494657">
    <w:abstractNumId w:val="3"/>
  </w:num>
  <w:num w:numId="12" w16cid:durableId="1956204873">
    <w:abstractNumId w:val="0"/>
  </w:num>
  <w:num w:numId="13" w16cid:durableId="2074154256">
    <w:abstractNumId w:val="19"/>
  </w:num>
  <w:num w:numId="14" w16cid:durableId="532304574">
    <w:abstractNumId w:val="15"/>
  </w:num>
  <w:num w:numId="15" w16cid:durableId="356348899">
    <w:abstractNumId w:val="4"/>
  </w:num>
  <w:num w:numId="16" w16cid:durableId="1260945338">
    <w:abstractNumId w:val="10"/>
  </w:num>
  <w:num w:numId="17" w16cid:durableId="1129203074">
    <w:abstractNumId w:val="5"/>
  </w:num>
  <w:num w:numId="18" w16cid:durableId="378093903">
    <w:abstractNumId w:val="14"/>
  </w:num>
  <w:num w:numId="19" w16cid:durableId="1956205940">
    <w:abstractNumId w:val="7"/>
  </w:num>
  <w:num w:numId="20" w16cid:durableId="444858885">
    <w:abstractNumId w:val="13"/>
  </w:num>
  <w:num w:numId="21" w16cid:durableId="71100057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0"/>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コメント文字列 (文字)"/>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616E35"/>
    <w:rPr>
      <w:rFonts w:ascii="Arial" w:eastAsia="ＭＳ 明朝" w:hAnsi="Arial" w:cs="Times New Roman"/>
      <w:noProof/>
      <w:sz w:val="20"/>
      <w:szCs w:val="24"/>
      <w:lang w:val="en-GB" w:eastAsia="en-GB"/>
    </w:rPr>
  </w:style>
  <w:style w:type="character" w:customStyle="1" w:styleId="80">
    <w:name w:val="見出し 8 (文字)"/>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2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31"/>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22">
    <w:name w:val="List 2"/>
    <w:basedOn w:val="a"/>
    <w:uiPriority w:val="99"/>
    <w:semiHidden/>
    <w:unhideWhenUsed/>
    <w:rsid w:val="00690F00"/>
    <w:pPr>
      <w:ind w:leftChars="200" w:left="100" w:hangingChars="200" w:hanging="200"/>
      <w:contextualSpacing/>
    </w:pPr>
  </w:style>
  <w:style w:type="paragraph" w:styleId="31">
    <w:name w:val="List 3"/>
    <w:basedOn w:val="a"/>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Taichi Shichijo (七條 太一)</cp:lastModifiedBy>
  <cp:revision>3</cp:revision>
  <dcterms:created xsi:type="dcterms:W3CDTF">2025-08-27T04:53:00Z</dcterms:created>
  <dcterms:modified xsi:type="dcterms:W3CDTF">2025-08-27T05:04:00Z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