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w:t>
      </w:r>
      <w:proofErr w:type="gramEnd"/>
      <w:r w:rsidR="00616E35" w:rsidRPr="00616E35">
        <w:rPr>
          <w:sz w:val="22"/>
          <w:szCs w:val="22"/>
        </w:rPr>
        <w:t>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2A7063" w:rsidP="00616E35">
      <w:pPr>
        <w:pStyle w:val="Doc-title"/>
      </w:pPr>
      <w:hyperlink r:id="rId11" w:history="1">
        <w:r w:rsidR="00616E35" w:rsidRPr="00113699">
          <w:rPr>
            <w:rStyle w:val="a7"/>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2" w:history="1">
        <w:r w:rsidRPr="00113699">
          <w:rPr>
            <w:rStyle w:val="a7"/>
          </w:rPr>
          <w:t>R2-2506198</w:t>
        </w:r>
      </w:hyperlink>
    </w:p>
    <w:p w14:paraId="28F3B33F" w14:textId="77777777" w:rsidR="00616E35" w:rsidRDefault="002A7063" w:rsidP="00616E35">
      <w:pPr>
        <w:pStyle w:val="Doc-title"/>
      </w:pPr>
      <w:hyperlink r:id="rId13" w:history="1">
        <w:r w:rsidR="00616E35" w:rsidRPr="00113699">
          <w:rPr>
            <w:rStyle w:val="a7"/>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2F456378" w14:textId="0C38DBA1" w:rsidR="00280A70" w:rsidRPr="00D45311"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a0"/>
              <w:keepNext/>
              <w:rPr>
                <w:bCs/>
                <w:lang w:val="en-US"/>
              </w:rPr>
            </w:pPr>
            <w:r>
              <w:rPr>
                <w:bCs/>
                <w:lang w:val="en-US"/>
              </w:rPr>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w:t>
            </w:r>
            <w:r>
              <w:rPr>
                <w:bCs/>
                <w:lang w:val="en-US"/>
              </w:rPr>
              <w:lastRenderedPageBreak/>
              <w:t xml:space="preserve">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a0"/>
              <w:keepNext/>
              <w:rPr>
                <w:bCs/>
                <w:lang w:val="en-US"/>
              </w:rPr>
            </w:pPr>
            <w:r>
              <w:rPr>
                <w:bCs/>
                <w:lang w:val="en-US"/>
              </w:rPr>
              <w:lastRenderedPageBreak/>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a0"/>
              <w:keepNext/>
              <w:rPr>
                <w:rFonts w:eastAsia="等线" w:hint="eastAsia"/>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r>
              <w:rPr>
                <w:rFonts w:eastAsia="等线" w:hint="eastAsia"/>
                <w:bCs/>
                <w:lang w:val="en-US"/>
              </w:rPr>
              <w:t>CR.we</w:t>
            </w:r>
            <w:proofErr w:type="spell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bookmarkStart w:id="1" w:name="_GoBack"/>
            <w:bookmarkEnd w:id="1"/>
          </w:p>
          <w:p w14:paraId="0F06824E" w14:textId="2EB58063" w:rsidR="00D45311" w:rsidRPr="007834C7" w:rsidRDefault="00D45311" w:rsidP="007834C7">
            <w:pPr>
              <w:pStyle w:val="a0"/>
              <w:keepNext/>
              <w:rPr>
                <w:rFonts w:eastAsia="等线" w:hint="eastAsia"/>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EB81E" w14:textId="77777777" w:rsidR="002A7063" w:rsidRDefault="002A7063">
      <w:pPr>
        <w:spacing w:after="0"/>
      </w:pPr>
      <w:r>
        <w:separator/>
      </w:r>
    </w:p>
  </w:endnote>
  <w:endnote w:type="continuationSeparator" w:id="0">
    <w:p w14:paraId="2EFF9B76" w14:textId="77777777" w:rsidR="002A7063" w:rsidRDefault="002A7063">
      <w:pPr>
        <w:spacing w:after="0"/>
      </w:pPr>
      <w:r>
        <w:continuationSeparator/>
      </w:r>
    </w:p>
  </w:endnote>
  <w:endnote w:type="continuationNotice" w:id="1">
    <w:p w14:paraId="3EF687C5" w14:textId="77777777" w:rsidR="002A7063" w:rsidRDefault="002A70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6"/>
      </w:rPr>
      <w:fldChar w:fldCharType="begin"/>
    </w:r>
    <w:r w:rsidR="00950D79">
      <w:rPr>
        <w:rStyle w:val="a6"/>
      </w:rPr>
      <w:instrText xml:space="preserve"> PAGE </w:instrText>
    </w:r>
    <w:r w:rsidR="00950D79">
      <w:rPr>
        <w:rStyle w:val="a6"/>
      </w:rPr>
      <w:fldChar w:fldCharType="separate"/>
    </w:r>
    <w:r w:rsidR="007834C7">
      <w:rPr>
        <w:rStyle w:val="a6"/>
      </w:rPr>
      <w:t>4</w:t>
    </w:r>
    <w:r w:rsidR="00950D79">
      <w:rPr>
        <w:rStyle w:val="a6"/>
      </w:rPr>
      <w:fldChar w:fldCharType="end"/>
    </w:r>
    <w:r w:rsidR="00950D79">
      <w:rPr>
        <w:rStyle w:val="a6"/>
      </w:rPr>
      <w:t>/</w:t>
    </w:r>
    <w:r w:rsidR="00950D79">
      <w:rPr>
        <w:rStyle w:val="a6"/>
      </w:rPr>
      <w:fldChar w:fldCharType="begin"/>
    </w:r>
    <w:r w:rsidR="00950D79">
      <w:rPr>
        <w:rStyle w:val="a6"/>
      </w:rPr>
      <w:instrText xml:space="preserve"> NUMPAGES </w:instrText>
    </w:r>
    <w:r w:rsidR="00950D79">
      <w:rPr>
        <w:rStyle w:val="a6"/>
      </w:rPr>
      <w:fldChar w:fldCharType="separate"/>
    </w:r>
    <w:r w:rsidR="007834C7">
      <w:rPr>
        <w:rStyle w:val="a6"/>
      </w:rPr>
      <w:t>4</w:t>
    </w:r>
    <w:r w:rsidR="00950D79">
      <w:rPr>
        <w:rStyle w:val="a6"/>
      </w:rPr>
      <w:fldChar w:fldCharType="end"/>
    </w:r>
    <w:r w:rsidR="00950D79">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A8D96" w14:textId="77777777" w:rsidR="002A7063" w:rsidRDefault="002A7063">
      <w:pPr>
        <w:spacing w:after="0"/>
      </w:pPr>
      <w:r>
        <w:separator/>
      </w:r>
    </w:p>
  </w:footnote>
  <w:footnote w:type="continuationSeparator" w:id="0">
    <w:p w14:paraId="4C512B19" w14:textId="77777777" w:rsidR="002A7063" w:rsidRDefault="002A7063">
      <w:pPr>
        <w:spacing w:after="0"/>
      </w:pPr>
      <w:r>
        <w:continuationSeparator/>
      </w:r>
    </w:p>
  </w:footnote>
  <w:footnote w:type="continuationNotice" w:id="1">
    <w:p w14:paraId="564C52DE" w14:textId="77777777" w:rsidR="002A7063" w:rsidRDefault="002A70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Char">
    <w:name w:val="标题 8 Char"/>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Char">
    <w:name w:val="标题 8 Char"/>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31\Docs\R2-2506198.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panidx\OneDrive%20-%20InterDigital%20Communications,%20Inc\Documents\3GPP%20RAN\TSGR2_131\Docs\R2-2506049.zi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zr</cp:lastModifiedBy>
  <cp:revision>6</cp:revision>
  <dcterms:created xsi:type="dcterms:W3CDTF">2025-08-26T12:41:00Z</dcterms:created>
  <dcterms:modified xsi:type="dcterms:W3CDTF">2025-08-26T14:09:00Z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