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5CD82D60" w:rsidR="003267A6" w:rsidRPr="00C70135" w:rsidRDefault="003267A6" w:rsidP="003267A6">
      <w:pPr>
        <w:pStyle w:val="3GPPHeader"/>
        <w:rPr>
          <w:sz w:val="22"/>
          <w:szCs w:val="22"/>
          <w:lang w:val="en-SE"/>
        </w:rPr>
      </w:pPr>
      <w:r w:rsidRPr="0047642A">
        <w:rPr>
          <w:sz w:val="22"/>
          <w:szCs w:val="22"/>
        </w:rPr>
        <w:t>Agenda Item:</w:t>
      </w:r>
      <w:r w:rsidRPr="0047642A">
        <w:rPr>
          <w:sz w:val="22"/>
          <w:szCs w:val="22"/>
        </w:rPr>
        <w:tab/>
      </w:r>
      <w:r w:rsidR="00616E35" w:rsidRPr="00616E35">
        <w:rPr>
          <w:sz w:val="22"/>
          <w:szCs w:val="22"/>
        </w:rPr>
        <w:t>8.19.</w:t>
      </w:r>
      <w:r w:rsidR="00D40BD5">
        <w:rPr>
          <w:sz w:val="22"/>
          <w:szCs w:val="22"/>
          <w:lang w:val="en-SE"/>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0A80E170"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w:t>
      </w:r>
      <w:r w:rsidR="00C70135">
        <w:rPr>
          <w:sz w:val="22"/>
          <w:szCs w:val="22"/>
          <w:lang w:val="en-SE"/>
        </w:rPr>
        <w:t>1</w:t>
      </w:r>
      <w:r w:rsidR="00616E35" w:rsidRPr="00616E35">
        <w:rPr>
          <w:sz w:val="22"/>
          <w:szCs w:val="22"/>
        </w:rPr>
        <w:t xml:space="preserve">][TEI19] </w:t>
      </w:r>
      <w:r w:rsidR="00C70135">
        <w:rPr>
          <w:sz w:val="22"/>
          <w:szCs w:val="22"/>
          <w:lang w:val="en-SE"/>
        </w:rPr>
        <w:t>Early CSI</w:t>
      </w:r>
      <w:r w:rsidR="00616E35" w:rsidRPr="00616E35">
        <w:rPr>
          <w:sz w:val="22"/>
          <w:szCs w:val="22"/>
        </w:rPr>
        <w:t xml:space="preserve">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4928D68D" w:rsidR="003267A6" w:rsidRPr="0047642A" w:rsidRDefault="003267A6" w:rsidP="003267A6">
      <w:pPr>
        <w:pStyle w:val="Heading1"/>
        <w:ind w:left="0" w:firstLine="0"/>
        <w:jc w:val="both"/>
      </w:pPr>
      <w:r w:rsidRPr="0047642A">
        <w:t>1</w:t>
      </w:r>
      <w:r w:rsidR="00406982">
        <w:rPr>
          <w:lang w:val="en-SE"/>
        </w:rPr>
        <w:t xml:space="preserve"> </w:t>
      </w:r>
      <w:r w:rsidR="00B61647">
        <w:rPr>
          <w:lang w:val="en-SE"/>
        </w:rPr>
        <w:tab/>
      </w:r>
      <w:r w:rsidRPr="0047642A">
        <w:t>Introduction</w:t>
      </w:r>
    </w:p>
    <w:p w14:paraId="7516F0EE" w14:textId="3FB31864" w:rsidR="001C0D2E" w:rsidRDefault="00E21756" w:rsidP="001C0D2E">
      <w:pPr>
        <w:pStyle w:val="BodyText"/>
      </w:pPr>
      <w:bookmarkStart w:id="0" w:name="_Ref178064866"/>
      <w:r w:rsidRPr="0047642A">
        <w:t>This document is the report of the following discussion</w:t>
      </w:r>
      <w:r w:rsidR="001C0D2E" w:rsidRPr="0047642A">
        <w:t>:</w:t>
      </w:r>
    </w:p>
    <w:p w14:paraId="1714DEEF" w14:textId="77777777" w:rsidR="00EE42E9" w:rsidRPr="00EE42E9" w:rsidRDefault="00EE42E9" w:rsidP="00EE42E9">
      <w:pPr>
        <w:pStyle w:val="Agreement"/>
      </w:pPr>
      <w:r w:rsidRPr="00EE42E9">
        <w:t xml:space="preserve">Prepare offline a RAN2 CR (how it would like).  Wait for some RAN1/RAN4 progress on LTM related issues and identify whether we can assume that those solutions can be used.   </w:t>
      </w:r>
    </w:p>
    <w:p w14:paraId="16B930AC" w14:textId="77777777" w:rsidR="00EE42E9" w:rsidRPr="00EE42E9" w:rsidRDefault="00EE42E9" w:rsidP="00EE42E9">
      <w:pPr>
        <w:pStyle w:val="Agreement"/>
      </w:pPr>
      <w:r w:rsidRPr="00EE42E9">
        <w:t xml:space="preserve">Prepare an LS to RAN1 and cc RAN4 to indicate intention on RAN2 solution, provide the RAN2 CR (how it would look like).  Provide the identified impacts to RAN1 and ask if this is ok.  </w:t>
      </w:r>
    </w:p>
    <w:p w14:paraId="54BB7D28" w14:textId="77777777" w:rsidR="00EE42E9" w:rsidRDefault="00EE42E9" w:rsidP="001C0D2E">
      <w:pPr>
        <w:pStyle w:val="BodyText"/>
      </w:pPr>
    </w:p>
    <w:p w14:paraId="1571602F" w14:textId="28CFFFB5" w:rsidR="00EE42E9" w:rsidRPr="00EE42E9" w:rsidRDefault="00EE42E9" w:rsidP="00EE42E9">
      <w:pPr>
        <w:pStyle w:val="EmailDiscussion"/>
      </w:pPr>
      <w:r w:rsidRPr="00EE42E9">
        <w:t>[AT131][011][TEI19] Early CSI  (Huawei)</w:t>
      </w:r>
    </w:p>
    <w:p w14:paraId="3983A478"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 xml:space="preserve">Intended outcome:  LS, RAN2 CR </w:t>
      </w:r>
    </w:p>
    <w:p w14:paraId="0A496EAE"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Deadline:  Thursday</w:t>
      </w:r>
    </w:p>
    <w:p w14:paraId="480D08E4" w14:textId="3E27CFF2" w:rsidR="00616E35" w:rsidRDefault="00616E35" w:rsidP="00EE42E9">
      <w:pPr>
        <w:pStyle w:val="EmailDiscussion2"/>
      </w:pPr>
    </w:p>
    <w:p w14:paraId="67FF8D27" w14:textId="0F453C2C" w:rsidR="00EE42E9" w:rsidRDefault="00EE42E9" w:rsidP="00EE42E9">
      <w:pPr>
        <w:pStyle w:val="NoSpacing"/>
        <w:rPr>
          <w:lang w:val="en-SE"/>
        </w:rPr>
      </w:pPr>
      <w:r w:rsidRPr="00EE42E9">
        <w:rPr>
          <w:lang w:val="en-SE"/>
        </w:rPr>
        <w:t>Based</w:t>
      </w:r>
      <w:r>
        <w:rPr>
          <w:lang w:val="en-SE"/>
        </w:rPr>
        <w:t xml:space="preserve"> on the comments from received online, the description related to CSI reporting was removed from the field description in the RRC CR. </w:t>
      </w:r>
      <w:r w:rsidR="00A32E86">
        <w:rPr>
          <w:lang w:val="en-SE"/>
        </w:rPr>
        <w:t xml:space="preserve">We also share the progress from RAN1 and RAN4 and provide our view. </w:t>
      </w:r>
    </w:p>
    <w:p w14:paraId="6E222C96" w14:textId="30157712" w:rsidR="00A32E86" w:rsidRDefault="00A32E86" w:rsidP="00EE42E9">
      <w:pPr>
        <w:pStyle w:val="NoSpacing"/>
        <w:rPr>
          <w:lang w:val="en-SE"/>
        </w:rPr>
      </w:pPr>
    </w:p>
    <w:p w14:paraId="12B2B227" w14:textId="58A78F81" w:rsidR="009A7D65" w:rsidRPr="009D6AF5" w:rsidRDefault="00A32E86" w:rsidP="00A32E86">
      <w:pPr>
        <w:pStyle w:val="NoSpacing"/>
        <w:rPr>
          <w:rFonts w:ascii="Calibri" w:eastAsia="SimSun" w:hAnsi="Calibri" w:cs="Arial"/>
          <w:sz w:val="22"/>
          <w:szCs w:val="22"/>
          <w:lang w:val="en-SE" w:eastAsia="zh-CN"/>
        </w:rPr>
      </w:pPr>
      <w:r>
        <w:rPr>
          <w:lang w:val="en-SE"/>
        </w:rPr>
        <w:t xml:space="preserve">Please provide your comments by </w:t>
      </w:r>
      <w:r w:rsidR="00A770F0">
        <w:rPr>
          <w:highlight w:val="yellow"/>
          <w:lang w:val="en-SE"/>
        </w:rPr>
        <w:t>09</w:t>
      </w:r>
      <w:r w:rsidRPr="00A32E86">
        <w:rPr>
          <w:highlight w:val="yellow"/>
          <w:lang w:val="en-SE"/>
        </w:rPr>
        <w:t>:00 on Thursday</w:t>
      </w:r>
      <w:r>
        <w:rPr>
          <w:lang w:val="en-SE"/>
        </w:rPr>
        <w:t xml:space="preserve"> to allow time to update the CR and the draft LS before deadline</w:t>
      </w:r>
      <w:r w:rsidR="009D6AF5">
        <w:rPr>
          <w:lang w:val="en-SE"/>
        </w:rPr>
        <w:t>.</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5DF86048" w14:textId="3EBBB444" w:rsidR="00EE42E9" w:rsidRDefault="00EE42E9">
      <w:pPr>
        <w:pStyle w:val="Heading1"/>
        <w:rPr>
          <w:lang w:val="en-SE"/>
        </w:rPr>
      </w:pPr>
      <w:r>
        <w:rPr>
          <w:lang w:val="en-SE"/>
        </w:rPr>
        <w:lastRenderedPageBreak/>
        <w:t xml:space="preserve">2 </w:t>
      </w:r>
      <w:r w:rsidR="00B61647">
        <w:rPr>
          <w:lang w:val="en-SE"/>
        </w:rPr>
        <w:tab/>
      </w:r>
      <w:r>
        <w:rPr>
          <w:lang w:val="en-SE"/>
        </w:rPr>
        <w:t>RAN1’s progress</w:t>
      </w:r>
    </w:p>
    <w:p w14:paraId="32CC5583" w14:textId="3348DD9A" w:rsidR="00EE42E9" w:rsidRDefault="002F1C0F" w:rsidP="00EE42E9">
      <w:pPr>
        <w:rPr>
          <w:lang w:val="en-SE"/>
        </w:rPr>
      </w:pPr>
      <w:r>
        <w:rPr>
          <w:lang w:val="en-SE"/>
        </w:rPr>
        <w:t xml:space="preserve">Of all the agreements made by RAN1, only the following agreement is relevant for L3 handover. </w:t>
      </w:r>
    </w:p>
    <w:tbl>
      <w:tblPr>
        <w:tblStyle w:val="TableGrid"/>
        <w:tblW w:w="0" w:type="auto"/>
        <w:tblLook w:val="04A0" w:firstRow="1" w:lastRow="0" w:firstColumn="1" w:lastColumn="0" w:noHBand="0" w:noVBand="1"/>
      </w:tblPr>
      <w:tblGrid>
        <w:gridCol w:w="9913"/>
      </w:tblGrid>
      <w:tr w:rsidR="002F1C0F" w14:paraId="74F00010" w14:textId="77777777" w:rsidTr="002F1C0F">
        <w:tc>
          <w:tcPr>
            <w:tcW w:w="9913" w:type="dxa"/>
          </w:tcPr>
          <w:p w14:paraId="51D7E728" w14:textId="77777777" w:rsidR="002F1C0F" w:rsidRPr="002F1C0F" w:rsidRDefault="002F1C0F" w:rsidP="002F1C0F">
            <w:pPr>
              <w:overflowPunct/>
              <w:autoSpaceDE/>
              <w:autoSpaceDN/>
              <w:adjustRightInd/>
              <w:spacing w:after="0"/>
              <w:textAlignment w:val="auto"/>
              <w:rPr>
                <w:rFonts w:ascii="Times" w:eastAsia="DengXian" w:hAnsi="Times"/>
                <w:szCs w:val="24"/>
                <w:highlight w:val="green"/>
                <w:lang w:eastAsia="zh-CN"/>
              </w:rPr>
            </w:pPr>
            <w:r w:rsidRPr="002F1C0F">
              <w:rPr>
                <w:rFonts w:ascii="Times" w:eastAsia="DengXian" w:hAnsi="Times" w:hint="eastAsia"/>
                <w:szCs w:val="24"/>
                <w:highlight w:val="green"/>
                <w:lang w:eastAsia="zh-CN"/>
              </w:rPr>
              <w:t>Agreement</w:t>
            </w:r>
          </w:p>
          <w:p w14:paraId="5DC54B8B" w14:textId="6E4CBF78" w:rsidR="002F1C0F" w:rsidRPr="002F1C0F" w:rsidRDefault="002F1C0F" w:rsidP="002F1C0F">
            <w:pPr>
              <w:numPr>
                <w:ilvl w:val="0"/>
                <w:numId w:val="21"/>
              </w:numPr>
              <w:overflowPunct/>
              <w:autoSpaceDE/>
              <w:autoSpaceDN/>
              <w:adjustRightInd/>
              <w:spacing w:after="0"/>
              <w:contextualSpacing/>
              <w:textAlignment w:val="auto"/>
              <w:rPr>
                <w:rFonts w:ascii="Times" w:eastAsia="DengXian" w:hAnsi="Times"/>
                <w:lang w:eastAsia="x-none"/>
              </w:rPr>
            </w:pPr>
            <w:r w:rsidRPr="002F1C0F">
              <w:rPr>
                <w:rFonts w:ascii="Times" w:eastAsia="Batang" w:hAnsi="Times"/>
                <w:color w:val="000000"/>
              </w:rPr>
              <w:t>Adapt LTM-CSI-ReportConfig to include cqi-Table for CQI reporting</w:t>
            </w:r>
          </w:p>
        </w:tc>
      </w:tr>
    </w:tbl>
    <w:p w14:paraId="0D6A3E81" w14:textId="63DBDDDA" w:rsidR="002F1C0F" w:rsidRDefault="002F1C0F" w:rsidP="00EE42E9">
      <w:pPr>
        <w:rPr>
          <w:lang w:val="en-SE"/>
        </w:rPr>
      </w:pPr>
    </w:p>
    <w:p w14:paraId="04DAD515" w14:textId="698CB2D6" w:rsidR="002F1C0F" w:rsidRPr="00EE42E9" w:rsidRDefault="002F1C0F" w:rsidP="00EE42E9">
      <w:pPr>
        <w:rPr>
          <w:lang w:val="en-SE"/>
        </w:rPr>
      </w:pPr>
      <w:r>
        <w:rPr>
          <w:lang w:val="en-SE"/>
        </w:rPr>
        <w:t>We updated the RRC CR to include this for L3 handover.</w:t>
      </w:r>
    </w:p>
    <w:p w14:paraId="54A175CE" w14:textId="41FF74C3" w:rsidR="00EE42E9" w:rsidRDefault="00EE42E9">
      <w:pPr>
        <w:pStyle w:val="Heading1"/>
        <w:rPr>
          <w:lang w:val="en-SE"/>
        </w:rPr>
      </w:pPr>
      <w:r>
        <w:rPr>
          <w:lang w:val="en-SE"/>
        </w:rPr>
        <w:t xml:space="preserve">3 </w:t>
      </w:r>
      <w:r w:rsidR="00B61647">
        <w:rPr>
          <w:lang w:val="en-SE"/>
        </w:rPr>
        <w:tab/>
      </w:r>
      <w:r>
        <w:rPr>
          <w:lang w:val="en-SE"/>
        </w:rPr>
        <w:t>RAN4’s progress</w:t>
      </w:r>
    </w:p>
    <w:p w14:paraId="004B8909" w14:textId="7F6F513F" w:rsidR="00EE42E9" w:rsidRDefault="002F1C0F" w:rsidP="00EE42E9">
      <w:pPr>
        <w:rPr>
          <w:lang w:val="en-SE"/>
        </w:rPr>
      </w:pPr>
      <w:r>
        <w:rPr>
          <w:lang w:val="en-SE"/>
        </w:rPr>
        <w:t>The following is the agreement from RAN4:</w:t>
      </w:r>
    </w:p>
    <w:tbl>
      <w:tblPr>
        <w:tblStyle w:val="TableGrid"/>
        <w:tblW w:w="0" w:type="auto"/>
        <w:tblLook w:val="04A0" w:firstRow="1" w:lastRow="0" w:firstColumn="1" w:lastColumn="0" w:noHBand="0" w:noVBand="1"/>
      </w:tblPr>
      <w:tblGrid>
        <w:gridCol w:w="9913"/>
      </w:tblGrid>
      <w:tr w:rsidR="002F1C0F" w14:paraId="4274B6A6" w14:textId="77777777" w:rsidTr="002F1C0F">
        <w:tc>
          <w:tcPr>
            <w:tcW w:w="9913" w:type="dxa"/>
          </w:tcPr>
          <w:p w14:paraId="5595E92C" w14:textId="77777777" w:rsidR="002F1C0F" w:rsidRPr="002F1C0F" w:rsidRDefault="002F1C0F" w:rsidP="002F1C0F">
            <w:pPr>
              <w:spacing w:after="120"/>
              <w:textAlignment w:val="auto"/>
              <w:rPr>
                <w:rFonts w:eastAsia="DengXian"/>
                <w:color w:val="000000"/>
                <w:sz w:val="21"/>
                <w:szCs w:val="21"/>
                <w:highlight w:val="green"/>
                <w:lang w:eastAsia="zh-CN"/>
              </w:rPr>
            </w:pPr>
            <w:r w:rsidRPr="002F1C0F">
              <w:rPr>
                <w:rFonts w:eastAsia="DengXian" w:hint="eastAsia"/>
                <w:color w:val="000000"/>
                <w:sz w:val="21"/>
                <w:szCs w:val="21"/>
                <w:highlight w:val="green"/>
                <w:lang w:eastAsia="zh-CN"/>
              </w:rPr>
              <w:t>A</w:t>
            </w:r>
            <w:r w:rsidRPr="002F1C0F">
              <w:rPr>
                <w:rFonts w:eastAsia="DengXian"/>
                <w:color w:val="000000"/>
                <w:sz w:val="21"/>
                <w:szCs w:val="21"/>
                <w:highlight w:val="green"/>
                <w:lang w:eastAsia="zh-CN"/>
              </w:rPr>
              <w:t>greement:</w:t>
            </w:r>
          </w:p>
          <w:p w14:paraId="731F170C" w14:textId="77777777" w:rsidR="002F1C0F" w:rsidRPr="002F1C0F" w:rsidRDefault="002F1C0F" w:rsidP="002F1C0F">
            <w:pPr>
              <w:numPr>
                <w:ilvl w:val="0"/>
                <w:numId w:val="22"/>
              </w:numPr>
              <w:overflowPunct/>
              <w:autoSpaceDE/>
              <w:autoSpaceDN/>
              <w:adjustRightInd/>
              <w:spacing w:after="120"/>
              <w:textAlignment w:val="auto"/>
              <w:rPr>
                <w:rFonts w:eastAsia="SimSun"/>
                <w:color w:val="000000"/>
                <w:kern w:val="2"/>
                <w:sz w:val="21"/>
                <w:szCs w:val="21"/>
                <w:highlight w:val="green"/>
                <w:lang w:val="en-US" w:eastAsia="zh-CN"/>
              </w:rPr>
            </w:pPr>
            <w:r w:rsidRPr="002F1C0F">
              <w:rPr>
                <w:rFonts w:eastAsia="DengXian"/>
                <w:color w:val="000000"/>
                <w:kern w:val="2"/>
                <w:sz w:val="21"/>
                <w:szCs w:val="21"/>
                <w:highlight w:val="green"/>
                <w:lang w:val="en-US" w:eastAsia="zh-CN"/>
              </w:rPr>
              <w:t>No consensus on defining new RAN4 requirements for early CSI acquisition.</w:t>
            </w:r>
          </w:p>
          <w:p w14:paraId="4C99C704" w14:textId="24CDD40E" w:rsidR="002F1C0F" w:rsidRPr="002F1C0F" w:rsidRDefault="002F1C0F" w:rsidP="00EE42E9">
            <w:pPr>
              <w:numPr>
                <w:ilvl w:val="1"/>
                <w:numId w:val="22"/>
              </w:numPr>
              <w:overflowPunct/>
              <w:autoSpaceDE/>
              <w:autoSpaceDN/>
              <w:adjustRightInd/>
              <w:spacing w:after="120"/>
              <w:textAlignment w:val="auto"/>
              <w:rPr>
                <w:rFonts w:eastAsia="SimSun"/>
                <w:color w:val="000000"/>
                <w:kern w:val="2"/>
                <w:sz w:val="21"/>
                <w:szCs w:val="21"/>
                <w:highlight w:val="green"/>
                <w:lang w:val="en-US" w:eastAsia="zh-CN"/>
              </w:rPr>
            </w:pPr>
            <w:r w:rsidRPr="002F1C0F">
              <w:rPr>
                <w:rFonts w:eastAsia="DengXian"/>
                <w:color w:val="000000"/>
                <w:kern w:val="2"/>
                <w:sz w:val="21"/>
                <w:szCs w:val="21"/>
                <w:highlight w:val="green"/>
                <w:lang w:val="en-US" w:eastAsia="zh-CN"/>
              </w:rPr>
              <w:t>Clarification on the applicability of the existing requirement is not precluded if consensus on the exact clarification can be reached.</w:t>
            </w:r>
          </w:p>
        </w:tc>
      </w:tr>
    </w:tbl>
    <w:p w14:paraId="6C8CD9D1" w14:textId="78BD724A" w:rsidR="002F1C0F" w:rsidRDefault="002F1C0F" w:rsidP="00EE42E9">
      <w:pPr>
        <w:rPr>
          <w:lang w:val="en-SE"/>
        </w:rPr>
      </w:pPr>
    </w:p>
    <w:p w14:paraId="48F7A774" w14:textId="665E12FF" w:rsidR="00BB4C68" w:rsidRPr="0045321D" w:rsidRDefault="00335F9B" w:rsidP="00406982">
      <w:pPr>
        <w:rPr>
          <w:lang w:val="en-SE"/>
        </w:rPr>
      </w:pPr>
      <w:r>
        <w:rPr>
          <w:lang w:val="en-SE"/>
        </w:rPr>
        <w:t>There was no consensus on defining new RAN4 requirements</w:t>
      </w:r>
      <w:r w:rsidR="002F1C0F">
        <w:rPr>
          <w:lang w:val="en-SE"/>
        </w:rPr>
        <w:t>.</w:t>
      </w:r>
    </w:p>
    <w:p w14:paraId="5BC043FB" w14:textId="002F3170" w:rsidR="00406982" w:rsidRDefault="00406982" w:rsidP="00406982">
      <w:pPr>
        <w:pStyle w:val="Heading1"/>
      </w:pPr>
      <w:r>
        <w:rPr>
          <w:lang w:val="en-SE"/>
        </w:rPr>
        <w:t xml:space="preserve">4 </w:t>
      </w:r>
      <w:r w:rsidR="00B61647">
        <w:rPr>
          <w:lang w:val="en-SE"/>
        </w:rPr>
        <w:tab/>
      </w:r>
      <w:r>
        <w:rPr>
          <w:lang w:val="en-SE"/>
        </w:rPr>
        <w:t>RAN2 CRs</w:t>
      </w:r>
    </w:p>
    <w:p w14:paraId="60710BFC" w14:textId="6BE5ADB1" w:rsidR="00252F11" w:rsidRDefault="00252F11" w:rsidP="009A7D65">
      <w:pPr>
        <w:pStyle w:val="BodyText"/>
        <w:keepNext/>
        <w:rPr>
          <w:rFonts w:ascii="Times New Roman" w:hAnsi="Times New Roman"/>
        </w:rPr>
      </w:pPr>
    </w:p>
    <w:p w14:paraId="654555C3" w14:textId="0134845B" w:rsidR="00252F11" w:rsidRPr="00252F11" w:rsidRDefault="00252F11" w:rsidP="009A7D65">
      <w:pPr>
        <w:pStyle w:val="BodyText"/>
        <w:keepNext/>
        <w:rPr>
          <w:rFonts w:ascii="Times New Roman" w:hAnsi="Times New Roman"/>
          <w:lang w:val="en-SE"/>
        </w:rPr>
      </w:pPr>
      <w:r>
        <w:rPr>
          <w:rFonts w:ascii="Times New Roman" w:hAnsi="Times New Roman"/>
          <w:lang w:val="en-SE"/>
        </w:rPr>
        <w:t>In addition to capturing the latest RAN1’s agreement, we removed the description related to CSI reporting from the field description of the RRC CR as suggested by Ericsson during online.</w:t>
      </w:r>
    </w:p>
    <w:p w14:paraId="06638E7E" w14:textId="2826D618" w:rsidR="009A7D65" w:rsidRDefault="009A7D65" w:rsidP="009A7D65">
      <w:pPr>
        <w:pStyle w:val="BodyText"/>
        <w:keepNext/>
        <w:rPr>
          <w:rFonts w:ascii="Times New Roman" w:hAnsi="Times New Roman"/>
        </w:rPr>
      </w:pPr>
      <w:r w:rsidRPr="0045321D">
        <w:rPr>
          <w:rFonts w:ascii="Times New Roman" w:hAnsi="Times New Roman"/>
        </w:rPr>
        <w:t xml:space="preserve">Please don’t change the CR text or insert comments to the CR file. Please use the table below for comments and wording </w:t>
      </w:r>
      <w:r w:rsidR="00C92FB2" w:rsidRPr="0045321D">
        <w:rPr>
          <w:rFonts w:ascii="Times New Roman" w:hAnsi="Times New Roman"/>
        </w:rPr>
        <w:t xml:space="preserve">suggestions </w:t>
      </w:r>
      <w:r w:rsidRPr="0045321D">
        <w:rPr>
          <w:rFonts w:ascii="Times New Roman" w:hAnsi="Times New Roman"/>
        </w:rPr>
        <w:t xml:space="preserve">for clarity of the CR tdoc. </w:t>
      </w:r>
    </w:p>
    <w:p w14:paraId="265EE207" w14:textId="617AB907" w:rsidR="00406982" w:rsidRDefault="00406982" w:rsidP="009A7D65">
      <w:pPr>
        <w:pStyle w:val="BodyText"/>
        <w:keepNext/>
        <w:rPr>
          <w:rFonts w:ascii="Times New Roman" w:hAnsi="Times New Roman"/>
        </w:rPr>
      </w:pPr>
    </w:p>
    <w:p w14:paraId="3C193083" w14:textId="3C4E17FE" w:rsidR="00252F11" w:rsidRPr="003225B7" w:rsidRDefault="003225B7" w:rsidP="009A7D65">
      <w:pPr>
        <w:pStyle w:val="BodyText"/>
        <w:keepNext/>
        <w:rPr>
          <w:rFonts w:ascii="Times New Roman" w:hAnsi="Times New Roman"/>
          <w:b/>
          <w:bCs/>
          <w:lang w:val="en-SE"/>
        </w:rPr>
      </w:pPr>
      <w:r w:rsidRPr="003225B7">
        <w:rPr>
          <w:rFonts w:ascii="Times New Roman" w:hAnsi="Times New Roman"/>
          <w:b/>
          <w:bCs/>
          <w:lang w:val="en-SE"/>
        </w:rPr>
        <w:t>CR to 38.331:</w:t>
      </w:r>
    </w:p>
    <w:tbl>
      <w:tblPr>
        <w:tblStyle w:val="TableGrid"/>
        <w:tblW w:w="0" w:type="auto"/>
        <w:tblLook w:val="04A0" w:firstRow="1" w:lastRow="0" w:firstColumn="1" w:lastColumn="0" w:noHBand="0" w:noVBand="1"/>
      </w:tblPr>
      <w:tblGrid>
        <w:gridCol w:w="3304"/>
        <w:gridCol w:w="3304"/>
        <w:gridCol w:w="3305"/>
      </w:tblGrid>
      <w:tr w:rsidR="00406982" w14:paraId="1B8CB7FD" w14:textId="77777777" w:rsidTr="00406982">
        <w:tc>
          <w:tcPr>
            <w:tcW w:w="3304" w:type="dxa"/>
          </w:tcPr>
          <w:p w14:paraId="54E361E6" w14:textId="5E8F2319" w:rsidR="00406982" w:rsidRPr="00E55C2E" w:rsidRDefault="00406982" w:rsidP="009A7D65">
            <w:pPr>
              <w:pStyle w:val="BodyText"/>
              <w:keepNext/>
              <w:rPr>
                <w:rFonts w:ascii="Times New Roman" w:hAnsi="Times New Roman"/>
                <w:b/>
                <w:bCs/>
                <w:lang w:val="en-SE"/>
              </w:rPr>
            </w:pPr>
            <w:r w:rsidRPr="00E55C2E">
              <w:rPr>
                <w:rFonts w:ascii="Times New Roman" w:hAnsi="Times New Roman"/>
                <w:b/>
                <w:bCs/>
                <w:lang w:val="en-SE"/>
              </w:rPr>
              <w:t>Company</w:t>
            </w:r>
          </w:p>
        </w:tc>
        <w:tc>
          <w:tcPr>
            <w:tcW w:w="3304" w:type="dxa"/>
          </w:tcPr>
          <w:p w14:paraId="322F8B19" w14:textId="743EF49E" w:rsidR="00406982" w:rsidRPr="00E55C2E" w:rsidRDefault="00406982" w:rsidP="009A7D65">
            <w:pPr>
              <w:pStyle w:val="BodyText"/>
              <w:keepNext/>
              <w:rPr>
                <w:rFonts w:ascii="Times New Roman" w:hAnsi="Times New Roman"/>
                <w:b/>
                <w:bCs/>
                <w:lang w:val="en-SE"/>
              </w:rPr>
            </w:pPr>
            <w:r w:rsidRPr="00E55C2E">
              <w:rPr>
                <w:rFonts w:ascii="Times New Roman" w:hAnsi="Times New Roman"/>
                <w:b/>
                <w:bCs/>
                <w:lang w:val="en-SE"/>
              </w:rPr>
              <w:t>Section and detailed comments</w:t>
            </w:r>
          </w:p>
        </w:tc>
        <w:tc>
          <w:tcPr>
            <w:tcW w:w="3305" w:type="dxa"/>
          </w:tcPr>
          <w:p w14:paraId="64F8100D" w14:textId="236DB21A" w:rsidR="00406982" w:rsidRPr="00E55C2E" w:rsidRDefault="00406982" w:rsidP="009A7D65">
            <w:pPr>
              <w:pStyle w:val="BodyText"/>
              <w:keepNext/>
              <w:rPr>
                <w:rFonts w:ascii="Times New Roman" w:hAnsi="Times New Roman"/>
                <w:b/>
                <w:bCs/>
                <w:lang w:val="en-SE"/>
              </w:rPr>
            </w:pPr>
            <w:r w:rsidRPr="00E55C2E">
              <w:rPr>
                <w:rFonts w:ascii="Times New Roman" w:hAnsi="Times New Roman"/>
                <w:b/>
                <w:bCs/>
                <w:lang w:val="en-SE"/>
              </w:rPr>
              <w:t>Rapporteur’s response</w:t>
            </w:r>
          </w:p>
        </w:tc>
      </w:tr>
      <w:tr w:rsidR="00406982" w14:paraId="051204D1" w14:textId="77777777" w:rsidTr="00406982">
        <w:tc>
          <w:tcPr>
            <w:tcW w:w="3304" w:type="dxa"/>
          </w:tcPr>
          <w:p w14:paraId="007B22A8" w14:textId="77777777" w:rsidR="00406982" w:rsidRDefault="00406982" w:rsidP="009A7D65">
            <w:pPr>
              <w:pStyle w:val="BodyText"/>
              <w:keepNext/>
              <w:rPr>
                <w:rFonts w:ascii="Times New Roman" w:hAnsi="Times New Roman"/>
              </w:rPr>
            </w:pPr>
          </w:p>
        </w:tc>
        <w:tc>
          <w:tcPr>
            <w:tcW w:w="3304" w:type="dxa"/>
          </w:tcPr>
          <w:p w14:paraId="0EED2DEC" w14:textId="77777777" w:rsidR="00406982" w:rsidRDefault="00406982" w:rsidP="009A7D65">
            <w:pPr>
              <w:pStyle w:val="BodyText"/>
              <w:keepNext/>
              <w:rPr>
                <w:rFonts w:ascii="Times New Roman" w:hAnsi="Times New Roman"/>
              </w:rPr>
            </w:pPr>
          </w:p>
        </w:tc>
        <w:tc>
          <w:tcPr>
            <w:tcW w:w="3305" w:type="dxa"/>
          </w:tcPr>
          <w:p w14:paraId="3C0774A0" w14:textId="77777777" w:rsidR="00406982" w:rsidRDefault="00406982" w:rsidP="009A7D65">
            <w:pPr>
              <w:pStyle w:val="BodyText"/>
              <w:keepNext/>
              <w:rPr>
                <w:rFonts w:ascii="Times New Roman" w:hAnsi="Times New Roman"/>
              </w:rPr>
            </w:pPr>
          </w:p>
        </w:tc>
      </w:tr>
      <w:tr w:rsidR="00406982" w14:paraId="538A903C" w14:textId="77777777" w:rsidTr="00406982">
        <w:tc>
          <w:tcPr>
            <w:tcW w:w="3304" w:type="dxa"/>
          </w:tcPr>
          <w:p w14:paraId="1F4F8A43" w14:textId="77777777" w:rsidR="00406982" w:rsidRDefault="00406982" w:rsidP="009A7D65">
            <w:pPr>
              <w:pStyle w:val="BodyText"/>
              <w:keepNext/>
              <w:rPr>
                <w:rFonts w:ascii="Times New Roman" w:hAnsi="Times New Roman"/>
              </w:rPr>
            </w:pPr>
          </w:p>
        </w:tc>
        <w:tc>
          <w:tcPr>
            <w:tcW w:w="3304" w:type="dxa"/>
          </w:tcPr>
          <w:p w14:paraId="4977F8FE" w14:textId="77777777" w:rsidR="00406982" w:rsidRDefault="00406982" w:rsidP="009A7D65">
            <w:pPr>
              <w:pStyle w:val="BodyText"/>
              <w:keepNext/>
              <w:rPr>
                <w:rFonts w:ascii="Times New Roman" w:hAnsi="Times New Roman"/>
              </w:rPr>
            </w:pPr>
          </w:p>
        </w:tc>
        <w:tc>
          <w:tcPr>
            <w:tcW w:w="3305" w:type="dxa"/>
          </w:tcPr>
          <w:p w14:paraId="1A97FB26" w14:textId="77777777" w:rsidR="00406982" w:rsidRDefault="00406982" w:rsidP="009A7D65">
            <w:pPr>
              <w:pStyle w:val="BodyText"/>
              <w:keepNext/>
              <w:rPr>
                <w:rFonts w:ascii="Times New Roman" w:hAnsi="Times New Roman"/>
              </w:rPr>
            </w:pPr>
          </w:p>
        </w:tc>
      </w:tr>
    </w:tbl>
    <w:p w14:paraId="47D401BC" w14:textId="77777777" w:rsidR="00406982" w:rsidRPr="0045321D" w:rsidRDefault="00406982" w:rsidP="009A7D65">
      <w:pPr>
        <w:pStyle w:val="BodyText"/>
        <w:keepNext/>
        <w:rPr>
          <w:rFonts w:ascii="Times New Roman" w:hAnsi="Times New Roman"/>
        </w:rPr>
      </w:pPr>
    </w:p>
    <w:p w14:paraId="6E00EB2C" w14:textId="041A30F1" w:rsidR="003225B7" w:rsidRPr="003225B7" w:rsidRDefault="003225B7" w:rsidP="003225B7">
      <w:pPr>
        <w:pStyle w:val="BodyText"/>
        <w:keepNext/>
        <w:rPr>
          <w:rFonts w:ascii="Times New Roman" w:hAnsi="Times New Roman"/>
          <w:b/>
          <w:bCs/>
          <w:lang w:val="en-SE"/>
        </w:rPr>
      </w:pPr>
      <w:r w:rsidRPr="003225B7">
        <w:rPr>
          <w:rFonts w:ascii="Times New Roman" w:hAnsi="Times New Roman"/>
          <w:b/>
          <w:bCs/>
          <w:lang w:val="en-SE"/>
        </w:rPr>
        <w:t>CR to 38.3</w:t>
      </w:r>
      <w:r>
        <w:rPr>
          <w:rFonts w:ascii="Times New Roman" w:hAnsi="Times New Roman"/>
          <w:b/>
          <w:bCs/>
          <w:lang w:val="en-SE"/>
        </w:rPr>
        <w:t>06</w:t>
      </w:r>
      <w:r w:rsidRPr="003225B7">
        <w:rPr>
          <w:rFonts w:ascii="Times New Roman" w:hAnsi="Times New Roman"/>
          <w:b/>
          <w:bCs/>
          <w:lang w:val="en-SE"/>
        </w:rPr>
        <w:t>:</w:t>
      </w:r>
    </w:p>
    <w:tbl>
      <w:tblPr>
        <w:tblStyle w:val="TableGrid"/>
        <w:tblW w:w="0" w:type="auto"/>
        <w:tblLook w:val="04A0" w:firstRow="1" w:lastRow="0" w:firstColumn="1" w:lastColumn="0" w:noHBand="0" w:noVBand="1"/>
      </w:tblPr>
      <w:tblGrid>
        <w:gridCol w:w="3304"/>
        <w:gridCol w:w="3304"/>
        <w:gridCol w:w="3305"/>
      </w:tblGrid>
      <w:tr w:rsidR="003225B7" w14:paraId="73915C31" w14:textId="77777777" w:rsidTr="002E3A98">
        <w:tc>
          <w:tcPr>
            <w:tcW w:w="3304" w:type="dxa"/>
          </w:tcPr>
          <w:p w14:paraId="344AE08F" w14:textId="77777777" w:rsidR="003225B7" w:rsidRPr="00E55C2E" w:rsidRDefault="003225B7" w:rsidP="002E3A98">
            <w:pPr>
              <w:pStyle w:val="BodyText"/>
              <w:keepNext/>
              <w:rPr>
                <w:rFonts w:ascii="Times New Roman" w:hAnsi="Times New Roman"/>
                <w:b/>
                <w:bCs/>
                <w:lang w:val="en-SE"/>
              </w:rPr>
            </w:pPr>
            <w:r w:rsidRPr="00E55C2E">
              <w:rPr>
                <w:rFonts w:ascii="Times New Roman" w:hAnsi="Times New Roman"/>
                <w:b/>
                <w:bCs/>
                <w:lang w:val="en-SE"/>
              </w:rPr>
              <w:t>Company</w:t>
            </w:r>
          </w:p>
        </w:tc>
        <w:tc>
          <w:tcPr>
            <w:tcW w:w="3304" w:type="dxa"/>
          </w:tcPr>
          <w:p w14:paraId="3795A53E" w14:textId="77777777" w:rsidR="003225B7" w:rsidRPr="00E55C2E" w:rsidRDefault="003225B7" w:rsidP="002E3A98">
            <w:pPr>
              <w:pStyle w:val="BodyText"/>
              <w:keepNext/>
              <w:rPr>
                <w:rFonts w:ascii="Times New Roman" w:hAnsi="Times New Roman"/>
                <w:b/>
                <w:bCs/>
                <w:lang w:val="en-SE"/>
              </w:rPr>
            </w:pPr>
            <w:r w:rsidRPr="00E55C2E">
              <w:rPr>
                <w:rFonts w:ascii="Times New Roman" w:hAnsi="Times New Roman"/>
                <w:b/>
                <w:bCs/>
                <w:lang w:val="en-SE"/>
              </w:rPr>
              <w:t>Section and detailed comments</w:t>
            </w:r>
          </w:p>
        </w:tc>
        <w:tc>
          <w:tcPr>
            <w:tcW w:w="3305" w:type="dxa"/>
          </w:tcPr>
          <w:p w14:paraId="02F10675" w14:textId="77777777" w:rsidR="003225B7" w:rsidRPr="00E55C2E" w:rsidRDefault="003225B7" w:rsidP="002E3A98">
            <w:pPr>
              <w:pStyle w:val="BodyText"/>
              <w:keepNext/>
              <w:rPr>
                <w:rFonts w:ascii="Times New Roman" w:hAnsi="Times New Roman"/>
                <w:b/>
                <w:bCs/>
                <w:lang w:val="en-SE"/>
              </w:rPr>
            </w:pPr>
            <w:r w:rsidRPr="00E55C2E">
              <w:rPr>
                <w:rFonts w:ascii="Times New Roman" w:hAnsi="Times New Roman"/>
                <w:b/>
                <w:bCs/>
                <w:lang w:val="en-SE"/>
              </w:rPr>
              <w:t>Rapporteur’s response</w:t>
            </w:r>
          </w:p>
        </w:tc>
      </w:tr>
      <w:tr w:rsidR="003225B7" w14:paraId="29AC6C0C" w14:textId="77777777" w:rsidTr="002E3A98">
        <w:tc>
          <w:tcPr>
            <w:tcW w:w="3304" w:type="dxa"/>
          </w:tcPr>
          <w:p w14:paraId="2A8AABA8" w14:textId="77777777" w:rsidR="003225B7" w:rsidRDefault="003225B7" w:rsidP="002E3A98">
            <w:pPr>
              <w:pStyle w:val="BodyText"/>
              <w:keepNext/>
              <w:rPr>
                <w:rFonts w:ascii="Times New Roman" w:hAnsi="Times New Roman"/>
              </w:rPr>
            </w:pPr>
          </w:p>
        </w:tc>
        <w:tc>
          <w:tcPr>
            <w:tcW w:w="3304" w:type="dxa"/>
          </w:tcPr>
          <w:p w14:paraId="24E80D25" w14:textId="77777777" w:rsidR="003225B7" w:rsidRDefault="003225B7" w:rsidP="002E3A98">
            <w:pPr>
              <w:pStyle w:val="BodyText"/>
              <w:keepNext/>
              <w:rPr>
                <w:rFonts w:ascii="Times New Roman" w:hAnsi="Times New Roman"/>
              </w:rPr>
            </w:pPr>
          </w:p>
        </w:tc>
        <w:tc>
          <w:tcPr>
            <w:tcW w:w="3305" w:type="dxa"/>
          </w:tcPr>
          <w:p w14:paraId="754D185C" w14:textId="77777777" w:rsidR="003225B7" w:rsidRDefault="003225B7" w:rsidP="002E3A98">
            <w:pPr>
              <w:pStyle w:val="BodyText"/>
              <w:keepNext/>
              <w:rPr>
                <w:rFonts w:ascii="Times New Roman" w:hAnsi="Times New Roman"/>
              </w:rPr>
            </w:pPr>
          </w:p>
        </w:tc>
      </w:tr>
      <w:tr w:rsidR="003225B7" w14:paraId="20AB8842" w14:textId="77777777" w:rsidTr="002E3A98">
        <w:tc>
          <w:tcPr>
            <w:tcW w:w="3304" w:type="dxa"/>
          </w:tcPr>
          <w:p w14:paraId="56B9CE1E" w14:textId="77777777" w:rsidR="003225B7" w:rsidRDefault="003225B7" w:rsidP="002E3A98">
            <w:pPr>
              <w:pStyle w:val="BodyText"/>
              <w:keepNext/>
              <w:rPr>
                <w:rFonts w:ascii="Times New Roman" w:hAnsi="Times New Roman"/>
              </w:rPr>
            </w:pPr>
          </w:p>
        </w:tc>
        <w:tc>
          <w:tcPr>
            <w:tcW w:w="3304" w:type="dxa"/>
          </w:tcPr>
          <w:p w14:paraId="312532DC" w14:textId="77777777" w:rsidR="003225B7" w:rsidRDefault="003225B7" w:rsidP="002E3A98">
            <w:pPr>
              <w:pStyle w:val="BodyText"/>
              <w:keepNext/>
              <w:rPr>
                <w:rFonts w:ascii="Times New Roman" w:hAnsi="Times New Roman"/>
              </w:rPr>
            </w:pPr>
          </w:p>
        </w:tc>
        <w:tc>
          <w:tcPr>
            <w:tcW w:w="3305" w:type="dxa"/>
          </w:tcPr>
          <w:p w14:paraId="7B1CF337" w14:textId="77777777" w:rsidR="003225B7" w:rsidRDefault="003225B7" w:rsidP="002E3A98">
            <w:pPr>
              <w:pStyle w:val="BodyText"/>
              <w:keepNext/>
              <w:rPr>
                <w:rFonts w:ascii="Times New Roman" w:hAnsi="Times New Roman"/>
              </w:rPr>
            </w:pPr>
          </w:p>
        </w:tc>
      </w:tr>
    </w:tbl>
    <w:p w14:paraId="2E343802" w14:textId="77777777" w:rsidR="001A1C8B" w:rsidRDefault="001A1C8B" w:rsidP="00BB4C68">
      <w:pPr>
        <w:pStyle w:val="BodyText"/>
        <w:keepNext/>
      </w:pPr>
    </w:p>
    <w:p w14:paraId="7C16F1F1" w14:textId="5E44CED2" w:rsidR="00A070D0" w:rsidRPr="00C147C3" w:rsidRDefault="00A070D0" w:rsidP="003A4684">
      <w:pPr>
        <w:pStyle w:val="Reference"/>
        <w:numPr>
          <w:ilvl w:val="0"/>
          <w:numId w:val="0"/>
        </w:numPr>
        <w:ind w:left="567"/>
      </w:pPr>
    </w:p>
    <w:p w14:paraId="7642064B" w14:textId="1C104F33" w:rsidR="00EE42E9" w:rsidRDefault="000E043D">
      <w:pPr>
        <w:pStyle w:val="Heading1"/>
        <w:rPr>
          <w:lang w:val="en-SE"/>
        </w:rPr>
      </w:pPr>
      <w:r>
        <w:rPr>
          <w:lang w:val="en-SE"/>
        </w:rPr>
        <w:t xml:space="preserve">5 </w:t>
      </w:r>
      <w:r>
        <w:rPr>
          <w:lang w:val="en-SE"/>
        </w:rPr>
        <w:tab/>
        <w:t>draft LS to RAN1</w:t>
      </w:r>
    </w:p>
    <w:p w14:paraId="38BB1F3C" w14:textId="79BBF50C" w:rsidR="000E043D" w:rsidRDefault="000E043D" w:rsidP="000E043D">
      <w:pPr>
        <w:rPr>
          <w:lang w:val="en-SE"/>
        </w:rPr>
      </w:pPr>
      <w:r>
        <w:rPr>
          <w:lang w:val="en-SE"/>
        </w:rPr>
        <w:t xml:space="preserve">A draft LS is provided in the same folder. Please </w:t>
      </w:r>
      <w:r w:rsidR="00EF253D">
        <w:rPr>
          <w:lang w:val="en-SE"/>
        </w:rPr>
        <w:t>provide your comments.</w:t>
      </w:r>
    </w:p>
    <w:tbl>
      <w:tblPr>
        <w:tblStyle w:val="TableGrid"/>
        <w:tblW w:w="0" w:type="auto"/>
        <w:tblLook w:val="04A0" w:firstRow="1" w:lastRow="0" w:firstColumn="1" w:lastColumn="0" w:noHBand="0" w:noVBand="1"/>
      </w:tblPr>
      <w:tblGrid>
        <w:gridCol w:w="3304"/>
        <w:gridCol w:w="3304"/>
        <w:gridCol w:w="3305"/>
      </w:tblGrid>
      <w:tr w:rsidR="00EF253D" w14:paraId="25C57BD6" w14:textId="77777777" w:rsidTr="006B6625">
        <w:tc>
          <w:tcPr>
            <w:tcW w:w="3304" w:type="dxa"/>
          </w:tcPr>
          <w:p w14:paraId="425C205F" w14:textId="77777777" w:rsidR="00EF253D" w:rsidRPr="00E55C2E" w:rsidRDefault="00EF253D" w:rsidP="006B6625">
            <w:pPr>
              <w:pStyle w:val="BodyText"/>
              <w:keepNext/>
              <w:rPr>
                <w:rFonts w:ascii="Times New Roman" w:hAnsi="Times New Roman"/>
                <w:b/>
                <w:bCs/>
                <w:lang w:val="en-SE"/>
              </w:rPr>
            </w:pPr>
            <w:r w:rsidRPr="00E55C2E">
              <w:rPr>
                <w:rFonts w:ascii="Times New Roman" w:hAnsi="Times New Roman"/>
                <w:b/>
                <w:bCs/>
                <w:lang w:val="en-SE"/>
              </w:rPr>
              <w:lastRenderedPageBreak/>
              <w:t>Company</w:t>
            </w:r>
          </w:p>
        </w:tc>
        <w:tc>
          <w:tcPr>
            <w:tcW w:w="3304" w:type="dxa"/>
          </w:tcPr>
          <w:p w14:paraId="6352B4C7" w14:textId="77777777" w:rsidR="00EF253D" w:rsidRPr="00E55C2E" w:rsidRDefault="00EF253D" w:rsidP="006B6625">
            <w:pPr>
              <w:pStyle w:val="BodyText"/>
              <w:keepNext/>
              <w:rPr>
                <w:rFonts w:ascii="Times New Roman" w:hAnsi="Times New Roman"/>
                <w:b/>
                <w:bCs/>
                <w:lang w:val="en-SE"/>
              </w:rPr>
            </w:pPr>
            <w:r w:rsidRPr="00E55C2E">
              <w:rPr>
                <w:rFonts w:ascii="Times New Roman" w:hAnsi="Times New Roman"/>
                <w:b/>
                <w:bCs/>
                <w:lang w:val="en-SE"/>
              </w:rPr>
              <w:t>Section and detailed comments</w:t>
            </w:r>
          </w:p>
        </w:tc>
        <w:tc>
          <w:tcPr>
            <w:tcW w:w="3305" w:type="dxa"/>
          </w:tcPr>
          <w:p w14:paraId="76EE0F14" w14:textId="77777777" w:rsidR="00EF253D" w:rsidRPr="00E55C2E" w:rsidRDefault="00EF253D" w:rsidP="006B6625">
            <w:pPr>
              <w:pStyle w:val="BodyText"/>
              <w:keepNext/>
              <w:rPr>
                <w:rFonts w:ascii="Times New Roman" w:hAnsi="Times New Roman"/>
                <w:b/>
                <w:bCs/>
                <w:lang w:val="en-SE"/>
              </w:rPr>
            </w:pPr>
            <w:r w:rsidRPr="00E55C2E">
              <w:rPr>
                <w:rFonts w:ascii="Times New Roman" w:hAnsi="Times New Roman"/>
                <w:b/>
                <w:bCs/>
                <w:lang w:val="en-SE"/>
              </w:rPr>
              <w:t>Rapporteur’s response</w:t>
            </w:r>
          </w:p>
        </w:tc>
      </w:tr>
      <w:tr w:rsidR="00EF253D" w14:paraId="6F1E33CA" w14:textId="77777777" w:rsidTr="006B6625">
        <w:tc>
          <w:tcPr>
            <w:tcW w:w="3304" w:type="dxa"/>
          </w:tcPr>
          <w:p w14:paraId="242C871A" w14:textId="77777777" w:rsidR="00EF253D" w:rsidRDefault="00EF253D" w:rsidP="006B6625">
            <w:pPr>
              <w:pStyle w:val="BodyText"/>
              <w:keepNext/>
              <w:rPr>
                <w:rFonts w:ascii="Times New Roman" w:hAnsi="Times New Roman"/>
              </w:rPr>
            </w:pPr>
          </w:p>
        </w:tc>
        <w:tc>
          <w:tcPr>
            <w:tcW w:w="3304" w:type="dxa"/>
          </w:tcPr>
          <w:p w14:paraId="5B47B96D" w14:textId="77777777" w:rsidR="00EF253D" w:rsidRDefault="00EF253D" w:rsidP="006B6625">
            <w:pPr>
              <w:pStyle w:val="BodyText"/>
              <w:keepNext/>
              <w:rPr>
                <w:rFonts w:ascii="Times New Roman" w:hAnsi="Times New Roman"/>
              </w:rPr>
            </w:pPr>
          </w:p>
        </w:tc>
        <w:tc>
          <w:tcPr>
            <w:tcW w:w="3305" w:type="dxa"/>
          </w:tcPr>
          <w:p w14:paraId="69A1614A" w14:textId="77777777" w:rsidR="00EF253D" w:rsidRDefault="00EF253D" w:rsidP="006B6625">
            <w:pPr>
              <w:pStyle w:val="BodyText"/>
              <w:keepNext/>
              <w:rPr>
                <w:rFonts w:ascii="Times New Roman" w:hAnsi="Times New Roman"/>
              </w:rPr>
            </w:pPr>
          </w:p>
        </w:tc>
      </w:tr>
      <w:tr w:rsidR="00EF253D" w14:paraId="6F2A8075" w14:textId="77777777" w:rsidTr="006B6625">
        <w:tc>
          <w:tcPr>
            <w:tcW w:w="3304" w:type="dxa"/>
          </w:tcPr>
          <w:p w14:paraId="74B5B967" w14:textId="77777777" w:rsidR="00EF253D" w:rsidRDefault="00EF253D" w:rsidP="006B6625">
            <w:pPr>
              <w:pStyle w:val="BodyText"/>
              <w:keepNext/>
              <w:rPr>
                <w:rFonts w:ascii="Times New Roman" w:hAnsi="Times New Roman"/>
              </w:rPr>
            </w:pPr>
          </w:p>
        </w:tc>
        <w:tc>
          <w:tcPr>
            <w:tcW w:w="3304" w:type="dxa"/>
          </w:tcPr>
          <w:p w14:paraId="7A968958" w14:textId="77777777" w:rsidR="00EF253D" w:rsidRDefault="00EF253D" w:rsidP="006B6625">
            <w:pPr>
              <w:pStyle w:val="BodyText"/>
              <w:keepNext/>
              <w:rPr>
                <w:rFonts w:ascii="Times New Roman" w:hAnsi="Times New Roman"/>
              </w:rPr>
            </w:pPr>
          </w:p>
        </w:tc>
        <w:tc>
          <w:tcPr>
            <w:tcW w:w="3305" w:type="dxa"/>
          </w:tcPr>
          <w:p w14:paraId="7C1FE894" w14:textId="77777777" w:rsidR="00EF253D" w:rsidRDefault="00EF253D" w:rsidP="006B6625">
            <w:pPr>
              <w:pStyle w:val="BodyText"/>
              <w:keepNext/>
              <w:rPr>
                <w:rFonts w:ascii="Times New Roman" w:hAnsi="Times New Roman"/>
              </w:rPr>
            </w:pPr>
          </w:p>
        </w:tc>
      </w:tr>
    </w:tbl>
    <w:p w14:paraId="3AB4BA4E" w14:textId="77777777" w:rsidR="00EF253D" w:rsidRPr="000E043D" w:rsidRDefault="00EF253D" w:rsidP="000E043D">
      <w:pPr>
        <w:rPr>
          <w:lang w:val="en-SE"/>
        </w:rPr>
      </w:pPr>
    </w:p>
    <w:sectPr w:rsidR="00EF253D" w:rsidRPr="000E043D" w:rsidSect="00EE42E9">
      <w:headerReference w:type="even" r:id="rId10"/>
      <w:footerReference w:type="default" r:id="rId11"/>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029F" w14:textId="77777777" w:rsidR="0062340D" w:rsidRDefault="0062340D">
      <w:pPr>
        <w:spacing w:after="0"/>
      </w:pPr>
      <w:r>
        <w:separator/>
      </w:r>
    </w:p>
  </w:endnote>
  <w:endnote w:type="continuationSeparator" w:id="0">
    <w:p w14:paraId="4981272D" w14:textId="77777777" w:rsidR="0062340D" w:rsidRDefault="0062340D">
      <w:pPr>
        <w:spacing w:after="0"/>
      </w:pPr>
      <w:r>
        <w:continuationSeparator/>
      </w:r>
    </w:p>
  </w:endnote>
  <w:endnote w:type="continuationNotice" w:id="1">
    <w:p w14:paraId="03CF5049" w14:textId="77777777" w:rsidR="0062340D" w:rsidRDefault="006234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E0CC" w14:textId="77777777" w:rsidR="0062340D" w:rsidRDefault="0062340D">
      <w:pPr>
        <w:spacing w:after="0"/>
      </w:pPr>
      <w:r>
        <w:separator/>
      </w:r>
    </w:p>
  </w:footnote>
  <w:footnote w:type="continuationSeparator" w:id="0">
    <w:p w14:paraId="1B78C816" w14:textId="77777777" w:rsidR="0062340D" w:rsidRDefault="0062340D">
      <w:pPr>
        <w:spacing w:after="0"/>
      </w:pPr>
      <w:r>
        <w:continuationSeparator/>
      </w:r>
    </w:p>
  </w:footnote>
  <w:footnote w:type="continuationNotice" w:id="1">
    <w:p w14:paraId="4805B895" w14:textId="77777777" w:rsidR="0062340D" w:rsidRDefault="006234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22"/>
        </w:tabs>
        <w:ind w:left="722" w:hanging="360"/>
      </w:pPr>
      <w:rPr>
        <w:rFonts w:ascii="Symbol" w:hAnsi="Symbol" w:hint="default"/>
        <w:b/>
        <w:i w:val="0"/>
        <w:color w:val="auto"/>
        <w:sz w:val="22"/>
      </w:rPr>
    </w:lvl>
    <w:lvl w:ilvl="1" w:tplc="04090003">
      <w:start w:val="1"/>
      <w:numFmt w:val="bullet"/>
      <w:lvlText w:val="o"/>
      <w:lvlJc w:val="left"/>
      <w:pPr>
        <w:tabs>
          <w:tab w:val="num" w:pos="362"/>
        </w:tabs>
        <w:ind w:left="362" w:hanging="360"/>
      </w:pPr>
      <w:rPr>
        <w:rFonts w:ascii="Courier New" w:hAnsi="Courier New" w:cs="Courier New" w:hint="default"/>
      </w:rPr>
    </w:lvl>
    <w:lvl w:ilvl="2" w:tplc="04090005" w:tentative="1">
      <w:start w:val="1"/>
      <w:numFmt w:val="bullet"/>
      <w:lvlText w:val=""/>
      <w:lvlJc w:val="left"/>
      <w:pPr>
        <w:tabs>
          <w:tab w:val="num" w:pos="1082"/>
        </w:tabs>
        <w:ind w:left="1082" w:hanging="360"/>
      </w:pPr>
      <w:rPr>
        <w:rFonts w:ascii="Wingdings" w:hAnsi="Wingdings" w:hint="default"/>
      </w:rPr>
    </w:lvl>
    <w:lvl w:ilvl="3" w:tplc="04090001" w:tentative="1">
      <w:start w:val="1"/>
      <w:numFmt w:val="bullet"/>
      <w:lvlText w:val=""/>
      <w:lvlJc w:val="left"/>
      <w:pPr>
        <w:tabs>
          <w:tab w:val="num" w:pos="1802"/>
        </w:tabs>
        <w:ind w:left="1802" w:hanging="360"/>
      </w:pPr>
      <w:rPr>
        <w:rFonts w:ascii="Symbol" w:hAnsi="Symbol" w:hint="default"/>
      </w:rPr>
    </w:lvl>
    <w:lvl w:ilvl="4" w:tplc="04090003" w:tentative="1">
      <w:start w:val="1"/>
      <w:numFmt w:val="bullet"/>
      <w:lvlText w:val="o"/>
      <w:lvlJc w:val="left"/>
      <w:pPr>
        <w:tabs>
          <w:tab w:val="num" w:pos="2522"/>
        </w:tabs>
        <w:ind w:left="2522" w:hanging="360"/>
      </w:pPr>
      <w:rPr>
        <w:rFonts w:ascii="Courier New" w:hAnsi="Courier New" w:cs="Courier New" w:hint="default"/>
      </w:rPr>
    </w:lvl>
    <w:lvl w:ilvl="5" w:tplc="04090005" w:tentative="1">
      <w:start w:val="1"/>
      <w:numFmt w:val="bullet"/>
      <w:lvlText w:val=""/>
      <w:lvlJc w:val="left"/>
      <w:pPr>
        <w:tabs>
          <w:tab w:val="num" w:pos="3242"/>
        </w:tabs>
        <w:ind w:left="3242" w:hanging="360"/>
      </w:pPr>
      <w:rPr>
        <w:rFonts w:ascii="Wingdings" w:hAnsi="Wingdings" w:hint="default"/>
      </w:rPr>
    </w:lvl>
    <w:lvl w:ilvl="6" w:tplc="04090001" w:tentative="1">
      <w:start w:val="1"/>
      <w:numFmt w:val="bullet"/>
      <w:lvlText w:val=""/>
      <w:lvlJc w:val="left"/>
      <w:pPr>
        <w:tabs>
          <w:tab w:val="num" w:pos="3962"/>
        </w:tabs>
        <w:ind w:left="3962" w:hanging="360"/>
      </w:pPr>
      <w:rPr>
        <w:rFonts w:ascii="Symbol" w:hAnsi="Symbol" w:hint="default"/>
      </w:rPr>
    </w:lvl>
    <w:lvl w:ilvl="7" w:tplc="04090003" w:tentative="1">
      <w:start w:val="1"/>
      <w:numFmt w:val="bullet"/>
      <w:lvlText w:val="o"/>
      <w:lvlJc w:val="left"/>
      <w:pPr>
        <w:tabs>
          <w:tab w:val="num" w:pos="4682"/>
        </w:tabs>
        <w:ind w:left="4682" w:hanging="360"/>
      </w:pPr>
      <w:rPr>
        <w:rFonts w:ascii="Courier New" w:hAnsi="Courier New" w:cs="Courier New" w:hint="default"/>
      </w:rPr>
    </w:lvl>
    <w:lvl w:ilvl="8" w:tplc="04090005" w:tentative="1">
      <w:start w:val="1"/>
      <w:numFmt w:val="bullet"/>
      <w:lvlText w:val=""/>
      <w:lvlJc w:val="left"/>
      <w:pPr>
        <w:tabs>
          <w:tab w:val="num" w:pos="5402"/>
        </w:tabs>
        <w:ind w:left="5402"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9"/>
  </w:num>
  <w:num w:numId="5">
    <w:abstractNumId w:val="13"/>
  </w:num>
  <w:num w:numId="6">
    <w:abstractNumId w:val="2"/>
  </w:num>
  <w:num w:numId="7">
    <w:abstractNumId w:val="17"/>
  </w:num>
  <w:num w:numId="8">
    <w:abstractNumId w:val="18"/>
  </w:num>
  <w:num w:numId="9">
    <w:abstractNumId w:val="3"/>
  </w:num>
  <w:num w:numId="10">
    <w:abstractNumId w:val="9"/>
  </w:num>
  <w:num w:numId="11">
    <w:abstractNumId w:val="4"/>
  </w:num>
  <w:num w:numId="12">
    <w:abstractNumId w:val="1"/>
  </w:num>
  <w:num w:numId="13">
    <w:abstractNumId w:val="20"/>
  </w:num>
  <w:num w:numId="14">
    <w:abstractNumId w:val="16"/>
  </w:num>
  <w:num w:numId="15">
    <w:abstractNumId w:val="5"/>
  </w:num>
  <w:num w:numId="16">
    <w:abstractNumId w:val="10"/>
  </w:num>
  <w:num w:numId="17">
    <w:abstractNumId w:val="6"/>
  </w:num>
  <w:num w:numId="18">
    <w:abstractNumId w:val="15"/>
  </w:num>
  <w:num w:numId="19">
    <w:abstractNumId w:val="8"/>
  </w:num>
  <w:num w:numId="20">
    <w:abstractNumId w:val="13"/>
  </w:num>
  <w:num w:numId="21">
    <w:abstractNumId w:val="0"/>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43D"/>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4F0F"/>
    <w:rsid w:val="00245664"/>
    <w:rsid w:val="00246E47"/>
    <w:rsid w:val="00246EA4"/>
    <w:rsid w:val="0024723C"/>
    <w:rsid w:val="00247390"/>
    <w:rsid w:val="00247590"/>
    <w:rsid w:val="00247745"/>
    <w:rsid w:val="0025083A"/>
    <w:rsid w:val="00250E76"/>
    <w:rsid w:val="00251244"/>
    <w:rsid w:val="00252F11"/>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1C0F"/>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25B7"/>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35F9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698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1D"/>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F79"/>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340D"/>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6BB1"/>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31DD"/>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AF5"/>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6CB2"/>
    <w:rsid w:val="00A270D9"/>
    <w:rsid w:val="00A27780"/>
    <w:rsid w:val="00A27817"/>
    <w:rsid w:val="00A27882"/>
    <w:rsid w:val="00A27EA2"/>
    <w:rsid w:val="00A312D2"/>
    <w:rsid w:val="00A32E86"/>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0F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647"/>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060"/>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6A5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135"/>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878"/>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0BD5"/>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C2E"/>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2E9"/>
    <w:rsid w:val="00EE46C2"/>
    <w:rsid w:val="00EE48DF"/>
    <w:rsid w:val="00EE4F24"/>
    <w:rsid w:val="00EE534C"/>
    <w:rsid w:val="00EE61DC"/>
    <w:rsid w:val="00EE6336"/>
    <w:rsid w:val="00EE6EC2"/>
    <w:rsid w:val="00EE7008"/>
    <w:rsid w:val="00EE7B10"/>
    <w:rsid w:val="00EF0E9C"/>
    <w:rsid w:val="00EF19B7"/>
    <w:rsid w:val="00EF253D"/>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199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paragraph" w:styleId="NoSpacing">
    <w:name w:val="No Spacing"/>
    <w:uiPriority w:val="1"/>
    <w:qFormat/>
    <w:rsid w:val="00EE42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3</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cp:lastModifiedBy>
  <cp:revision>205</cp:revision>
  <dcterms:created xsi:type="dcterms:W3CDTF">2023-03-09T06:32:00Z</dcterms:created>
  <dcterms:modified xsi:type="dcterms:W3CDTF">2025-08-27T08:23:00Z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