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B2AA" w14:textId="1EFF7DAA" w:rsidR="004B0399" w:rsidRPr="008A593E" w:rsidRDefault="004B0399" w:rsidP="004B0399">
      <w:pPr>
        <w:pStyle w:val="Header"/>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Header"/>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Header"/>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Heading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TableGrid"/>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3GPP SA4 has an ongoing feasibility study on </w:t>
            </w:r>
            <w:r w:rsidRPr="00644FD0">
              <w:rPr>
                <w:rFonts w:ascii="Arial" w:eastAsia="DengXian" w:hAnsi="Arial" w:cs="Arial"/>
                <w:lang w:eastAsia="zh-CN"/>
              </w:rPr>
              <w:t>Ultra Low Bitrate Speech Codec</w:t>
            </w:r>
            <w:r>
              <w:rPr>
                <w:rFonts w:ascii="Arial" w:eastAsia="DengXian" w:hAnsi="Arial" w:cs="Arial"/>
                <w:lang w:eastAsia="zh-CN"/>
              </w:rPr>
              <w:t xml:space="preserve"> (FS_ULBC) based on the approved study item description in </w:t>
            </w:r>
            <w:hyperlink r:id="rId11" w:history="1">
              <w:r w:rsidRPr="00644FD0">
                <w:rPr>
                  <w:rStyle w:val="Hyperlink"/>
                  <w:rFonts w:eastAsia="DengXian"/>
                </w:rPr>
                <w:t>SP-250378</w:t>
              </w:r>
            </w:hyperlink>
            <w:r>
              <w:rPr>
                <w:rFonts w:ascii="Arial" w:eastAsia="DengXian" w:hAnsi="Arial" w:cs="Arial"/>
                <w:lang w:eastAsia="zh-CN"/>
              </w:rPr>
              <w:t xml:space="preserve"> including the following objective: </w:t>
            </w:r>
          </w:p>
          <w:p w14:paraId="76BFC4C8" w14:textId="77777777" w:rsidR="009D2BA1" w:rsidRPr="003D1FCD" w:rsidRDefault="009D2BA1" w:rsidP="00737121">
            <w:pPr>
              <w:ind w:left="425"/>
              <w:rPr>
                <w:rFonts w:ascii="Arial" w:eastAsia="DengXian" w:hAnsi="Arial" w:cs="Arial"/>
                <w:i/>
                <w:iCs/>
                <w:lang w:eastAsia="zh-CN"/>
              </w:rPr>
            </w:pPr>
            <w:r w:rsidRPr="003D1FCD">
              <w:rPr>
                <w:rFonts w:ascii="Arial" w:eastAsia="DengXian"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DengXian" w:hAnsi="Arial" w:cs="Arial"/>
                <w:lang w:eastAsia="zh-CN"/>
              </w:rPr>
              <w:t>GEO NTN NB-IoT channel</w:t>
            </w:r>
            <w:r>
              <w:rPr>
                <w:rFonts w:ascii="Arial" w:eastAsia="DengXian"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kindly seeks confirmation that the underlying assumptions </w:t>
            </w:r>
            <w:r w:rsidRPr="0029065C">
              <w:rPr>
                <w:rFonts w:ascii="Arial" w:eastAsia="DengXian" w:hAnsi="Arial" w:cs="Arial"/>
                <w:lang w:eastAsia="zh-CN"/>
              </w:rPr>
              <w:t>are representative of real-world deployments</w:t>
            </w:r>
            <w:r>
              <w:rPr>
                <w:rFonts w:ascii="Arial" w:eastAsia="DengXian"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would like to invite feedback </w:t>
            </w:r>
            <w:r w:rsidRPr="006170F4">
              <w:rPr>
                <w:rFonts w:ascii="Arial" w:eastAsia="DengXian" w:hAnsi="Arial" w:cs="Arial"/>
                <w:lang w:eastAsia="zh-CN"/>
              </w:rPr>
              <w:t xml:space="preserve">from satellite companies </w:t>
            </w:r>
            <w:r>
              <w:rPr>
                <w:rFonts w:ascii="Arial" w:eastAsia="DengXian" w:hAnsi="Arial" w:cs="Arial"/>
                <w:lang w:eastAsia="zh-CN"/>
              </w:rPr>
              <w:t xml:space="preserve">present in 3GPP on </w:t>
            </w:r>
            <w:r w:rsidRPr="00D209A7">
              <w:rPr>
                <w:rFonts w:ascii="Arial" w:eastAsia="DengXian" w:hAnsi="Arial" w:cs="Arial"/>
                <w:lang w:eastAsia="zh-CN"/>
              </w:rPr>
              <w:t xml:space="preserve">potential deviations observed </w:t>
            </w:r>
            <w:r>
              <w:rPr>
                <w:rFonts w:ascii="Arial" w:eastAsia="DengXian" w:hAnsi="Arial" w:cs="Arial"/>
                <w:lang w:eastAsia="zh-CN"/>
              </w:rPr>
              <w:t xml:space="preserve">in practical deployment </w:t>
            </w:r>
            <w:r w:rsidRPr="00D209A7">
              <w:rPr>
                <w:rFonts w:ascii="Arial" w:eastAsia="DengXian" w:hAnsi="Arial" w:cs="Arial"/>
                <w:lang w:eastAsia="zh-CN"/>
              </w:rPr>
              <w:t>with respect to the assumed parameters</w:t>
            </w:r>
            <w:r>
              <w:rPr>
                <w:rFonts w:ascii="Arial" w:eastAsia="DengXian" w:hAnsi="Arial" w:cs="Arial"/>
                <w:lang w:eastAsia="zh-CN"/>
              </w:rPr>
              <w:t xml:space="preserve"> in 3GPP </w:t>
            </w:r>
            <w:r w:rsidRPr="006170F4">
              <w:rPr>
                <w:rFonts w:ascii="Arial" w:eastAsia="DengXian" w:hAnsi="Arial" w:cs="Arial"/>
                <w:lang w:eastAsia="zh-CN"/>
              </w:rPr>
              <w:t>TR 38.821</w:t>
            </w:r>
            <w:r>
              <w:rPr>
                <w:rFonts w:ascii="Arial" w:eastAsia="DengXian" w:hAnsi="Arial" w:cs="Arial"/>
                <w:lang w:eastAsia="zh-CN"/>
              </w:rPr>
              <w:t xml:space="preserve">, which </w:t>
            </w:r>
            <w:r w:rsidRPr="00D209A7">
              <w:rPr>
                <w:rFonts w:ascii="Arial" w:eastAsia="DengXian" w:hAnsi="Arial" w:cs="Arial"/>
                <w:lang w:eastAsia="zh-CN"/>
              </w:rPr>
              <w:t xml:space="preserve">could be of relevance for the </w:t>
            </w:r>
            <w:r>
              <w:rPr>
                <w:rFonts w:ascii="Arial" w:eastAsia="DengXian"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bookmarkEnd w:id="3"/>
            <w:r>
              <w:rPr>
                <w:rFonts w:ascii="Arial" w:eastAsia="DengXian"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DengXian" w:hAnsi="Arial" w:cs="Arial"/>
                <w:lang w:eastAsia="zh-CN"/>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Heading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Heading2"/>
        <w:numPr>
          <w:ilvl w:val="1"/>
          <w:numId w:val="1"/>
        </w:numPr>
        <w:rPr>
          <w:lang w:val="en-US"/>
        </w:rPr>
      </w:pPr>
      <w:r>
        <w:rPr>
          <w:lang w:val="en-US"/>
        </w:rPr>
        <w:t>Input from companies</w:t>
      </w:r>
    </w:p>
    <w:p w14:paraId="1066AC11" w14:textId="77777777" w:rsidR="00760AF8" w:rsidRPr="00760AF8" w:rsidRDefault="00760AF8" w:rsidP="00760AF8">
      <w:pPr>
        <w:pStyle w:val="ListParagraph"/>
        <w:ind w:left="1140"/>
        <w:rPr>
          <w:lang w:val="en-US"/>
        </w:rPr>
      </w:pPr>
    </w:p>
    <w:tbl>
      <w:tblPr>
        <w:tblStyle w:val="TableGrid"/>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r>
              <w:rPr>
                <w:b/>
                <w:bCs/>
              </w:rPr>
              <w:t xml:space="preserve">Skylo </w:t>
            </w:r>
          </w:p>
        </w:tc>
        <w:tc>
          <w:tcPr>
            <w:tcW w:w="8427" w:type="dxa"/>
          </w:tcPr>
          <w:p w14:paraId="7A0241CD" w14:textId="45E63795" w:rsidR="00332D04" w:rsidRDefault="00332D04" w:rsidP="00332D04">
            <w:pPr>
              <w:pStyle w:val="ListParagraph"/>
              <w:numPr>
                <w:ilvl w:val="0"/>
                <w:numId w:val="25"/>
              </w:numPr>
            </w:pPr>
            <w:r>
              <w:t>We support BLER of 1 % or 2 % for evaluation</w:t>
            </w:r>
          </w:p>
          <w:p w14:paraId="71BA514F" w14:textId="4EF8ACCF" w:rsidR="00332D04" w:rsidRPr="00332D04" w:rsidRDefault="00332D04" w:rsidP="00332D04">
            <w:pPr>
              <w:pStyle w:val="ListParagraph"/>
              <w:numPr>
                <w:ilvl w:val="0"/>
                <w:numId w:val="25"/>
              </w:numPr>
            </w:pPr>
            <w:r>
              <w:t>RAN 1 to provide full range of parameters including more challenging and practical scenarios, as the target device for voice is smartphone. (</w:t>
            </w:r>
            <w:r w:rsidRPr="00332D04">
              <w:t>as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ListParagraph"/>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NB-IoT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ListParagraph"/>
              <w:numPr>
                <w:ilvl w:val="0"/>
                <w:numId w:val="25"/>
              </w:numPr>
            </w:pPr>
            <w:r w:rsidRPr="00CE31C2">
              <w:t>Use pi/2 BPSK for low MCS</w:t>
            </w:r>
          </w:p>
          <w:p w14:paraId="426EABFD" w14:textId="4773D249" w:rsidR="00611AE7" w:rsidRPr="00CE31C2" w:rsidRDefault="00611AE7" w:rsidP="00FB5E97">
            <w:pPr>
              <w:pStyle w:val="ListParagraph"/>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ListParagraph"/>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dBi is deemed the baseline given its realistic UE antenna gain as per RAN4 reply LS (R1-2208353). RAN1 also views 0 dB as the baseline for X value.  </w:t>
            </w:r>
          </w:p>
          <w:p w14:paraId="35B690E6"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For section 5.2.2.3 (Downlink simulation parameters), RAN1 considers incorporating SET-2 and SET-3 UL SNRs further. Similarly, -5.5 dBi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ListParagraph"/>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ListParagraph"/>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For VoIP over NB-IoT, 2% rBLER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DengXian"/>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r>
              <w:rPr>
                <w:b/>
                <w:bCs/>
              </w:rPr>
              <w:t>Xiaomi</w:t>
            </w:r>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ListParagraph"/>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ListParagraph"/>
              <w:numPr>
                <w:ilvl w:val="0"/>
                <w:numId w:val="28"/>
              </w:numPr>
              <w:rPr>
                <w:b/>
                <w:bCs/>
              </w:rPr>
            </w:pPr>
            <w:r w:rsidRPr="00CE31C2">
              <w:rPr>
                <w:b/>
                <w:bCs/>
              </w:rPr>
              <w:t>RAN1 to recommend to SA4 to consider the following parameters as the best case scenario:</w:t>
            </w:r>
          </w:p>
          <w:p w14:paraId="143F9B25" w14:textId="77777777" w:rsidR="008C7F4C" w:rsidRPr="00CE31C2" w:rsidRDefault="008C7F4C" w:rsidP="008C7F4C">
            <w:pPr>
              <w:pStyle w:val="ListParagraph"/>
              <w:numPr>
                <w:ilvl w:val="1"/>
                <w:numId w:val="28"/>
              </w:numPr>
              <w:rPr>
                <w:b/>
                <w:bCs/>
              </w:rPr>
            </w:pPr>
            <w:r w:rsidRPr="00CE31C2">
              <w:rPr>
                <w:b/>
                <w:bCs/>
              </w:rPr>
              <w:t>AWGN channel</w:t>
            </w:r>
          </w:p>
          <w:p w14:paraId="672FA2E5" w14:textId="77777777" w:rsidR="008C7F4C" w:rsidRPr="00CE31C2" w:rsidRDefault="008C7F4C" w:rsidP="008C7F4C">
            <w:pPr>
              <w:pStyle w:val="ListParagraph"/>
              <w:numPr>
                <w:ilvl w:val="1"/>
                <w:numId w:val="28"/>
              </w:numPr>
              <w:rPr>
                <w:b/>
                <w:bCs/>
              </w:rPr>
            </w:pPr>
            <w:r w:rsidRPr="00CE31C2">
              <w:rPr>
                <w:b/>
                <w:bCs/>
              </w:rPr>
              <w:t>No shadow margin or scintillation loss.</w:t>
            </w:r>
          </w:p>
          <w:p w14:paraId="578D914A" w14:textId="33F3FF4F" w:rsidR="0095701E" w:rsidRPr="00CE31C2" w:rsidRDefault="008C7F4C" w:rsidP="008C7F4C">
            <w:pPr>
              <w:pStyle w:val="ListParagraph"/>
              <w:numPr>
                <w:ilvl w:val="1"/>
                <w:numId w:val="28"/>
              </w:numPr>
              <w:rPr>
                <w:b/>
                <w:bCs/>
              </w:rPr>
            </w:pPr>
            <w:r w:rsidRPr="00CE31C2">
              <w:rPr>
                <w:b/>
                <w:bCs/>
              </w:rPr>
              <w:t>Noise figure lower than 7dB (e.g. 4dB)</w:t>
            </w:r>
          </w:p>
        </w:tc>
      </w:tr>
      <w:tr w:rsidR="00EC299A" w14:paraId="1F2CAA7F" w14:textId="77777777" w:rsidTr="00332D04">
        <w:tc>
          <w:tcPr>
            <w:tcW w:w="1194" w:type="dxa"/>
          </w:tcPr>
          <w:p w14:paraId="698C0C2F" w14:textId="76E68C97" w:rsidR="00EC299A" w:rsidRDefault="00EC299A" w:rsidP="00E649CE">
            <w:pPr>
              <w:rPr>
                <w:b/>
                <w:bCs/>
              </w:rPr>
            </w:pPr>
            <w:r>
              <w:rPr>
                <w:b/>
                <w:bCs/>
              </w:rPr>
              <w:t>Skylo</w:t>
            </w:r>
          </w:p>
        </w:tc>
        <w:tc>
          <w:tcPr>
            <w:tcW w:w="8427" w:type="dxa"/>
          </w:tcPr>
          <w:p w14:paraId="22F72C0E"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NormalWeb"/>
              <w:rPr>
                <w:rFonts w:ascii="Arial" w:eastAsia="DengXian" w:hAnsi="Arial" w:cs="Arial"/>
                <w:sz w:val="20"/>
                <w:szCs w:val="20"/>
                <w:lang w:val="en-GB"/>
              </w:rPr>
            </w:pPr>
            <w:r w:rsidRPr="00CE31C2">
              <w:rPr>
                <w:rFonts w:ascii="Arial" w:eastAsia="DengXian"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Heading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ListParagraph"/>
        <w:numPr>
          <w:ilvl w:val="0"/>
          <w:numId w:val="28"/>
        </w:numPr>
        <w:rPr>
          <w:lang w:val="en-US"/>
        </w:rPr>
      </w:pPr>
      <w:r>
        <w:rPr>
          <w:lang w:val="en-US"/>
        </w:rPr>
        <w:t xml:space="preserve">Apple and </w:t>
      </w:r>
      <w:r w:rsidR="008B7B34">
        <w:rPr>
          <w:lang w:val="en-US"/>
        </w:rPr>
        <w:t xml:space="preserve">Xiaomi proposes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ListParagraph"/>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ListParagraph"/>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ListParagraph"/>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ListParagraph"/>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Heading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ListParagraph"/>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ListParagraph"/>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ListParagraph"/>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ListParagraph"/>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ListParagraph"/>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ListParagraph"/>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of 2.2dB reflects the worst case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ListParagraph"/>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ListParagraph"/>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ListParagraph"/>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ListParagraph"/>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ListParagraph"/>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ListParagraph"/>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ListParagraph"/>
        <w:rPr>
          <w:lang w:val="en-US"/>
        </w:rPr>
      </w:pPr>
    </w:p>
    <w:p w14:paraId="4B858055" w14:textId="77777777" w:rsidR="00E649CE" w:rsidRDefault="00E649CE" w:rsidP="00B83CA2">
      <w:pPr>
        <w:rPr>
          <w:lang w:val="en-US"/>
        </w:rPr>
      </w:pPr>
    </w:p>
    <w:p w14:paraId="4F13C753" w14:textId="2F0372F0" w:rsidR="001766A1" w:rsidRDefault="001766A1" w:rsidP="001766A1">
      <w:pPr>
        <w:pStyle w:val="Heading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GridTable5Dark-Accent1"/>
        <w:tblW w:w="0" w:type="auto"/>
        <w:tblLook w:val="04A0" w:firstRow="1" w:lastRow="0" w:firstColumn="1" w:lastColumn="0" w:noHBand="0" w:noVBand="1"/>
      </w:tblPr>
      <w:tblGrid>
        <w:gridCol w:w="2333"/>
        <w:gridCol w:w="7288"/>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ms*,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On the other hand, 40 ms bundling can considered for SCS 15 kHz since the minimum time-domain allocation for single-tone is 8 ms, whereas the minimum time-domain allocation for multi-tone is 4 ms, 2ms, and 1 ms for 3, 6, and 12 tones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lastRenderedPageBreak/>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The NPDSCH now can be anywhere in the first 15ms (considering that a minimum gap of 1 ms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Thanks FL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Thus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[C2.2] The scintillation loss of 2.2dB reflects the worst case scenario, and is only relevant for latitudes between -20 and 20 degrees. For most latitudes, the scintillation loss is negligible.</w:t>
            </w:r>
          </w:p>
          <w:p w14:paraId="15D1DE8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 xml:space="preserve">such </w:t>
            </w:r>
            <w:r w:rsidRPr="00CF2CAB">
              <w:rPr>
                <w:lang w:val="en-US"/>
              </w:rPr>
              <w:lastRenderedPageBreak/>
              <w:t>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[C2.4] The baseline should be set at −5.5 dBi, as already adopted in RAN1 evaluations. This ensures that the evaluation results are representative of real-world device performance. Since standards must apply to the entire device ecosystem and not just a subset with superior antenna characteristics, using −5.5 dBi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Heading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Heading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TableGrid"/>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ListParagraph"/>
              <w:numPr>
                <w:ilvl w:val="0"/>
                <w:numId w:val="25"/>
              </w:numPr>
            </w:pPr>
            <w:r w:rsidRPr="00C60969">
              <w:t>G/T of -31.6 is not the worst case scenario</w:t>
            </w:r>
          </w:p>
          <w:p w14:paraId="70D5456D" w14:textId="1E6EEF97" w:rsidR="00611AE7" w:rsidRPr="00C60969" w:rsidRDefault="002B40F1" w:rsidP="00737121">
            <w:pPr>
              <w:pStyle w:val="ListParagraph"/>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ListParagraph"/>
              <w:numPr>
                <w:ilvl w:val="0"/>
                <w:numId w:val="25"/>
              </w:numPr>
            </w:pPr>
            <w:r w:rsidRPr="00C60969">
              <w:t>-31.6dB/k is a moderate case</w:t>
            </w:r>
          </w:p>
          <w:p w14:paraId="6710547C" w14:textId="47113007" w:rsidR="00175FEB" w:rsidRPr="00C60969" w:rsidRDefault="00175FEB" w:rsidP="00175FEB">
            <w:pPr>
              <w:pStyle w:val="ListParagraph"/>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dBi, and noise figure is 7 dB. This does not represent a worst-case scenario with the following reasons, </w:t>
            </w:r>
          </w:p>
          <w:p w14:paraId="52AA146B"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RX antenna gain is estimated at -5.5 dBi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ListParagraph"/>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lastRenderedPageBreak/>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dBi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DengXian"/>
                <w:i/>
              </w:rPr>
              <w:t xml:space="preserve">dB/K can also be considered for simulation to reflect the capability of </w:t>
            </w:r>
            <w:r>
              <w:rPr>
                <w:rFonts w:eastAsia="DengXian"/>
                <w:i/>
              </w:rPr>
              <w:t>current</w:t>
            </w:r>
            <w:r w:rsidRPr="00323182">
              <w:rPr>
                <w:rFonts w:eastAsia="DengXian"/>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36.763 has considered a worst case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r>
              <w:rPr>
                <w:b/>
                <w:bCs/>
              </w:rPr>
              <w:t>Skylo</w:t>
            </w:r>
          </w:p>
        </w:tc>
        <w:tc>
          <w:tcPr>
            <w:tcW w:w="8464" w:type="dxa"/>
          </w:tcPr>
          <w:p w14:paraId="267DA0A2"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is determined by the formula specified in TR 38.811, Table 4.4-1,</w:t>
            </w:r>
            <w:r>
              <w:rPr>
                <w:rFonts w:ascii="Arial" w:eastAsia="DengXian" w:hAnsi="Arial" w:cs="Arial"/>
                <w:sz w:val="20"/>
                <w:szCs w:val="20"/>
                <w:lang w:val="en-GB"/>
              </w:rPr>
              <w:t xml:space="preserve"> also documented in </w:t>
            </w:r>
            <w:r w:rsidRPr="00376DCB">
              <w:rPr>
                <w:rFonts w:ascii="Arial" w:eastAsia="DengXian" w:hAnsi="Arial" w:cs="Arial"/>
                <w:sz w:val="20"/>
                <w:szCs w:val="20"/>
                <w:lang w:val="en-GB"/>
              </w:rPr>
              <w:t>TR 38.821 clause 6.1.3.1</w:t>
            </w:r>
            <w:r w:rsidRPr="002867EE">
              <w:rPr>
                <w:rFonts w:ascii="Arial" w:eastAsia="DengXian"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DengXian" w:hAnsi="Arial" w:cs="Arial"/>
                <w:sz w:val="20"/>
                <w:szCs w:val="20"/>
                <w:lang w:val="en-GB"/>
              </w:rPr>
              <w:t xml:space="preserve">which is more stringent than the nominal value of </w:t>
            </w:r>
            <w:r w:rsidRPr="002867EE">
              <w:rPr>
                <w:rFonts w:ascii="Arial" w:eastAsia="DengXian" w:hAnsi="Arial" w:cs="Arial"/>
                <w:sz w:val="20"/>
                <w:szCs w:val="20"/>
                <w:lang w:val="en-GB"/>
              </w:rPr>
              <w:t>-33.6 dB/K</w:t>
            </w:r>
            <w:r>
              <w:rPr>
                <w:rFonts w:ascii="Arial" w:eastAsia="DengXian" w:hAnsi="Arial" w:cs="Arial"/>
                <w:sz w:val="20"/>
                <w:szCs w:val="20"/>
                <w:lang w:val="en-GB"/>
              </w:rPr>
              <w:t xml:space="preserve"> specified in TR 38.811, Table 4.4-1, where NF of 9dB is assumed</w:t>
            </w:r>
            <w:r w:rsidRPr="002867EE">
              <w:rPr>
                <w:rFonts w:ascii="Arial" w:eastAsia="DengXian" w:hAnsi="Arial" w:cs="Arial"/>
                <w:sz w:val="20"/>
                <w:szCs w:val="20"/>
                <w:lang w:val="en-GB"/>
              </w:rPr>
              <w:t>.</w:t>
            </w:r>
          </w:p>
          <w:p w14:paraId="3C883095"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of -31.6 dB/K presented in Table 6.1.3.3-1 of TR 38.821 is a result of specific link budget calculations</w:t>
            </w:r>
            <w:r>
              <w:rPr>
                <w:rFonts w:ascii="Arial" w:eastAsia="DengXian" w:hAnsi="Arial" w:cs="Arial"/>
                <w:sz w:val="20"/>
                <w:szCs w:val="20"/>
                <w:lang w:val="en-GB"/>
              </w:rPr>
              <w:t xml:space="preserve"> assuming a NF of 7dB for PC3 (23 dBm) UE devices</w:t>
            </w:r>
            <w:r w:rsidRPr="002867EE">
              <w:rPr>
                <w:rFonts w:ascii="Arial" w:eastAsia="DengXian" w:hAnsi="Arial" w:cs="Arial"/>
                <w:sz w:val="20"/>
                <w:szCs w:val="20"/>
                <w:lang w:val="en-GB"/>
              </w:rPr>
              <w:t xml:space="preserve">. Furthermore, RAN1's </w:t>
            </w:r>
            <w:r>
              <w:rPr>
                <w:rFonts w:ascii="Arial" w:eastAsia="DengXian" w:hAnsi="Arial" w:cs="Arial"/>
                <w:sz w:val="20"/>
                <w:szCs w:val="20"/>
                <w:lang w:val="en-GB"/>
              </w:rPr>
              <w:t xml:space="preserve">agreed </w:t>
            </w:r>
            <w:r w:rsidRPr="002867EE">
              <w:rPr>
                <w:rFonts w:ascii="Arial" w:eastAsia="DengXian" w:hAnsi="Arial" w:cs="Arial"/>
                <w:sz w:val="20"/>
                <w:szCs w:val="20"/>
                <w:lang w:val="en-GB"/>
              </w:rPr>
              <w:t xml:space="preserve">link budget results, summarized in TR 36.763, </w:t>
            </w:r>
            <w:r>
              <w:rPr>
                <w:rFonts w:ascii="Arial" w:eastAsia="DengXian" w:hAnsi="Arial" w:cs="Arial"/>
                <w:sz w:val="20"/>
                <w:szCs w:val="20"/>
                <w:lang w:val="en-GB"/>
              </w:rPr>
              <w:t>c</w:t>
            </w:r>
            <w:r w:rsidRPr="002867EE">
              <w:rPr>
                <w:rFonts w:ascii="Arial" w:eastAsia="DengXian" w:hAnsi="Arial" w:cs="Arial"/>
                <w:sz w:val="20"/>
                <w:szCs w:val="20"/>
                <w:lang w:val="en-GB"/>
              </w:rPr>
              <w:t xml:space="preserve">lause 6.2.2, include contributions from </w:t>
            </w:r>
            <w:r>
              <w:rPr>
                <w:rFonts w:ascii="Arial" w:eastAsia="DengXian" w:hAnsi="Arial" w:cs="Arial"/>
                <w:sz w:val="20"/>
                <w:szCs w:val="20"/>
                <w:lang w:val="en-GB"/>
              </w:rPr>
              <w:t>various source companies</w:t>
            </w:r>
            <w:r w:rsidRPr="002867EE">
              <w:rPr>
                <w:rFonts w:ascii="Arial" w:eastAsia="DengXian"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SA4 is encouraged to use the link budget parameters specified in TR 36.763</w:t>
            </w:r>
            <w:r>
              <w:rPr>
                <w:rFonts w:ascii="Arial" w:eastAsia="DengXian" w:hAnsi="Arial" w:cs="Arial"/>
                <w:sz w:val="20"/>
                <w:szCs w:val="20"/>
                <w:lang w:val="en-GB"/>
              </w:rPr>
              <w:t xml:space="preserve">, </w:t>
            </w:r>
            <w:r w:rsidRPr="002867EE">
              <w:rPr>
                <w:rFonts w:ascii="Arial" w:eastAsia="DengXian" w:hAnsi="Arial" w:cs="Arial"/>
                <w:sz w:val="20"/>
                <w:szCs w:val="20"/>
                <w:lang w:val="en-GB"/>
              </w:rPr>
              <w:t xml:space="preserve">TR 38.821, </w:t>
            </w:r>
            <w:r>
              <w:rPr>
                <w:rFonts w:ascii="Arial" w:eastAsia="DengXian" w:hAnsi="Arial" w:cs="Arial"/>
                <w:sz w:val="20"/>
                <w:szCs w:val="20"/>
                <w:lang w:val="en-GB"/>
              </w:rPr>
              <w:t xml:space="preserve">and </w:t>
            </w:r>
            <w:r w:rsidRPr="002867EE">
              <w:rPr>
                <w:rFonts w:ascii="Arial" w:eastAsia="DengXian" w:hAnsi="Arial" w:cs="Arial"/>
                <w:sz w:val="20"/>
                <w:szCs w:val="20"/>
                <w:lang w:val="en-GB"/>
              </w:rPr>
              <w:t>TR 38.811</w:t>
            </w:r>
            <w:r>
              <w:rPr>
                <w:rFonts w:ascii="Arial" w:eastAsia="DengXian" w:hAnsi="Arial" w:cs="Arial"/>
                <w:sz w:val="20"/>
                <w:szCs w:val="20"/>
                <w:lang w:val="en-GB"/>
              </w:rPr>
              <w:t xml:space="preserve"> as described in </w:t>
            </w:r>
            <w:r w:rsidRPr="00376DCB">
              <w:rPr>
                <w:rFonts w:ascii="Arial" w:eastAsia="DengXian" w:hAnsi="Arial" w:cs="Arial"/>
                <w:sz w:val="20"/>
                <w:szCs w:val="20"/>
                <w:lang w:val="en-GB"/>
              </w:rPr>
              <w:t>discussion paper R1-25</w:t>
            </w:r>
            <w:r>
              <w:rPr>
                <w:rFonts w:ascii="Arial" w:eastAsia="DengXian" w:hAnsi="Arial" w:cs="Arial"/>
                <w:sz w:val="20"/>
                <w:szCs w:val="20"/>
                <w:lang w:val="en-GB"/>
              </w:rPr>
              <w:t>06244</w:t>
            </w:r>
            <w:r w:rsidRPr="002867EE">
              <w:rPr>
                <w:rFonts w:ascii="Arial" w:eastAsia="DengXian"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Heading2"/>
        <w:numPr>
          <w:ilvl w:val="1"/>
          <w:numId w:val="1"/>
        </w:numPr>
        <w:rPr>
          <w:lang w:val="en-US"/>
        </w:rPr>
      </w:pPr>
      <w:r>
        <w:rPr>
          <w:lang w:val="en-US"/>
        </w:rPr>
        <w:lastRenderedPageBreak/>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worst case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Heading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while typically used in RAN1 evaluations, may not reflect the worst case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G/T that would be representative of the worst case scenario in the field.</w:t>
      </w:r>
    </w:p>
    <w:p w14:paraId="4AE65E2A" w14:textId="28ABF0F4" w:rsidR="00DD09E4" w:rsidRDefault="00DD09E4" w:rsidP="00DD09E4">
      <w:pPr>
        <w:pStyle w:val="Heading3"/>
        <w:rPr>
          <w:lang w:val="en-US"/>
        </w:rPr>
      </w:pPr>
      <w:r>
        <w:rPr>
          <w:lang w:val="en-US"/>
        </w:rPr>
        <w:t>** Discussion on Q2 ** Please provide your comments to the proposed response to Q2 in the table below.</w:t>
      </w:r>
    </w:p>
    <w:tbl>
      <w:tblPr>
        <w:tblStyle w:val="GridTable5Dark-Accent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In Table 6.1.3.3-1 of TR 38.821, how the RX G/T value (-31.6 dB/T) in the table or equivalently the antenna gain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gain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G/T can be determined using equation 6.1.3.1-3 as described in TR 38.821. The value G/T = -31.6 dB/K is obtained under the following assumptions: Antenna gain (G_R) = 0 dBi, noise figure (N_f)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  -31.6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FL’s response is fine. We at least answer SA4’s first question, i.e. it is NOT the worst case</w:t>
            </w:r>
            <w:r>
              <w:rPr>
                <w:rFonts w:eastAsiaTheme="minorEastAsia" w:hint="eastAsia"/>
                <w:lang w:eastAsia="zh-CN"/>
              </w:rPr>
              <w:t>.</w:t>
            </w:r>
            <w:r>
              <w:rPr>
                <w:rFonts w:eastAsiaTheme="minorEastAsia"/>
                <w:lang w:eastAsia="zh-CN"/>
              </w:rPr>
              <w:t xml:space="preserve"> On the recommended value, the FL’s proposal can be a fallback if we cannot converge to a value in this meeting.  We should at least attempt to converge. </w:t>
            </w:r>
          </w:p>
        </w:tc>
      </w:tr>
    </w:tbl>
    <w:p w14:paraId="2AF195DC" w14:textId="77777777" w:rsidR="00A901C4" w:rsidRPr="008A6DF8" w:rsidRDefault="00A901C4" w:rsidP="00611AE7">
      <w:pPr>
        <w:spacing w:line="259" w:lineRule="auto"/>
      </w:pPr>
    </w:p>
    <w:p w14:paraId="709A6C3C" w14:textId="0F5C3832" w:rsidR="00760AF8" w:rsidRDefault="00760AF8" w:rsidP="00760AF8">
      <w:pPr>
        <w:pStyle w:val="Heading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Huawei, HiSilicon</w:t>
      </w:r>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vivo, Spreadtrum</w:t>
      </w:r>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ZTE Corporation, Sanechips</w:t>
      </w:r>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t>Skylo Technologies</w:t>
      </w:r>
    </w:p>
    <w:p w14:paraId="0F48A2CE" w14:textId="2ACA025F" w:rsidR="00760AF8" w:rsidRPr="00760AF8" w:rsidRDefault="000B450C" w:rsidP="000B450C">
      <w:pPr>
        <w:spacing w:line="259" w:lineRule="auto"/>
      </w:pPr>
      <w:r>
        <w:t>R1-2506245</w:t>
      </w:r>
      <w:r>
        <w:tab/>
        <w:t>[Draft] Reply LS on the RAN simulation assumptions for ULBC</w:t>
      </w:r>
      <w:r>
        <w:tab/>
        <w:t>Skylo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6D61" w14:textId="77777777" w:rsidR="009B6FF3" w:rsidRDefault="009B6FF3">
      <w:pPr>
        <w:spacing w:after="0"/>
      </w:pPr>
      <w:r>
        <w:separator/>
      </w:r>
    </w:p>
  </w:endnote>
  <w:endnote w:type="continuationSeparator" w:id="0">
    <w:p w14:paraId="21A5EACB" w14:textId="77777777" w:rsidR="009B6FF3" w:rsidRDefault="009B6FF3">
      <w:pPr>
        <w:spacing w:after="0"/>
      </w:pPr>
      <w:r>
        <w:continuationSeparator/>
      </w:r>
    </w:p>
  </w:endnote>
  <w:endnote w:type="continuationNotice" w:id="1">
    <w:p w14:paraId="63262DEC" w14:textId="77777777" w:rsidR="009B6FF3" w:rsidRDefault="009B6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4EB8" w14:textId="77777777" w:rsidR="009B6FF3" w:rsidRDefault="009B6FF3">
      <w:pPr>
        <w:spacing w:after="0"/>
      </w:pPr>
      <w:r>
        <w:separator/>
      </w:r>
    </w:p>
  </w:footnote>
  <w:footnote w:type="continuationSeparator" w:id="0">
    <w:p w14:paraId="6B534A59" w14:textId="77777777" w:rsidR="009B6FF3" w:rsidRDefault="009B6FF3">
      <w:pPr>
        <w:spacing w:after="0"/>
      </w:pPr>
      <w:r>
        <w:continuationSeparator/>
      </w:r>
    </w:p>
  </w:footnote>
  <w:footnote w:type="continuationNotice" w:id="1">
    <w:p w14:paraId="4FCF0785" w14:textId="77777777" w:rsidR="009B6FF3" w:rsidRDefault="009B6FF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7733306">
    <w:abstractNumId w:val="2"/>
  </w:num>
  <w:num w:numId="2" w16cid:durableId="467404095">
    <w:abstractNumId w:val="28"/>
  </w:num>
  <w:num w:numId="3" w16cid:durableId="474417812">
    <w:abstractNumId w:val="19"/>
  </w:num>
  <w:num w:numId="4" w16cid:durableId="1450197469">
    <w:abstractNumId w:val="0"/>
  </w:num>
  <w:num w:numId="5" w16cid:durableId="1471629391">
    <w:abstractNumId w:val="26"/>
  </w:num>
  <w:num w:numId="6" w16cid:durableId="1277256698">
    <w:abstractNumId w:val="12"/>
  </w:num>
  <w:num w:numId="7" w16cid:durableId="559167842">
    <w:abstractNumId w:val="13"/>
  </w:num>
  <w:num w:numId="8" w16cid:durableId="894781561">
    <w:abstractNumId w:val="10"/>
  </w:num>
  <w:num w:numId="9" w16cid:durableId="882400955">
    <w:abstractNumId w:val="4"/>
  </w:num>
  <w:num w:numId="10" w16cid:durableId="680858800">
    <w:abstractNumId w:val="23"/>
  </w:num>
  <w:num w:numId="11" w16cid:durableId="813375173">
    <w:abstractNumId w:val="14"/>
  </w:num>
  <w:num w:numId="12" w16cid:durableId="1736901191">
    <w:abstractNumId w:val="29"/>
  </w:num>
  <w:num w:numId="13" w16cid:durableId="1558081089">
    <w:abstractNumId w:val="17"/>
  </w:num>
  <w:num w:numId="14" w16cid:durableId="1302539472">
    <w:abstractNumId w:val="6"/>
  </w:num>
  <w:num w:numId="15" w16cid:durableId="1722244365">
    <w:abstractNumId w:val="27"/>
  </w:num>
  <w:num w:numId="16" w16cid:durableId="1343825165">
    <w:abstractNumId w:val="20"/>
  </w:num>
  <w:num w:numId="17" w16cid:durableId="1318925768">
    <w:abstractNumId w:val="5"/>
  </w:num>
  <w:num w:numId="18" w16cid:durableId="713626228">
    <w:abstractNumId w:val="22"/>
  </w:num>
  <w:num w:numId="19" w16cid:durableId="1754738993">
    <w:abstractNumId w:val="1"/>
  </w:num>
  <w:num w:numId="20" w16cid:durableId="509636638">
    <w:abstractNumId w:val="11"/>
  </w:num>
  <w:num w:numId="21" w16cid:durableId="1408110360">
    <w:abstractNumId w:val="8"/>
  </w:num>
  <w:num w:numId="22" w16cid:durableId="553197224">
    <w:abstractNumId w:val="18"/>
  </w:num>
  <w:num w:numId="23" w16cid:durableId="513617319">
    <w:abstractNumId w:val="7"/>
  </w:num>
  <w:num w:numId="24" w16cid:durableId="689724486">
    <w:abstractNumId w:val="9"/>
  </w:num>
  <w:num w:numId="25" w16cid:durableId="1061517811">
    <w:abstractNumId w:val="15"/>
  </w:num>
  <w:num w:numId="26" w16cid:durableId="1355570392">
    <w:abstractNumId w:val="16"/>
  </w:num>
  <w:num w:numId="27" w16cid:durableId="2085250328">
    <w:abstractNumId w:val="3"/>
  </w:num>
  <w:num w:numId="28" w16cid:durableId="676150224">
    <w:abstractNumId w:val="24"/>
  </w:num>
  <w:num w:numId="29" w16cid:durableId="768935902">
    <w:abstractNumId w:val="25"/>
  </w:num>
  <w:num w:numId="30" w16cid:durableId="94457897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5247"/>
    <w:rsid w:val="00395AD2"/>
    <w:rsid w:val="00395F50"/>
    <w:rsid w:val="003964A4"/>
    <w:rsid w:val="003966BA"/>
    <w:rsid w:val="00396D35"/>
    <w:rsid w:val="00397D63"/>
    <w:rsid w:val="003A012C"/>
    <w:rsid w:val="003A0131"/>
    <w:rsid w:val="003A022A"/>
    <w:rsid w:val="003A09D6"/>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8"/>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4A77C7"/>
    <w:rPr>
      <w:color w:val="605E5C"/>
      <w:shd w:val="clear" w:color="auto" w:fill="E1DFDD"/>
    </w:rPr>
  </w:style>
  <w:style w:type="character" w:styleId="FollowedHyperlink">
    <w:name w:val="FollowedHyperlink"/>
    <w:basedOn w:val="DefaultParagraphFont"/>
    <w:uiPriority w:val="99"/>
    <w:semiHidden/>
    <w:unhideWhenUsed/>
    <w:rsid w:val="004A77C7"/>
    <w:rPr>
      <w:color w:val="954F72" w:themeColor="followedHyperlink"/>
      <w:u w:val="single"/>
    </w:rPr>
  </w:style>
  <w:style w:type="paragraph" w:customStyle="1" w:styleId="b10">
    <w:name w:val="b1"/>
    <w:basedOn w:val="Normal"/>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Normal"/>
    <w:qFormat/>
    <w:rsid w:val="00610189"/>
    <w:pPr>
      <w:keepLines/>
      <w:ind w:left="1702" w:hanging="1418"/>
    </w:pPr>
  </w:style>
  <w:style w:type="paragraph" w:customStyle="1" w:styleId="EQ">
    <w:name w:val="EQ"/>
    <w:basedOn w:val="Normal"/>
    <w:next w:val="Normal"/>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2.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18</TotalTime>
  <Pages>9</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Meghna Agarwal</cp:lastModifiedBy>
  <cp:revision>3</cp:revision>
  <cp:lastPrinted>2020-02-10T06:14:00Z</cp:lastPrinted>
  <dcterms:created xsi:type="dcterms:W3CDTF">2025-08-25T08:23:00Z</dcterms:created>
  <dcterms:modified xsi:type="dcterms:W3CDTF">2025-08-25T08:24:00Z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55C4EE398AA181B5D5F78B573F6CBE12F76852EFBDF41625E85EF33E4FFAFD544EF8D716D4DE59F681055143BB4D6CB826DD7AAB029714C9E77881D7BD4D07EA</vt:lpwstr>
  </property>
</Properties>
</file>