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690034E4">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w:t>
            </w:r>
            <w:proofErr w:type="gramStart"/>
            <w:r w:rsidRPr="00FD7E88">
              <w:rPr>
                <w:rFonts w:eastAsiaTheme="minorEastAsia" w:hint="eastAsia"/>
                <w:lang w:val="en-GB" w:eastAsia="zh-CN"/>
              </w:rPr>
              <w:t>not only RAN1</w:t>
            </w:r>
            <w:proofErr w:type="gramEnd"/>
            <w:r w:rsidRPr="00FD7E88">
              <w:rPr>
                <w:rFonts w:eastAsiaTheme="minorEastAsia" w:hint="eastAsia"/>
                <w:lang w:val="en-GB" w:eastAsia="zh-CN"/>
              </w:rPr>
              <w:t xml:space="preserve">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w:t>
            </w:r>
            <w:proofErr w:type="gramStart"/>
            <w:r w:rsidRPr="00164AC7">
              <w:rPr>
                <w:rFonts w:eastAsia="Malgun Gothic"/>
                <w:lang w:val="en-GB" w:eastAsia="ko-KR"/>
              </w:rPr>
              <w:t>intention</w:t>
            </w:r>
            <w:proofErr w:type="gramEnd"/>
            <w:r w:rsidRPr="00164AC7">
              <w:rPr>
                <w:rFonts w:eastAsia="Malgun Gothic"/>
                <w:lang w:val="en-GB" w:eastAsia="ko-KR"/>
              </w:rPr>
              <w:t xml:space="preserve">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w:t>
            </w:r>
            <w:proofErr w:type="gramStart"/>
            <w:r w:rsidRPr="00164AC7">
              <w:rPr>
                <w:rFonts w:eastAsia="Malgun Gothic"/>
                <w:lang w:val="en-GB" w:eastAsia="ko-KR"/>
              </w:rPr>
              <w:t xml:space="preserve">to </w:t>
            </w:r>
            <w:r>
              <w:rPr>
                <w:rFonts w:eastAsia="Malgun Gothic"/>
                <w:lang w:val="en-GB" w:eastAsia="ko-KR"/>
              </w:rPr>
              <w:t>update</w:t>
            </w:r>
            <w:proofErr w:type="gramEnd"/>
            <w:r>
              <w:rPr>
                <w:rFonts w:eastAsia="Malgun Gothic"/>
                <w:lang w:val="en-GB" w:eastAsia="ko-KR"/>
              </w:rPr>
              <w:t xml:space="preserv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w:t>
            </w:r>
            <w:proofErr w:type="gramStart"/>
            <w:r>
              <w:rPr>
                <w:rFonts w:eastAsiaTheme="minorEastAsia" w:hint="eastAsia"/>
                <w:lang w:val="en-GB" w:eastAsia="zh-CN"/>
              </w:rPr>
              <w:t>and also</w:t>
            </w:r>
            <w:proofErr w:type="gramEnd"/>
            <w:r>
              <w:rPr>
                <w:rFonts w:eastAsiaTheme="minorEastAsia" w:hint="eastAsia"/>
                <w:lang w:val="en-GB" w:eastAsia="zh-CN"/>
              </w:rPr>
              <w:t xml:space="preserve">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lastRenderedPageBreak/>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lastRenderedPageBreak/>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w:t>
            </w:r>
            <w:proofErr w:type="gramStart"/>
            <w:r w:rsidRPr="00C26CE6">
              <w:rPr>
                <w:rFonts w:eastAsia="Malgun Gothic"/>
                <w:b w:val="0"/>
                <w:bCs w:val="0"/>
                <w:sz w:val="20"/>
                <w:szCs w:val="20"/>
                <w:lang w:val="en-US" w:eastAsia="ko-KR"/>
              </w:rPr>
              <w:t>define/update/signaling</w:t>
            </w:r>
            <w:proofErr w:type="gramEnd"/>
            <w:r w:rsidRPr="00C26CE6">
              <w:rPr>
                <w:rFonts w:eastAsia="Malgun Gothic"/>
                <w:b w:val="0"/>
                <w:bCs w:val="0"/>
                <w:sz w:val="20"/>
                <w:szCs w:val="20"/>
                <w:lang w:val="en-US" w:eastAsia="ko-KR"/>
              </w:rPr>
              <w:t xml:space="preserve">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w:t>
            </w:r>
            <w:proofErr w:type="gramStart"/>
            <w:r>
              <w:rPr>
                <w:rFonts w:eastAsia="Malgun Gothic"/>
                <w:lang w:val="en-US" w:eastAsia="ko-KR"/>
              </w:rPr>
              <w:t>to modify</w:t>
            </w:r>
            <w:proofErr w:type="gramEnd"/>
            <w:r>
              <w:rPr>
                <w:rFonts w:eastAsia="Malgun Gothic"/>
                <w:lang w:val="en-US" w:eastAsia="ko-KR"/>
              </w:rPr>
              <w:t xml:space="preserve">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How to </w:t>
            </w:r>
            <w:proofErr w:type="gramStart"/>
            <w:r w:rsidRPr="00C26CE6">
              <w:rPr>
                <w:rFonts w:ascii="Times New Roman" w:hAnsi="Times New Roman" w:cs="Times New Roman"/>
                <w:color w:val="FF0000"/>
                <w:sz w:val="21"/>
                <w:szCs w:val="21"/>
                <w:lang w:val="en-US"/>
              </w:rPr>
              <w:t>define/update/signaling</w:t>
            </w:r>
            <w:proofErr w:type="gramEnd"/>
            <w:r w:rsidRPr="00C26CE6">
              <w:rPr>
                <w:rFonts w:ascii="Times New Roman" w:hAnsi="Times New Roman" w:cs="Times New Roman"/>
                <w:color w:val="FF0000"/>
                <w:sz w:val="21"/>
                <w:szCs w:val="21"/>
                <w:lang w:val="en-US"/>
              </w:rPr>
              <w:t xml:space="preserve">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 xml:space="preserve">CATT, </w:t>
            </w:r>
            <w:r>
              <w:rPr>
                <w:rFonts w:eastAsiaTheme="minorEastAsia" w:hint="eastAsia"/>
                <w:sz w:val="21"/>
                <w:szCs w:val="21"/>
                <w:lang w:val="en-US" w:eastAsia="zh-CN"/>
              </w:rPr>
              <w:lastRenderedPageBreak/>
              <w:t>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lastRenderedPageBreak/>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w:t>
            </w:r>
            <w:proofErr w:type="gramStart"/>
            <w:r>
              <w:rPr>
                <w:lang w:val="en-GB"/>
              </w:rPr>
              <w:t>mis-alignment</w:t>
            </w:r>
            <w:proofErr w:type="gramEnd"/>
            <w:r>
              <w:rPr>
                <w:lang w:val="en-GB"/>
              </w:rPr>
              <w:t xml:space="preserve">”.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 xml:space="preserve">{SCS, </w:t>
      </w:r>
      <w:proofErr w:type="gramStart"/>
      <w:r w:rsidR="000710F6" w:rsidRPr="00ED0630">
        <w:rPr>
          <w:rFonts w:hint="eastAsia"/>
          <w:highlight w:val="magenta"/>
          <w:lang w:val="en-US"/>
        </w:rPr>
        <w:t>required</w:t>
      </w:r>
      <w:proofErr w:type="gramEnd"/>
      <w:r w:rsidR="000710F6" w:rsidRPr="00ED0630">
        <w:rPr>
          <w:rFonts w:hint="eastAsia"/>
          <w:highlight w:val="magenta"/>
          <w:lang w:val="en-US"/>
        </w:rPr>
        <w:t xml:space="preserve"> FFT size</w:t>
      </w:r>
      <w:proofErr w:type="gramStart"/>
      <w:r w:rsidR="000710F6" w:rsidRPr="00ED0630">
        <w:rPr>
          <w:rFonts w:hint="eastAsia"/>
          <w:highlight w:val="magenta"/>
          <w:lang w:val="en-US"/>
        </w:rPr>
        <w:t>, Max</w:t>
      </w:r>
      <w:proofErr w:type="gramEnd"/>
      <w:r w:rsidR="000710F6" w:rsidRPr="00ED0630">
        <w:rPr>
          <w:rFonts w:hint="eastAsia"/>
          <w:highlight w:val="magenta"/>
          <w:lang w:val="en-US"/>
        </w:rPr>
        <w:t xml:space="preserve"> CBW}</w:t>
      </w:r>
      <w:r w:rsidR="001830A7" w:rsidRPr="00ED0630">
        <w:rPr>
          <w:rFonts w:hint="eastAsia"/>
          <w:highlight w:val="magenta"/>
          <w:lang w:val="en-US"/>
        </w:rPr>
        <w:t xml:space="preserve"> </w:t>
      </w:r>
      <w:r w:rsidR="00222A4A" w:rsidRPr="00ED0630">
        <w:rPr>
          <w:rFonts w:hint="eastAsia"/>
          <w:highlight w:val="magenta"/>
          <w:lang w:val="en-US"/>
        </w:rPr>
        <w:t xml:space="preserve">are more suitable to </w:t>
      </w:r>
      <w:proofErr w:type="gramStart"/>
      <w:r w:rsidR="00222A4A" w:rsidRPr="00ED0630">
        <w:rPr>
          <w:rFonts w:hint="eastAsia"/>
          <w:highlight w:val="magenta"/>
          <w:lang w:val="en-US"/>
        </w:rPr>
        <w:t>be discussed</w:t>
      </w:r>
      <w:proofErr w:type="gramEnd"/>
      <w:r w:rsidR="00222A4A" w:rsidRPr="00ED0630">
        <w:rPr>
          <w:rFonts w:hint="eastAsia"/>
          <w:highlight w:val="magenta"/>
          <w:lang w:val="en-US"/>
        </w:rPr>
        <w:t xml:space="preserve">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lastRenderedPageBreak/>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w:t>
            </w:r>
            <w:r w:rsidRPr="006257AB">
              <w:rPr>
                <w:sz w:val="20"/>
                <w:szCs w:val="20"/>
                <w:lang w:val="en-GB"/>
              </w:rPr>
              <w:lastRenderedPageBreak/>
              <w:t xml:space="preserve">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w:t>
            </w:r>
            <w:proofErr w:type="gramStart"/>
            <w:r>
              <w:rPr>
                <w:rFonts w:eastAsia="Malgun Gothic"/>
                <w:lang w:val="en-GB" w:eastAsia="ko-KR"/>
              </w:rPr>
              <w:t>similar to</w:t>
            </w:r>
            <w:proofErr w:type="gramEnd"/>
            <w:r>
              <w:rPr>
                <w:rFonts w:eastAsia="Malgun Gothic"/>
                <w:lang w:val="en-GB" w:eastAsia="ko-KR"/>
              </w:rPr>
              <w:t xml:space="preserve">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B2F1A">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6A449B">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6A449B">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6A449B">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6A449B">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6A449B">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Default="00C80509" w:rsidP="00C93E9A">
      <w:pPr>
        <w:pStyle w:val="BodyText"/>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BodyText"/>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lastRenderedPageBreak/>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Default="00CF5A26" w:rsidP="00C93E9A">
      <w:pPr>
        <w:pStyle w:val="BodyText"/>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 xml:space="preserve">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 xml:space="preserve">we suggest </w:t>
            </w:r>
            <w:proofErr w:type="gramStart"/>
            <w:r w:rsidRPr="00B22384">
              <w:rPr>
                <w:rFonts w:eastAsiaTheme="minorEastAsia"/>
                <w:lang w:val="en-GB" w:eastAsia="zh-CN"/>
              </w:rPr>
              <w:t>to make</w:t>
            </w:r>
            <w:proofErr w:type="gramEnd"/>
            <w:r w:rsidRPr="00B22384">
              <w:rPr>
                <w:rFonts w:eastAsiaTheme="minorEastAsia"/>
                <w:lang w:val="en-GB" w:eastAsia="zh-CN"/>
              </w:rPr>
              <w:t xml:space="preserve"> it as follows:</w:t>
            </w:r>
          </w:p>
          <w:p w14:paraId="613795D7" w14:textId="77777777" w:rsidR="00DE6357" w:rsidRDefault="00DE6357" w:rsidP="00DE6357">
            <w:pPr>
              <w:pStyle w:val="Heading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lastRenderedPageBreak/>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lastRenderedPageBreak/>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w:t>
            </w:r>
            <w:proofErr w:type="gramStart"/>
            <w:r>
              <w:rPr>
                <w:rFonts w:eastAsia="Malgun Gothic"/>
                <w:lang w:val="en-GB" w:eastAsia="ko-KR"/>
              </w:rPr>
              <w:t>design-dependent</w:t>
            </w:r>
            <w:proofErr w:type="gramEnd"/>
            <w:r>
              <w:rPr>
                <w:rFonts w:eastAsia="Malgun Gothic"/>
                <w:lang w:val="en-GB" w:eastAsia="ko-KR"/>
              </w:rPr>
              <w:t xml:space="preserve">.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w:t>
            </w:r>
            <w:proofErr w:type="gramStart"/>
            <w:r>
              <w:rPr>
                <w:rFonts w:eastAsia="SimSun" w:hint="eastAsia"/>
                <w:lang w:val="en-US" w:eastAsia="zh-CN"/>
              </w:rPr>
              <w:t xml:space="preserve">here: </w:t>
            </w:r>
            <w:r>
              <w:rPr>
                <w:rFonts w:eastAsia="SimSun"/>
                <w:lang w:val="en-US" w:eastAsia="zh-CN"/>
              </w:rPr>
              <w:t>‘</w:t>
            </w:r>
            <w:proofErr w:type="gramEnd"/>
            <w:r>
              <w:rPr>
                <w:rFonts w:hint="eastAsia"/>
                <w:color w:val="000000" w:themeColor="text1"/>
              </w:rPr>
              <w:t xml:space="preserve">Note: </w:t>
            </w:r>
            <w:r>
              <w:rPr>
                <w:color w:val="000000" w:themeColor="text1"/>
              </w:rPr>
              <w:t>Inclusion</w:t>
            </w:r>
            <w:r>
              <w:rPr>
                <w:rFonts w:hint="eastAsia"/>
                <w:color w:val="000000" w:themeColor="text1"/>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t>
            </w:r>
            <w:r w:rsidRPr="004262CD">
              <w:rPr>
                <w:lang w:val="en-GB"/>
              </w:rPr>
              <w:lastRenderedPageBreak/>
              <w:t xml:space="preserve">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 xml:space="preserve">Suggest </w:t>
            </w:r>
            <w:proofErr w:type="gramStart"/>
            <w:r>
              <w:rPr>
                <w:rFonts w:eastAsia="Malgun Gothic"/>
                <w:lang w:val="en-GB" w:eastAsia="ko-KR"/>
              </w:rPr>
              <w:t>to discuss</w:t>
            </w:r>
            <w:proofErr w:type="gramEnd"/>
            <w:r>
              <w:rPr>
                <w:rFonts w:eastAsia="Malgun Gothic"/>
                <w:lang w:val="en-GB" w:eastAsia="ko-KR"/>
              </w:rPr>
              <w:t xml:space="preserve">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w:t>
            </w:r>
            <w:proofErr w:type="gramStart"/>
            <w:r>
              <w:rPr>
                <w:rFonts w:eastAsia="SimSun" w:hint="eastAsia"/>
                <w:lang w:val="en-US" w:eastAsia="zh-CN"/>
              </w:rPr>
              <w:t>for</w:t>
            </w:r>
            <w:proofErr w:type="gramEnd"/>
            <w:r>
              <w:rPr>
                <w:rFonts w:eastAsia="SimSun" w:hint="eastAsia"/>
                <w:lang w:val="en-US" w:eastAsia="zh-CN"/>
              </w:rPr>
              <w:t xml:space="preserve">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hint="eastAsia"/>
                <w:sz w:val="21"/>
                <w:szCs w:val="21"/>
                <w:lang w:val="en-US" w:eastAsia="zh-CN"/>
              </w:rPr>
            </w:pPr>
            <w:r>
              <w:rPr>
                <w:rFonts w:eastAsia="Yu Mincho"/>
                <w:sz w:val="21"/>
                <w:szCs w:val="21"/>
                <w:lang w:val="en-US" w:eastAsia="ja-JP"/>
              </w:rPr>
              <w:lastRenderedPageBreak/>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hint="eastAsia"/>
                <w:lang w:val="en-US" w:eastAsia="zh-CN"/>
              </w:rPr>
            </w:pPr>
            <w:r>
              <w:rPr>
                <w:lang w:val="en-US"/>
              </w:rPr>
              <w:t xml:space="preserve">Okay with the FL suggestion to discuss in the other AIs. </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w:t>
      </w:r>
      <w:r w:rsidR="00AB157E" w:rsidRPr="00A42865">
        <w:rPr>
          <w:rFonts w:hint="eastAsia"/>
          <w:highlight w:val="magenta"/>
          <w:lang w:val="en-US"/>
        </w:rPr>
        <w:lastRenderedPageBreak/>
        <w:t>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negative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116056">
              <w:rPr>
                <w:b/>
                <w:bC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proofErr w:type="gramStart"/>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also</w:t>
            </w:r>
            <w:proofErr w:type="gramEnd"/>
            <w:r>
              <w:rPr>
                <w:rFonts w:ascii="Times New Roman" w:eastAsiaTheme="minorEastAsia" w:hAnsi="Times New Roman" w:cs="Times New Roman" w:hint="eastAsia"/>
                <w:color w:val="FF0000"/>
                <w:sz w:val="21"/>
                <w:szCs w:val="21"/>
                <w:lang w:val="en-US" w:eastAsia="zh-CN"/>
              </w:rPr>
              <w:t xml:space="preserve">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w:t>
            </w:r>
            <w:proofErr w:type="gramStart"/>
            <w:r>
              <w:rPr>
                <w:rFonts w:eastAsia="SimSun" w:hint="eastAsia"/>
                <w:lang w:val="en-US" w:eastAsia="zh-CN"/>
              </w:rPr>
              <w:t>services</w:t>
            </w:r>
            <w:proofErr w:type="gramEnd"/>
            <w:r>
              <w:rPr>
                <w:rFonts w:eastAsia="SimSun" w:hint="eastAsia"/>
                <w:lang w:val="en-US" w:eastAsia="zh-CN"/>
              </w:rPr>
              <w:t xml:space="preserve"> need to be studied </w:t>
            </w:r>
            <w:proofErr w:type="gramStart"/>
            <w:r>
              <w:rPr>
                <w:rFonts w:eastAsia="SimSun" w:hint="eastAsia"/>
                <w:lang w:val="en-US" w:eastAsia="zh-CN"/>
              </w:rPr>
              <w:t>in high</w:t>
            </w:r>
            <w:proofErr w:type="gramEnd"/>
            <w:r>
              <w:rPr>
                <w:rFonts w:eastAsia="SimSun" w:hint="eastAsia"/>
                <w:lang w:val="en-US" w:eastAsia="zh-CN"/>
              </w:rPr>
              <w:t xml:space="preserve">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w:t>
            </w:r>
            <w:r w:rsidRPr="00F7341D">
              <w:rPr>
                <w:color w:val="000000" w:themeColor="text1"/>
                <w:lang w:eastAsia="ja-JP"/>
              </w:rPr>
              <w:lastRenderedPageBreak/>
              <w:t>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w:t>
      </w:r>
      <w:proofErr w:type="gramStart"/>
      <w:r w:rsidR="00AB4A3E">
        <w:rPr>
          <w:rFonts w:hint="eastAsia"/>
          <w:lang w:val="en-US"/>
        </w:rPr>
        <w:t xml:space="preserve">the </w:t>
      </w:r>
      <w:r w:rsidR="00AB4A3E" w:rsidRPr="00AB4A3E">
        <w:rPr>
          <w:lang w:val="en-US"/>
        </w:rPr>
        <w:t>spectrum</w:t>
      </w:r>
      <w:proofErr w:type="gramEnd"/>
      <w:r w:rsidR="00AB4A3E" w:rsidRPr="00AB4A3E">
        <w:rPr>
          <w:lang w:val="en-US"/>
        </w:rPr>
        <w:t xml:space="preserve">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w:t>
            </w:r>
            <w:proofErr w:type="gramStart"/>
            <w:r w:rsidRPr="00164AC7">
              <w:rPr>
                <w:rFonts w:eastAsia="Malgun Gothic"/>
                <w:lang w:val="en-GB" w:eastAsia="ko-KR"/>
              </w:rPr>
              <w:t>different-bands</w:t>
            </w:r>
            <w:proofErr w:type="gramEnd"/>
            <w:r w:rsidRPr="00164AC7">
              <w:rPr>
                <w:rFonts w:eastAsia="Malgun Gothic"/>
                <w:lang w:val="en-GB" w:eastAsia="ko-KR"/>
              </w:rPr>
              <w:t xml:space="preserve">.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Pr>
                <w:rFonts w:hint="eastAsia"/>
                <w:sz w:val="20"/>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Pr>
                <w:b w:val="0"/>
                <w:bCs w:val="0"/>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Channel coding, using LDPC and Polar Code as baseline, considering applicable extensions to satisfy 6G </w:t>
            </w:r>
            <w:r w:rsidRPr="0018510B">
              <w:rPr>
                <w:rFonts w:eastAsia="MS Mincho"/>
                <w:color w:val="000000"/>
                <w:lang w:eastAsia="en-GB"/>
              </w:rPr>
              <w:lastRenderedPageBreak/>
              <w:t>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proofErr w:type="gramStart"/>
            <w:r>
              <w:rPr>
                <w:rFonts w:eastAsia="Microsoft YaHei"/>
              </w:rPr>
              <w:t>First of all</w:t>
            </w:r>
            <w:proofErr w:type="gramEnd"/>
            <w:r>
              <w:rPr>
                <w:rFonts w:eastAsia="Microsoft YaHei"/>
              </w:rPr>
              <w:t xml:space="preserve">,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 xml:space="preserve">ltra-massive MIMO (involving both </w:t>
            </w:r>
            <w:proofErr w:type="spellStart"/>
            <w:r w:rsidRPr="00582A6D">
              <w:rPr>
                <w:rFonts w:eastAsia="Microsoft YaHei"/>
                <w:b w:val="0"/>
                <w:sz w:val="20"/>
                <w:szCs w:val="20"/>
                <w:lang w:val="en-GB"/>
              </w:rPr>
              <w:t>gNB</w:t>
            </w:r>
            <w:proofErr w:type="spellEnd"/>
            <w:r w:rsidRPr="00582A6D">
              <w:rPr>
                <w:rFonts w:eastAsia="Microsoft YaHei"/>
                <w:b w:val="0"/>
                <w:sz w:val="20"/>
                <w:szCs w:val="20"/>
                <w:lang w:val="en-GB"/>
              </w:rPr>
              <w:t xml:space="preserve"> and UE</w:t>
            </w:r>
            <w:proofErr w:type="gramStart"/>
            <w:r w:rsidRPr="00582A6D">
              <w:rPr>
                <w:rFonts w:eastAsia="Microsoft YaHei"/>
                <w:b w:val="0"/>
                <w:sz w:val="20"/>
                <w:szCs w:val="20"/>
                <w:lang w:val="en-GB"/>
              </w:rPr>
              <w:t>);</w:t>
            </w:r>
            <w:proofErr w:type="gramEnd"/>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w:t>
            </w:r>
            <w:proofErr w:type="gramStart"/>
            <w:r>
              <w:rPr>
                <w:rFonts w:eastAsia="Microsoft YaHei"/>
                <w:b w:val="0"/>
                <w:sz w:val="20"/>
                <w:szCs w:val="20"/>
                <w:lang w:val="en-GB"/>
              </w:rPr>
              <w:t>TRP</w:t>
            </w:r>
            <w:r w:rsidRPr="00582A6D">
              <w:rPr>
                <w:rFonts w:eastAsia="Microsoft YaHei"/>
                <w:b w:val="0"/>
                <w:sz w:val="20"/>
                <w:szCs w:val="20"/>
                <w:lang w:val="en-GB"/>
              </w:rPr>
              <w:t>;</w:t>
            </w:r>
            <w:proofErr w:type="gramEnd"/>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 xml:space="preserve">cell-free operation starting from </w:t>
            </w:r>
            <w:proofErr w:type="gramStart"/>
            <w:r w:rsidRPr="00582A6D">
              <w:rPr>
                <w:rFonts w:eastAsia="Microsoft YaHei"/>
                <w:b w:val="0"/>
                <w:sz w:val="20"/>
                <w:szCs w:val="20"/>
                <w:lang w:val="en-GB"/>
              </w:rPr>
              <w:t>T0;</w:t>
            </w:r>
            <w:proofErr w:type="gramEnd"/>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BodyText"/>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w:t>
            </w:r>
            <w:r>
              <w:rPr>
                <w:rFonts w:eastAsia="Malgun Gothic"/>
                <w:lang w:eastAsia="ko-KR"/>
              </w:rPr>
              <w:lastRenderedPageBreak/>
              <w:t>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w:t>
            </w:r>
            <w:proofErr w:type="spellStart"/>
            <w:r w:rsidRPr="00164AC7">
              <w:rPr>
                <w:rFonts w:eastAsia="Malgun Gothic"/>
                <w:lang w:eastAsia="ko-KR"/>
              </w:rPr>
              <w:t>gNB</w:t>
            </w:r>
            <w:proofErr w:type="spellEnd"/>
            <w:r w:rsidRPr="00164AC7">
              <w:rPr>
                <w:rFonts w:eastAsia="Malgun Gothic"/>
                <w:lang w:eastAsia="ko-KR"/>
              </w:rPr>
              <w:t xml:space="preserve">/UE complexity, we suggest </w:t>
            </w:r>
            <w:proofErr w:type="gramStart"/>
            <w:r w:rsidRPr="00164AC7">
              <w:rPr>
                <w:rFonts w:eastAsia="Malgun Gothic"/>
                <w:lang w:eastAsia="ko-KR"/>
              </w:rPr>
              <w:t>to focus</w:t>
            </w:r>
            <w:proofErr w:type="gramEnd"/>
            <w:r w:rsidRPr="00164AC7">
              <w:rPr>
                <w:rFonts w:eastAsia="Malgun Gothic"/>
                <w:lang w:eastAsia="ko-KR"/>
              </w:rPr>
              <w:t xml:space="preserve">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hint="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w:t>
            </w:r>
            <w:proofErr w:type="gramStart"/>
            <w:r w:rsidRPr="004262CD">
              <w:rPr>
                <w:lang w:val="en-GB"/>
              </w:rPr>
              <w:t>by the use of</w:t>
            </w:r>
            <w:proofErr w:type="gramEnd"/>
            <w:r w:rsidRPr="004262CD">
              <w:rPr>
                <w:lang w:val="en-GB"/>
              </w:rPr>
              <w:t xml:space="preserve"> different TDD configurations between adjacent </w:t>
            </w:r>
            <w:proofErr w:type="spellStart"/>
            <w:r w:rsidRPr="004262CD">
              <w:rPr>
                <w:lang w:val="en-GB"/>
              </w:rPr>
              <w:t>gNBs</w:t>
            </w:r>
            <w:proofErr w:type="spellEnd"/>
            <w:r w:rsidRPr="004262CD">
              <w:rPr>
                <w:lang w:val="en-GB"/>
              </w:rPr>
              <w:t xml:space="preserve">. However, it is worth noting that semi-static TDD with flexible symbols is effectively </w:t>
            </w:r>
            <w:proofErr w:type="gramStart"/>
            <w:r w:rsidRPr="004262CD">
              <w:rPr>
                <w:lang w:val="en-GB"/>
              </w:rPr>
              <w:t>similar to</w:t>
            </w:r>
            <w:proofErr w:type="gramEnd"/>
            <w:r w:rsidRPr="004262CD">
              <w:rPr>
                <w:lang w:val="en-GB"/>
              </w:rPr>
              <w:t xml:space="preserve">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w:t>
            </w:r>
            <w:proofErr w:type="spellStart"/>
            <w:r w:rsidRPr="004262CD">
              <w:rPr>
                <w:lang w:val="en-GB"/>
              </w:rPr>
              <w:t>gNB</w:t>
            </w:r>
            <w:proofErr w:type="spellEnd"/>
            <w:r w:rsidRPr="004262CD">
              <w:rPr>
                <w:lang w:val="en-GB"/>
              </w:rPr>
              <w:t xml:space="preserve">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Aim at using common 6G Radio design, which meets mobile broadband service requirements as high </w:t>
            </w:r>
            <w:r w:rsidRPr="0057360A">
              <w:rPr>
                <w:rFonts w:eastAsia="MS Mincho"/>
                <w:color w:val="000000"/>
                <w:lang w:eastAsia="en-GB"/>
              </w:rPr>
              <w:lastRenderedPageBreak/>
              <w:t>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w:t>
            </w:r>
            <w:r>
              <w:rPr>
                <w:lang w:val="en-GB"/>
              </w:rPr>
              <w:lastRenderedPageBreak/>
              <w:t>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etails should be studied in Agenda 11.12. But </w:t>
            </w:r>
            <w:proofErr w:type="gramStart"/>
            <w:r>
              <w:rPr>
                <w:rFonts w:eastAsiaTheme="minorEastAsia"/>
                <w:lang w:val="en-US" w:eastAsia="zh-CN"/>
              </w:rPr>
              <w:t>in</w:t>
            </w:r>
            <w:proofErr w:type="gramEnd"/>
            <w:r>
              <w:rPr>
                <w:rFonts w:eastAsiaTheme="minorEastAsia"/>
                <w:lang w:val="en-US" w:eastAsia="zh-CN"/>
              </w:rPr>
              <w:t xml:space="preserve">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w:t>
            </w:r>
            <w:r w:rsidRPr="00164AC7">
              <w:rPr>
                <w:lang w:val="en-GB"/>
              </w:rPr>
              <w:lastRenderedPageBreak/>
              <w:t>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Pr>
                <w:rFonts w:eastAsiaTheme="minorEastAsia"/>
                <w:lang w:eastAsia="zh-CN"/>
              </w:rPr>
              <w:t xml:space="preserve">left-hand circular polarization and right-hand circular polarization </w:t>
            </w:r>
            <w:r>
              <w:rPr>
                <w:rFonts w:eastAsiaTheme="minorEastAsia" w:hint="eastAsia"/>
                <w:lang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w:t>
            </w:r>
            <w:proofErr w:type="gramStart"/>
            <w:r w:rsidRPr="00DE6357">
              <w:rPr>
                <w:rFonts w:eastAsia="Yu Mincho"/>
                <w:b/>
                <w:bCs/>
                <w:color w:val="FF0000"/>
                <w:sz w:val="21"/>
                <w:szCs w:val="21"/>
                <w:lang w:val="en-US" w:eastAsia="ja-JP"/>
              </w:rPr>
              <w:t>orbits</w:t>
            </w:r>
            <w:proofErr w:type="gramEnd"/>
            <w:r w:rsidRPr="00DE6357">
              <w:rPr>
                <w:rFonts w:eastAsia="Yu Mincho"/>
                <w:b/>
                <w:bCs/>
                <w:color w:val="FF0000"/>
                <w:sz w:val="21"/>
                <w:szCs w:val="21"/>
                <w:lang w:val="en-US" w:eastAsia="ja-JP"/>
              </w:rPr>
              <w:t xml:space="preserve"> </w:t>
            </w:r>
            <w:proofErr w:type="spellStart"/>
            <w:proofErr w:type="gram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proofErr w:type="gram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hint="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BodyText"/>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BodyText"/>
              <w:rPr>
                <w:lang w:val="en-US"/>
              </w:rPr>
            </w:pP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4D27AA"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D27A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2E840" w14:textId="77777777" w:rsidR="00DD0E13" w:rsidRDefault="00DD0E13">
      <w:pPr>
        <w:spacing w:line="240" w:lineRule="auto"/>
      </w:pPr>
      <w:r>
        <w:separator/>
      </w:r>
    </w:p>
  </w:endnote>
  <w:endnote w:type="continuationSeparator" w:id="0">
    <w:p w14:paraId="45369F6C" w14:textId="77777777" w:rsidR="00DD0E13" w:rsidRDefault="00DD0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9FC39" w14:textId="77777777" w:rsidR="00DD0E13" w:rsidRDefault="00DD0E13">
      <w:pPr>
        <w:spacing w:after="0"/>
      </w:pPr>
      <w:r>
        <w:separator/>
      </w:r>
    </w:p>
  </w:footnote>
  <w:footnote w:type="continuationSeparator" w:id="0">
    <w:p w14:paraId="369BC069" w14:textId="77777777" w:rsidR="00DD0E13" w:rsidRDefault="00DD0E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7"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0"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3"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6"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8"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4"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5"/>
  </w:num>
  <w:num w:numId="2" w16cid:durableId="477067000">
    <w:abstractNumId w:val="1"/>
  </w:num>
  <w:num w:numId="3" w16cid:durableId="986590356">
    <w:abstractNumId w:val="0"/>
  </w:num>
  <w:num w:numId="4" w16cid:durableId="1998923686">
    <w:abstractNumId w:val="5"/>
  </w:num>
  <w:num w:numId="5" w16cid:durableId="1421029378">
    <w:abstractNumId w:val="18"/>
  </w:num>
  <w:num w:numId="6" w16cid:durableId="1795831425">
    <w:abstractNumId w:val="21"/>
    <w:lvlOverride w:ilvl="0">
      <w:startOverride w:val="1"/>
    </w:lvlOverride>
  </w:num>
  <w:num w:numId="7" w16cid:durableId="1314211186">
    <w:abstractNumId w:val="22"/>
  </w:num>
  <w:num w:numId="8" w16cid:durableId="1668895237">
    <w:abstractNumId w:val="34"/>
  </w:num>
  <w:num w:numId="9" w16cid:durableId="2112622614">
    <w:abstractNumId w:val="43"/>
  </w:num>
  <w:num w:numId="10" w16cid:durableId="815800016">
    <w:abstractNumId w:val="7"/>
  </w:num>
  <w:num w:numId="11" w16cid:durableId="423302852">
    <w:abstractNumId w:val="31"/>
  </w:num>
  <w:num w:numId="12" w16cid:durableId="726606402">
    <w:abstractNumId w:val="48"/>
  </w:num>
  <w:num w:numId="13" w16cid:durableId="1454447290">
    <w:abstractNumId w:val="19"/>
  </w:num>
  <w:num w:numId="14" w16cid:durableId="276568201">
    <w:abstractNumId w:val="36"/>
  </w:num>
  <w:num w:numId="15" w16cid:durableId="1355116083">
    <w:abstractNumId w:val="38"/>
  </w:num>
  <w:num w:numId="16" w16cid:durableId="2027754115">
    <w:abstractNumId w:val="27"/>
  </w:num>
  <w:num w:numId="17" w16cid:durableId="656500863">
    <w:abstractNumId w:val="40"/>
  </w:num>
  <w:num w:numId="18" w16cid:durableId="1015114107">
    <w:abstractNumId w:val="49"/>
  </w:num>
  <w:num w:numId="19" w16cid:durableId="1477796929">
    <w:abstractNumId w:val="28"/>
  </w:num>
  <w:num w:numId="20" w16cid:durableId="199057029">
    <w:abstractNumId w:val="55"/>
  </w:num>
  <w:num w:numId="21" w16cid:durableId="457724626">
    <w:abstractNumId w:val="6"/>
  </w:num>
  <w:num w:numId="22" w16cid:durableId="1495490176">
    <w:abstractNumId w:val="52"/>
  </w:num>
  <w:num w:numId="23" w16cid:durableId="1707371883">
    <w:abstractNumId w:val="35"/>
  </w:num>
  <w:num w:numId="24" w16cid:durableId="694116622">
    <w:abstractNumId w:val="9"/>
  </w:num>
  <w:num w:numId="25" w16cid:durableId="601307612">
    <w:abstractNumId w:val="42"/>
  </w:num>
  <w:num w:numId="26" w16cid:durableId="1279139532">
    <w:abstractNumId w:val="4"/>
  </w:num>
  <w:num w:numId="27" w16cid:durableId="1597707460">
    <w:abstractNumId w:val="24"/>
  </w:num>
  <w:num w:numId="28" w16cid:durableId="1398938716">
    <w:abstractNumId w:val="14"/>
  </w:num>
  <w:num w:numId="29" w16cid:durableId="2060543329">
    <w:abstractNumId w:val="26"/>
  </w:num>
  <w:num w:numId="30" w16cid:durableId="497037221">
    <w:abstractNumId w:val="45"/>
  </w:num>
  <w:num w:numId="31" w16cid:durableId="1449353803">
    <w:abstractNumId w:val="47"/>
  </w:num>
  <w:num w:numId="32" w16cid:durableId="773793987">
    <w:abstractNumId w:val="10"/>
  </w:num>
  <w:num w:numId="33" w16cid:durableId="404651859">
    <w:abstractNumId w:val="46"/>
  </w:num>
  <w:num w:numId="34" w16cid:durableId="2051611832">
    <w:abstractNumId w:val="54"/>
  </w:num>
  <w:num w:numId="35" w16cid:durableId="514076826">
    <w:abstractNumId w:val="32"/>
  </w:num>
  <w:num w:numId="36" w16cid:durableId="894123164">
    <w:abstractNumId w:val="25"/>
  </w:num>
  <w:num w:numId="37" w16cid:durableId="243688309">
    <w:abstractNumId w:val="44"/>
  </w:num>
  <w:num w:numId="38" w16cid:durableId="344132526">
    <w:abstractNumId w:val="16"/>
  </w:num>
  <w:num w:numId="39" w16cid:durableId="1054234474">
    <w:abstractNumId w:val="2"/>
  </w:num>
  <w:num w:numId="40" w16cid:durableId="507719458">
    <w:abstractNumId w:val="20"/>
  </w:num>
  <w:num w:numId="41" w16cid:durableId="1805734364">
    <w:abstractNumId w:val="12"/>
  </w:num>
  <w:num w:numId="42" w16cid:durableId="783422305">
    <w:abstractNumId w:val="11"/>
  </w:num>
  <w:num w:numId="43" w16cid:durableId="920675082">
    <w:abstractNumId w:val="50"/>
  </w:num>
  <w:num w:numId="44" w16cid:durableId="874586133">
    <w:abstractNumId w:val="37"/>
  </w:num>
  <w:num w:numId="45" w16cid:durableId="1165319021">
    <w:abstractNumId w:val="39"/>
  </w:num>
  <w:num w:numId="46" w16cid:durableId="1480920433">
    <w:abstractNumId w:val="13"/>
  </w:num>
  <w:num w:numId="47" w16cid:durableId="185556422">
    <w:abstractNumId w:val="3"/>
  </w:num>
  <w:num w:numId="48" w16cid:durableId="1119686851">
    <w:abstractNumId w:val="29"/>
  </w:num>
  <w:num w:numId="49" w16cid:durableId="9181495">
    <w:abstractNumId w:val="41"/>
  </w:num>
  <w:num w:numId="50" w16cid:durableId="487480679">
    <w:abstractNumId w:val="23"/>
  </w:num>
  <w:num w:numId="51" w16cid:durableId="1990281744">
    <w:abstractNumId w:val="30"/>
  </w:num>
  <w:num w:numId="52" w16cid:durableId="230971295">
    <w:abstractNumId w:val="17"/>
  </w:num>
  <w:num w:numId="53" w16cid:durableId="1295985548">
    <w:abstractNumId w:val="8"/>
  </w:num>
  <w:num w:numId="54" w16cid:durableId="1591694272">
    <w:abstractNumId w:val="33"/>
  </w:num>
  <w:num w:numId="55" w16cid:durableId="874462721">
    <w:abstractNumId w:val="53"/>
  </w:num>
  <w:num w:numId="56" w16cid:durableId="1040856106">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목록 단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14192</Words>
  <Characters>80895</Characters>
  <Application>Microsoft Office Word</Application>
  <DocSecurity>0</DocSecurity>
  <Lines>674</Lines>
  <Paragraphs>189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Ofinno - Ryan</cp:lastModifiedBy>
  <cp:revision>2</cp:revision>
  <dcterms:created xsi:type="dcterms:W3CDTF">2025-08-26T09:54:00Z</dcterms:created>
  <dcterms:modified xsi:type="dcterms:W3CDTF">2025-08-26T09:54:00Z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