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89686" w14:textId="77777777" w:rsidR="00AD1443" w:rsidRPr="00FB13A8" w:rsidRDefault="00AD144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ajorHAnsi" w:eastAsia="Arial" w:hAnsiTheme="majorHAnsi" w:cstheme="majorHAnsi"/>
          <w:color w:val="000000"/>
        </w:rPr>
      </w:pPr>
    </w:p>
    <w:tbl>
      <w:tblPr>
        <w:tblStyle w:val="2"/>
        <w:tblW w:w="9026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68"/>
        <w:gridCol w:w="2358"/>
      </w:tblGrid>
      <w:tr w:rsidR="00AD1443" w:rsidRPr="00FB13A8" w14:paraId="35F1CD0D" w14:textId="77777777">
        <w:tc>
          <w:tcPr>
            <w:tcW w:w="6668" w:type="dxa"/>
          </w:tcPr>
          <w:p w14:paraId="41E3701E" w14:textId="405F349B" w:rsidR="00AD1443" w:rsidRPr="00FB13A8" w:rsidRDefault="004D6555">
            <w:pPr>
              <w:ind w:left="-113"/>
              <w:rPr>
                <w:rFonts w:asciiTheme="majorHAnsi" w:hAnsiTheme="majorHAnsi" w:cstheme="majorHAnsi"/>
              </w:rPr>
            </w:pP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3GPP TSG RAN WG1 Meeting #12</w:t>
            </w:r>
            <w:r w:rsidR="00933CE0">
              <w:rPr>
                <w:rFonts w:asciiTheme="majorHAnsi" w:hAnsiTheme="majorHAnsi" w:cstheme="majorHAnsi"/>
                <w:b/>
                <w:sz w:val="32"/>
                <w:szCs w:val="32"/>
              </w:rPr>
              <w:t>3</w:t>
            </w:r>
          </w:p>
        </w:tc>
        <w:tc>
          <w:tcPr>
            <w:tcW w:w="2358" w:type="dxa"/>
          </w:tcPr>
          <w:p w14:paraId="4D50F5C8" w14:textId="3FF62B98" w:rsidR="00AD1443" w:rsidRPr="00FB13A8" w:rsidRDefault="00F31F90">
            <w:pPr>
              <w:ind w:right="-115"/>
              <w:jc w:val="right"/>
              <w:rPr>
                <w:rFonts w:asciiTheme="majorHAnsi" w:hAnsiTheme="majorHAnsi" w:cstheme="majorHAnsi"/>
              </w:rPr>
            </w:pP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R1-25</w:t>
            </w:r>
            <w:r w:rsidR="008506A7">
              <w:rPr>
                <w:rFonts w:asciiTheme="majorHAnsi" w:hAnsiTheme="majorHAnsi" w:cstheme="majorHAnsi"/>
                <w:b/>
                <w:sz w:val="32"/>
                <w:szCs w:val="32"/>
              </w:rPr>
              <w:t>08890</w:t>
            </w:r>
          </w:p>
        </w:tc>
      </w:tr>
      <w:tr w:rsidR="00AD1443" w:rsidRPr="00FB13A8" w14:paraId="74F1CBFD" w14:textId="77777777">
        <w:tc>
          <w:tcPr>
            <w:tcW w:w="9026" w:type="dxa"/>
            <w:gridSpan w:val="2"/>
          </w:tcPr>
          <w:p w14:paraId="18544BEF" w14:textId="29B1628A" w:rsidR="00AD1443" w:rsidRPr="00FB13A8" w:rsidRDefault="00933CE0">
            <w:pPr>
              <w:ind w:left="-113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  <w:sz w:val="32"/>
                <w:szCs w:val="32"/>
              </w:rPr>
              <w:t>Dallas, USA</w:t>
            </w:r>
            <w:r w:rsidR="009B71B6"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 xml:space="preserve">, </w:t>
            </w:r>
            <w:r>
              <w:rPr>
                <w:rFonts w:asciiTheme="majorHAnsi" w:hAnsiTheme="majorHAnsi" w:cstheme="majorHAnsi"/>
                <w:b/>
                <w:sz w:val="32"/>
                <w:szCs w:val="32"/>
              </w:rPr>
              <w:t>November</w:t>
            </w:r>
            <w:r w:rsidR="009B71B6"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 xml:space="preserve"> 1</w:t>
            </w:r>
            <w:r>
              <w:rPr>
                <w:rFonts w:asciiTheme="majorHAnsi" w:hAnsiTheme="majorHAnsi" w:cstheme="majorHAnsi"/>
                <w:b/>
                <w:sz w:val="32"/>
                <w:szCs w:val="32"/>
              </w:rPr>
              <w:t>7</w:t>
            </w:r>
            <w:r w:rsidR="009B71B6" w:rsidRPr="00FB13A8">
              <w:rPr>
                <w:rFonts w:asciiTheme="majorHAnsi" w:hAnsiTheme="majorHAnsi" w:cstheme="majorHAnsi"/>
                <w:b/>
                <w:sz w:val="32"/>
                <w:szCs w:val="32"/>
                <w:vertAlign w:val="superscript"/>
              </w:rPr>
              <w:t>th</w:t>
            </w:r>
            <w:r w:rsidR="009B71B6"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 xml:space="preserve"> – </w:t>
            </w:r>
            <w:r>
              <w:rPr>
                <w:rFonts w:asciiTheme="majorHAnsi" w:hAnsiTheme="majorHAnsi" w:cstheme="majorHAnsi"/>
                <w:b/>
                <w:sz w:val="32"/>
                <w:szCs w:val="32"/>
              </w:rPr>
              <w:t>2</w:t>
            </w:r>
            <w:r w:rsidR="009B71B6"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1</w:t>
            </w:r>
            <w:r>
              <w:rPr>
                <w:rFonts w:asciiTheme="majorHAnsi" w:hAnsiTheme="majorHAnsi" w:cstheme="majorHAnsi"/>
                <w:b/>
                <w:sz w:val="32"/>
                <w:szCs w:val="32"/>
                <w:vertAlign w:val="superscript"/>
              </w:rPr>
              <w:t>st</w:t>
            </w:r>
            <w:r w:rsidR="009B71B6"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, 2025</w:t>
            </w:r>
          </w:p>
        </w:tc>
      </w:tr>
    </w:tbl>
    <w:p w14:paraId="7B2BA3A4" w14:textId="77777777" w:rsidR="00AD1443" w:rsidRPr="00FB13A8" w:rsidRDefault="00AD1443">
      <w:pPr>
        <w:jc w:val="both"/>
        <w:rPr>
          <w:rFonts w:asciiTheme="majorHAnsi" w:hAnsiTheme="majorHAnsi" w:cstheme="majorHAnsi"/>
        </w:rPr>
      </w:pPr>
    </w:p>
    <w:tbl>
      <w:tblPr>
        <w:tblStyle w:val="1"/>
        <w:tblW w:w="9360" w:type="dxa"/>
        <w:tblInd w:w="0" w:type="dxa"/>
        <w:tblBorders>
          <w:top w:val="single" w:sz="4" w:space="0" w:color="000000"/>
          <w:bottom w:val="single" w:sz="4" w:space="0" w:color="000000"/>
        </w:tblBorders>
        <w:tblLayout w:type="fixed"/>
        <w:tblLook w:val="06A0" w:firstRow="1" w:lastRow="0" w:firstColumn="1" w:lastColumn="0" w:noHBand="1" w:noVBand="1"/>
      </w:tblPr>
      <w:tblGrid>
        <w:gridCol w:w="1701"/>
        <w:gridCol w:w="7659"/>
      </w:tblGrid>
      <w:tr w:rsidR="00AD1443" w:rsidRPr="00FB13A8" w14:paraId="04DA0605" w14:textId="77777777" w:rsidTr="00B72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431B8CC" w14:textId="77777777" w:rsidR="00AD1443" w:rsidRPr="00FB13A8" w:rsidRDefault="004D6555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Agenda Item:</w:t>
            </w:r>
          </w:p>
        </w:tc>
        <w:tc>
          <w:tcPr>
            <w:tcW w:w="7659" w:type="dxa"/>
          </w:tcPr>
          <w:p w14:paraId="128B4B72" w14:textId="77777777" w:rsidR="00AD1443" w:rsidRPr="00FB13A8" w:rsidRDefault="004D6555">
            <w:pPr>
              <w:ind w:left="-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b w:val="0"/>
                <w:sz w:val="24"/>
                <w:szCs w:val="24"/>
              </w:rPr>
              <w:t>11.3.1</w:t>
            </w:r>
          </w:p>
        </w:tc>
      </w:tr>
      <w:tr w:rsidR="00AD1443" w:rsidRPr="00FB13A8" w14:paraId="2311ADFC" w14:textId="77777777" w:rsidTr="00AD14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B25AABC" w14:textId="77777777" w:rsidR="00AD1443" w:rsidRPr="00FB13A8" w:rsidRDefault="004D6555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Source:</w:t>
            </w:r>
          </w:p>
        </w:tc>
        <w:tc>
          <w:tcPr>
            <w:tcW w:w="7659" w:type="dxa"/>
          </w:tcPr>
          <w:p w14:paraId="2F13BBA0" w14:textId="78364943" w:rsidR="00AD1443" w:rsidRPr="00B72F91" w:rsidRDefault="004D6555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B72F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WiSig</w:t>
            </w:r>
            <w:r w:rsidR="006D4E83" w:rsidRPr="00B72F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and IITH</w:t>
            </w:r>
          </w:p>
        </w:tc>
      </w:tr>
      <w:tr w:rsidR="00AD1443" w:rsidRPr="00FB13A8" w14:paraId="0FF449BA" w14:textId="77777777" w:rsidTr="00AD14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84C739C" w14:textId="77777777" w:rsidR="00AD1443" w:rsidRPr="00FB13A8" w:rsidRDefault="004D6555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Title:</w:t>
            </w:r>
          </w:p>
        </w:tc>
        <w:tc>
          <w:tcPr>
            <w:tcW w:w="7659" w:type="dxa"/>
          </w:tcPr>
          <w:p w14:paraId="27FC2A6C" w14:textId="2ED39EC7" w:rsidR="00AD1443" w:rsidRPr="00B72F91" w:rsidRDefault="00FA2C19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Waveform </w:t>
            </w:r>
            <w:r w:rsidR="00E4574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considerations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for 6G</w:t>
            </w:r>
            <w:r w:rsidR="00E4574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Uplink</w:t>
            </w:r>
          </w:p>
        </w:tc>
      </w:tr>
      <w:tr w:rsidR="00AD1443" w:rsidRPr="00FB13A8" w14:paraId="09E4E753" w14:textId="77777777" w:rsidTr="00AD14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9BD2BE7" w14:textId="77777777" w:rsidR="00AD1443" w:rsidRPr="00FB13A8" w:rsidRDefault="004D6555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Document for:</w:t>
            </w:r>
          </w:p>
        </w:tc>
        <w:tc>
          <w:tcPr>
            <w:tcW w:w="7659" w:type="dxa"/>
          </w:tcPr>
          <w:p w14:paraId="594A13C2" w14:textId="77777777" w:rsidR="00AD1443" w:rsidRPr="00FB13A8" w:rsidRDefault="004D6555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Discussion</w:t>
            </w:r>
          </w:p>
        </w:tc>
      </w:tr>
    </w:tbl>
    <w:p w14:paraId="2D8B1992" w14:textId="77777777" w:rsidR="00AD1443" w:rsidRDefault="00AD1443">
      <w:pPr>
        <w:rPr>
          <w:rFonts w:asciiTheme="majorHAnsi" w:hAnsiTheme="majorHAnsi" w:cstheme="majorHAnsi"/>
          <w:b/>
        </w:rPr>
      </w:pPr>
    </w:p>
    <w:p w14:paraId="3E345996" w14:textId="65775DC4" w:rsidR="004D6555" w:rsidRPr="00170471" w:rsidRDefault="004D6555" w:rsidP="008D3165">
      <w:pPr>
        <w:pStyle w:val="ListParagraph"/>
        <w:numPr>
          <w:ilvl w:val="0"/>
          <w:numId w:val="33"/>
        </w:numPr>
        <w:spacing w:before="100" w:beforeAutospacing="1" w:after="100" w:afterAutospacing="1" w:line="240" w:lineRule="auto"/>
        <w:ind w:left="284"/>
        <w:outlineLvl w:val="1"/>
        <w:rPr>
          <w:b/>
          <w:bCs/>
          <w:sz w:val="36"/>
          <w:szCs w:val="36"/>
        </w:rPr>
      </w:pPr>
      <w:r w:rsidRPr="00170471">
        <w:rPr>
          <w:b/>
          <w:bCs/>
          <w:sz w:val="36"/>
          <w:szCs w:val="36"/>
        </w:rPr>
        <w:t>Scope of this Contribution</w:t>
      </w:r>
    </w:p>
    <w:p w14:paraId="731AA814" w14:textId="35769256" w:rsidR="004D6555" w:rsidRPr="00FA2C19" w:rsidRDefault="004D6555" w:rsidP="00FA2C19">
      <w:pPr>
        <w:spacing w:before="100" w:beforeAutospacing="1" w:after="100" w:afterAutospacing="1"/>
        <w:jc w:val="both"/>
        <w:rPr>
          <w:sz w:val="24"/>
        </w:rPr>
      </w:pPr>
      <w:r w:rsidRPr="00FC4625">
        <w:rPr>
          <w:sz w:val="24"/>
        </w:rPr>
        <w:t>This contribution compares DFT-s-OFDM (including family variants that retain the DFT-spreading structure, e.g., OTFDM-style pre-DFT multiplexing) and CP-OFDM under uplink MIMO configurations. We estimate MPR for QPSK DFT-s-OFDM, QPSK CP-OFDM, and π/2-BPSK DFT-s-OFDM both without filtering and with strong spectrum shaping (the latter taken as the 0-dB MPR reference waveform). We also perform link-level MIMO simulations to assess whether any link losses offset the known Tx-power (MPR) gains of DFT-s-OFDM.</w:t>
      </w:r>
    </w:p>
    <w:p w14:paraId="6B18FA8B" w14:textId="7B9436F4" w:rsidR="004D6555" w:rsidRPr="008D3165" w:rsidRDefault="004D6555" w:rsidP="008D3165">
      <w:pPr>
        <w:pStyle w:val="ListParagraph"/>
        <w:numPr>
          <w:ilvl w:val="0"/>
          <w:numId w:val="33"/>
        </w:numPr>
        <w:spacing w:before="100" w:beforeAutospacing="1" w:after="100" w:afterAutospacing="1" w:line="240" w:lineRule="auto"/>
        <w:ind w:left="284"/>
        <w:outlineLvl w:val="1"/>
        <w:rPr>
          <w:b/>
          <w:bCs/>
          <w:sz w:val="36"/>
          <w:szCs w:val="36"/>
        </w:rPr>
      </w:pPr>
      <w:r w:rsidRPr="008D3165">
        <w:rPr>
          <w:b/>
          <w:bCs/>
          <w:sz w:val="36"/>
          <w:szCs w:val="36"/>
        </w:rPr>
        <w:t>MPR Analysis</w:t>
      </w:r>
    </w:p>
    <w:p w14:paraId="385084D5" w14:textId="77777777" w:rsidR="004D6555" w:rsidRPr="00FC4625" w:rsidRDefault="004D6555" w:rsidP="00FA2C19">
      <w:pPr>
        <w:spacing w:before="100" w:beforeAutospacing="1" w:after="100" w:afterAutospacing="1"/>
        <w:jc w:val="both"/>
        <w:rPr>
          <w:sz w:val="24"/>
        </w:rPr>
      </w:pPr>
      <w:r w:rsidRPr="00FC4625">
        <w:rPr>
          <w:sz w:val="24"/>
        </w:rPr>
        <w:t xml:space="preserve">We adopt a sub-6 GHz LTE polynomial PA model for evaluating link-level performance. The simulation uses full-bandwidth allocation of the uplink transmit signal (100 MHz as the reference). We take π/2-BPSK DFT-s-OFDM with strong spectrum shaping (a 2–3-tap filter) and </w:t>
      </w:r>
      <w:r w:rsidRPr="00FC4625">
        <w:rPr>
          <w:b/>
          <w:bCs/>
          <w:sz w:val="24"/>
        </w:rPr>
        <w:t>no</w:t>
      </w:r>
      <w:r w:rsidRPr="00FC4625">
        <w:rPr>
          <w:sz w:val="24"/>
        </w:rPr>
        <w:t xml:space="preserve"> excess bandwidth as the 0-dB MPR reference. This waveform operates close to PA saturation.</w:t>
      </w:r>
    </w:p>
    <w:p w14:paraId="0404AD3C" w14:textId="77777777" w:rsidR="004D6555" w:rsidRPr="00FC4625" w:rsidRDefault="004D6555" w:rsidP="00FA2C19">
      <w:pPr>
        <w:spacing w:before="100" w:beforeAutospacing="1" w:after="100" w:afterAutospacing="1"/>
        <w:jc w:val="both"/>
        <w:rPr>
          <w:sz w:val="24"/>
        </w:rPr>
      </w:pPr>
      <w:r w:rsidRPr="00FC4625">
        <w:rPr>
          <w:sz w:val="24"/>
        </w:rPr>
        <w:t>Using this 0-dB MPR reference, we compute MPR for: (</w:t>
      </w:r>
      <w:proofErr w:type="spellStart"/>
      <w:r w:rsidRPr="00FC4625">
        <w:rPr>
          <w:sz w:val="24"/>
        </w:rPr>
        <w:t>i</w:t>
      </w:r>
      <w:proofErr w:type="spellEnd"/>
      <w:r w:rsidRPr="00FC4625">
        <w:rPr>
          <w:sz w:val="24"/>
        </w:rPr>
        <w:t>) π/2-BPSK DFT-s-OFDM without filtering, (ii) QPSK DFT-s-OFDM without excess bandwidth, and (iii) QPSK CP-OFDM. We observe that ACLR is the limiting factor determining MPR; spectrum mask compliance and EVM remain within allowable limits. The resulting MPR values are summarized in Table 1.</w:t>
      </w:r>
    </w:p>
    <w:p w14:paraId="42767FB5" w14:textId="77777777" w:rsidR="004D6555" w:rsidRPr="00FC4625" w:rsidRDefault="004D6555" w:rsidP="00FA2C19">
      <w:pPr>
        <w:spacing w:before="100" w:beforeAutospacing="1" w:after="100" w:afterAutospacing="1"/>
        <w:jc w:val="both"/>
        <w:rPr>
          <w:sz w:val="24"/>
        </w:rPr>
      </w:pPr>
      <w:r w:rsidRPr="00FC4625">
        <w:rPr>
          <w:sz w:val="24"/>
        </w:rPr>
        <w:t>No special PAPR-reduction techniques are used at the UE beyond the inherent low-PAPR property of DFT-s-OFDM. Because π/2-BPSK DFT-s-OFDM can operate close to PA saturation, adopting DFT-s-OFDM does not require additional PAPR-reduction methods. Relative Tx-power gains are approximately 3.0 dB versus QPSK DFT-s-OFDM and 5.5 dB versus QPSK CP-OFDM.</w:t>
      </w:r>
    </w:p>
    <w:p w14:paraId="570E2356" w14:textId="77777777" w:rsidR="004D6555" w:rsidRPr="00FC4625" w:rsidRDefault="004D6555" w:rsidP="00FA2C19">
      <w:pPr>
        <w:spacing w:before="100" w:beforeAutospacing="1" w:after="100" w:afterAutospacing="1"/>
        <w:jc w:val="both"/>
        <w:rPr>
          <w:sz w:val="24"/>
        </w:rPr>
      </w:pPr>
      <w:r w:rsidRPr="00FC4625">
        <w:rPr>
          <w:sz w:val="24"/>
        </w:rPr>
        <w:t xml:space="preserve">In the upper-midband, 6G UEs—especially CPEs—are expected to operate at or near full bandwidth. We therefore consider MPR, ACLR, and spectrum mask against </w:t>
      </w:r>
      <w:r w:rsidRPr="00FC4625">
        <w:rPr>
          <w:b/>
          <w:bCs/>
          <w:sz w:val="24"/>
        </w:rPr>
        <w:t>full-BW allocation</w:t>
      </w:r>
      <w:r w:rsidRPr="00FC4625">
        <w:rPr>
          <w:sz w:val="24"/>
        </w:rPr>
        <w:t xml:space="preserve"> as the most relevant reference scenario.</w:t>
      </w:r>
    </w:p>
    <w:p w14:paraId="546E7940" w14:textId="77777777" w:rsidR="004D6555" w:rsidRPr="00FC4625" w:rsidRDefault="004D6555" w:rsidP="00FA2C19">
      <w:pPr>
        <w:spacing w:before="100" w:beforeAutospacing="1" w:after="100" w:afterAutospacing="1"/>
        <w:jc w:val="both"/>
        <w:rPr>
          <w:sz w:val="24"/>
        </w:rPr>
      </w:pPr>
      <w:r w:rsidRPr="00FC4625">
        <w:rPr>
          <w:sz w:val="24"/>
        </w:rPr>
        <w:lastRenderedPageBreak/>
        <w:t xml:space="preserve">Prior studies have considered applying excess bandwidth to QPSK DFT-s-OFDM to reduce PAPR; the reduction becomes notable only at high excess bandwidth. Using additional bandwidth solely to reduce PAPR does not provide a net system benefit. Conversely, applying filtering to DFT-s-OFDM </w:t>
      </w:r>
      <w:r w:rsidRPr="00FC4625">
        <w:rPr>
          <w:b/>
          <w:bCs/>
          <w:sz w:val="24"/>
        </w:rPr>
        <w:t>without</w:t>
      </w:r>
      <w:r w:rsidRPr="00FC4625">
        <w:rPr>
          <w:sz w:val="24"/>
        </w:rPr>
        <w:t xml:space="preserve"> bandwidth expansion can raise in-band noise; for QPSK DFT-s-OFDM the resulting link losses can offset the PAPR reduction. In contrast, for π/2-BPSK DFT-s-OFDM the link losses are negligible over the SNR range of interest; techniques such as regularized-ZF channel estimation effectively eliminate link losses even with strong filtering in the π/2-BPSK case. This is </w:t>
      </w:r>
      <w:r w:rsidRPr="00FC4625">
        <w:rPr>
          <w:b/>
          <w:bCs/>
          <w:sz w:val="24"/>
        </w:rPr>
        <w:t>not</w:t>
      </w:r>
      <w:r w:rsidRPr="00FC4625">
        <w:rPr>
          <w:sz w:val="24"/>
        </w:rPr>
        <w:t xml:space="preserve"> true for QPSK DFT-s-OFDM, where link losses are appreciable and can erode the MPR gain.</w:t>
      </w:r>
    </w:p>
    <w:p w14:paraId="2D2E7261" w14:textId="77777777" w:rsidR="004D6555" w:rsidRPr="00FC4625" w:rsidRDefault="004D6555" w:rsidP="00FA2C19">
      <w:pPr>
        <w:spacing w:before="100" w:beforeAutospacing="1" w:after="100" w:afterAutospacing="1"/>
        <w:jc w:val="both"/>
        <w:rPr>
          <w:sz w:val="24"/>
        </w:rPr>
      </w:pPr>
      <w:r w:rsidRPr="00FC4625">
        <w:rPr>
          <w:b/>
          <w:bCs/>
          <w:sz w:val="24"/>
        </w:rPr>
        <w:t>Note.</w:t>
      </w:r>
      <w:r w:rsidRPr="00FC4625">
        <w:rPr>
          <w:sz w:val="24"/>
        </w:rPr>
        <w:t xml:space="preserve"> The combination of PAPR reduction and resilience to ISI from strong filtering is a distinctive property of π/2-BPSK DFT-s-OFDM. This ISI resilience does not extend to QPSK or higher-order modulations.</w:t>
      </w:r>
    </w:p>
    <w:p w14:paraId="69E6BCD1" w14:textId="77777777" w:rsidR="004D6555" w:rsidRPr="00FC4625" w:rsidRDefault="004D6555" w:rsidP="00FA2C19">
      <w:pPr>
        <w:spacing w:before="100" w:beforeAutospacing="1" w:after="100" w:afterAutospacing="1"/>
        <w:jc w:val="both"/>
        <w:rPr>
          <w:sz w:val="24"/>
        </w:rPr>
      </w:pPr>
      <w:r w:rsidRPr="00FC4625">
        <w:rPr>
          <w:sz w:val="24"/>
        </w:rPr>
        <w:t>π/2-BPSK DFT-s-OFDM has been specified in 5G NR, with ZC-based RS in Rel-15 and π/2-BPSK RS in Rel-16. UE power-class boosting values for π/2-BPSK have steadily increased across releases.</w:t>
      </w:r>
    </w:p>
    <w:p w14:paraId="53E68600" w14:textId="0704E738" w:rsidR="004D6555" w:rsidRPr="008D3165" w:rsidRDefault="004D6555" w:rsidP="008D3165">
      <w:pPr>
        <w:pStyle w:val="ListParagraph"/>
        <w:numPr>
          <w:ilvl w:val="1"/>
          <w:numId w:val="33"/>
        </w:numPr>
        <w:spacing w:before="100" w:beforeAutospacing="1" w:after="100" w:afterAutospacing="1" w:line="240" w:lineRule="auto"/>
        <w:ind w:left="709"/>
        <w:outlineLvl w:val="1"/>
        <w:rPr>
          <w:b/>
          <w:bCs/>
          <w:sz w:val="36"/>
          <w:szCs w:val="36"/>
        </w:rPr>
      </w:pPr>
      <w:r w:rsidRPr="008D3165">
        <w:rPr>
          <w:b/>
          <w:bCs/>
          <w:sz w:val="36"/>
          <w:szCs w:val="36"/>
        </w:rPr>
        <w:t>Other DFT-s-OFDM-Based Waveforms</w:t>
      </w:r>
    </w:p>
    <w:p w14:paraId="4DAF934D" w14:textId="77777777" w:rsidR="004D6555" w:rsidRPr="00FC4625" w:rsidRDefault="004D6555" w:rsidP="00FA2C19">
      <w:pPr>
        <w:spacing w:before="100" w:beforeAutospacing="1" w:after="100" w:afterAutospacing="1"/>
        <w:jc w:val="both"/>
        <w:rPr>
          <w:sz w:val="24"/>
        </w:rPr>
      </w:pPr>
      <w:r w:rsidRPr="00FC4625">
        <w:rPr>
          <w:sz w:val="24"/>
        </w:rPr>
        <w:t xml:space="preserve">Waveforms such as OTFDM use DFT-s-OFDM building blocks with additional time-domain pre-processing (e.g., multiplexing reference, control, and data prior to the DFT). This does </w:t>
      </w:r>
      <w:r w:rsidRPr="00FC4625">
        <w:rPr>
          <w:b/>
          <w:bCs/>
          <w:sz w:val="24"/>
        </w:rPr>
        <w:t>not</w:t>
      </w:r>
      <w:r w:rsidRPr="00FC4625">
        <w:rPr>
          <w:sz w:val="24"/>
        </w:rPr>
        <w:t xml:space="preserve"> alter PAPR characteristics. A subsequent excess-bandwidth spectrum-shaping stage (e.g., SQRC) may be recommended for 16QAM and higher; typical excess bandwidths are ~2–5%. While this shaping can slightly reduce PAPR, the incremental MPR gain is modest. The primary motivation for the SQRC is to shorten the effective time-domain pulse so that DMRS can be included pre-DFT and channel-estimation errors reduced.</w:t>
      </w:r>
    </w:p>
    <w:p w14:paraId="52F23FC6" w14:textId="77777777" w:rsidR="00FA2C19" w:rsidRDefault="004D6555" w:rsidP="00FA2C19">
      <w:pPr>
        <w:spacing w:before="100" w:beforeAutospacing="1" w:after="100" w:afterAutospacing="1"/>
        <w:rPr>
          <w:sz w:val="24"/>
        </w:rPr>
      </w:pPr>
      <w:r w:rsidRPr="00FC4625">
        <w:rPr>
          <w:b/>
          <w:bCs/>
          <w:sz w:val="24"/>
        </w:rPr>
        <w:t>Observation-1.</w:t>
      </w:r>
      <w:r w:rsidRPr="00FC4625">
        <w:rPr>
          <w:sz w:val="24"/>
        </w:rPr>
        <w:t xml:space="preserve"> The MPR gain of π/2-BPSK DFT-s-OFDM relative to QPSK CP-OFDM is ~5.5 dB under full-bandwidth allocation.</w:t>
      </w:r>
    </w:p>
    <w:p w14:paraId="30CA6DAF" w14:textId="77777777" w:rsidR="004D6555" w:rsidRPr="00FC4625" w:rsidRDefault="004D6555" w:rsidP="004D6555">
      <w:pPr>
        <w:spacing w:before="100" w:beforeAutospacing="1" w:after="100" w:afterAutospacing="1"/>
        <w:rPr>
          <w:sz w:val="24"/>
        </w:rPr>
      </w:pPr>
      <w:r w:rsidRPr="00FC4625">
        <w:rPr>
          <w:b/>
          <w:bCs/>
          <w:sz w:val="24"/>
        </w:rPr>
        <w:t>Proposal-1.</w:t>
      </w:r>
      <w:r w:rsidRPr="00FC4625">
        <w:rPr>
          <w:sz w:val="24"/>
        </w:rPr>
        <w:t xml:space="preserve"> Adopt π/2-BPSK DFT-s-OFDM as the 0-dB MPR reference for 6G uplink.</w:t>
      </w:r>
    </w:p>
    <w:p w14:paraId="60DE97BB" w14:textId="77777777" w:rsidR="004D6555" w:rsidRDefault="004D6555" w:rsidP="004D6555">
      <w:pPr>
        <w:spacing w:before="100" w:beforeAutospacing="1" w:after="100" w:afterAutospacing="1"/>
        <w:rPr>
          <w:sz w:val="24"/>
        </w:rPr>
      </w:pPr>
      <w:r w:rsidRPr="00FC4625">
        <w:rPr>
          <w:b/>
          <w:bCs/>
          <w:sz w:val="24"/>
        </w:rPr>
        <w:t>Proposal-2.</w:t>
      </w:r>
      <w:r w:rsidRPr="00FC4625">
        <w:rPr>
          <w:sz w:val="24"/>
        </w:rPr>
        <w:t xml:space="preserve"> Carry forward existing DFT-s-OFDM modulation schemes as primary uplink options for 6G NR.</w:t>
      </w:r>
    </w:p>
    <w:p w14:paraId="3B960723" w14:textId="77777777" w:rsidR="008D3165" w:rsidRDefault="008D3165" w:rsidP="004D6555">
      <w:pPr>
        <w:spacing w:before="100" w:beforeAutospacing="1" w:after="100" w:afterAutospacing="1"/>
        <w:rPr>
          <w:sz w:val="24"/>
        </w:rPr>
      </w:pPr>
    </w:p>
    <w:p w14:paraId="62E56B28" w14:textId="77777777" w:rsidR="008D3165" w:rsidRDefault="008D3165" w:rsidP="004D6555">
      <w:pPr>
        <w:spacing w:before="100" w:beforeAutospacing="1" w:after="100" w:afterAutospacing="1"/>
        <w:rPr>
          <w:sz w:val="24"/>
        </w:rPr>
      </w:pPr>
    </w:p>
    <w:p w14:paraId="1A0C3333" w14:textId="77777777" w:rsidR="008D3165" w:rsidRDefault="008D3165" w:rsidP="004D6555">
      <w:pPr>
        <w:spacing w:before="100" w:beforeAutospacing="1" w:after="100" w:afterAutospacing="1"/>
        <w:rPr>
          <w:sz w:val="24"/>
        </w:rPr>
      </w:pPr>
    </w:p>
    <w:p w14:paraId="7CE94AEC" w14:textId="77777777" w:rsidR="008D3165" w:rsidRDefault="008D3165" w:rsidP="004D6555">
      <w:pPr>
        <w:spacing w:before="100" w:beforeAutospacing="1" w:after="100" w:afterAutospacing="1"/>
        <w:rPr>
          <w:sz w:val="24"/>
        </w:rPr>
      </w:pPr>
    </w:p>
    <w:p w14:paraId="2E85EA20" w14:textId="77777777" w:rsidR="008D3165" w:rsidRDefault="008D3165" w:rsidP="004D6555">
      <w:pPr>
        <w:spacing w:before="100" w:beforeAutospacing="1" w:after="100" w:afterAutospacing="1"/>
        <w:rPr>
          <w:sz w:val="24"/>
        </w:rPr>
      </w:pPr>
    </w:p>
    <w:p w14:paraId="5A03836C" w14:textId="77777777" w:rsidR="004D6555" w:rsidRPr="00FC4625" w:rsidRDefault="004D6555" w:rsidP="00FA2C19">
      <w:pPr>
        <w:spacing w:before="100" w:beforeAutospacing="1" w:after="100" w:afterAutospacing="1" w:line="240" w:lineRule="auto"/>
        <w:ind w:left="720" w:firstLine="720"/>
        <w:outlineLvl w:val="2"/>
        <w:rPr>
          <w:b/>
          <w:bCs/>
          <w:sz w:val="27"/>
          <w:szCs w:val="27"/>
        </w:rPr>
      </w:pPr>
      <w:r w:rsidRPr="00FC4625">
        <w:rPr>
          <w:b/>
          <w:bCs/>
          <w:sz w:val="27"/>
          <w:szCs w:val="27"/>
        </w:rPr>
        <w:lastRenderedPageBreak/>
        <w:t>Table 1: MPR Comparison (Full-Bandwidth Allocation)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5402"/>
        <w:gridCol w:w="2612"/>
        <w:gridCol w:w="1002"/>
      </w:tblGrid>
      <w:tr w:rsidR="004D6555" w:rsidRPr="00FC4625" w14:paraId="7DC12FF8" w14:textId="77777777" w:rsidTr="00FA2C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3D5B055" w14:textId="77777777" w:rsidR="004D6555" w:rsidRPr="00FC4625" w:rsidRDefault="004D6555" w:rsidP="004D6555">
            <w:pPr>
              <w:jc w:val="center"/>
              <w:rPr>
                <w:b w:val="0"/>
                <w:bCs w:val="0"/>
                <w:sz w:val="24"/>
              </w:rPr>
            </w:pPr>
            <w:r w:rsidRPr="00FC4625">
              <w:rPr>
                <w:b w:val="0"/>
                <w:bCs w:val="0"/>
                <w:sz w:val="24"/>
              </w:rPr>
              <w:t>Waveform</w:t>
            </w:r>
          </w:p>
        </w:tc>
        <w:tc>
          <w:tcPr>
            <w:tcW w:w="0" w:type="auto"/>
            <w:hideMark/>
          </w:tcPr>
          <w:p w14:paraId="47DA8E83" w14:textId="77777777" w:rsidR="004D6555" w:rsidRPr="00FC4625" w:rsidRDefault="004D6555" w:rsidP="004D65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4"/>
              </w:rPr>
            </w:pPr>
            <w:r w:rsidRPr="00FC4625">
              <w:rPr>
                <w:b w:val="0"/>
                <w:bCs w:val="0"/>
                <w:sz w:val="24"/>
              </w:rPr>
              <w:t>MPR relative to π/2-BPSK DFT-s-OFDM (0-dB ref)</w:t>
            </w:r>
          </w:p>
        </w:tc>
        <w:tc>
          <w:tcPr>
            <w:tcW w:w="0" w:type="auto"/>
            <w:hideMark/>
          </w:tcPr>
          <w:p w14:paraId="269A0511" w14:textId="77777777" w:rsidR="004D6555" w:rsidRPr="00FC4625" w:rsidRDefault="004D6555" w:rsidP="004D65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4"/>
              </w:rPr>
            </w:pPr>
            <w:r w:rsidRPr="00FC4625">
              <w:rPr>
                <w:b w:val="0"/>
                <w:bCs w:val="0"/>
                <w:sz w:val="24"/>
              </w:rPr>
              <w:t>ACLR (dB)</w:t>
            </w:r>
          </w:p>
        </w:tc>
      </w:tr>
      <w:tr w:rsidR="004D6555" w:rsidRPr="00FC4625" w14:paraId="5BA8A026" w14:textId="77777777" w:rsidTr="00FA2C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75A3247" w14:textId="77777777" w:rsidR="004D6555" w:rsidRPr="00FC4625" w:rsidRDefault="004D6555" w:rsidP="004D6555">
            <w:pPr>
              <w:rPr>
                <w:sz w:val="24"/>
              </w:rPr>
            </w:pPr>
            <w:r w:rsidRPr="00FC4625">
              <w:rPr>
                <w:sz w:val="24"/>
              </w:rPr>
              <w:t>π/2-BPSK DFT-s-OFDM (no filtering)</w:t>
            </w:r>
          </w:p>
        </w:tc>
        <w:tc>
          <w:tcPr>
            <w:tcW w:w="0" w:type="auto"/>
            <w:hideMark/>
          </w:tcPr>
          <w:p w14:paraId="5A47D14A" w14:textId="77777777" w:rsidR="004D6555" w:rsidRPr="00FC4625" w:rsidRDefault="004D6555" w:rsidP="004D65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FC4625">
              <w:rPr>
                <w:sz w:val="24"/>
              </w:rPr>
              <w:t>1.6 dB</w:t>
            </w:r>
          </w:p>
        </w:tc>
        <w:tc>
          <w:tcPr>
            <w:tcW w:w="0" w:type="auto"/>
            <w:hideMark/>
          </w:tcPr>
          <w:p w14:paraId="1034FBB2" w14:textId="77777777" w:rsidR="004D6555" w:rsidRPr="00FC4625" w:rsidRDefault="004D6555" w:rsidP="004D65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FC4625">
              <w:rPr>
                <w:sz w:val="24"/>
              </w:rPr>
              <w:t>−30.5</w:t>
            </w:r>
          </w:p>
        </w:tc>
      </w:tr>
      <w:tr w:rsidR="004D6555" w:rsidRPr="00FC4625" w14:paraId="7DA79FD9" w14:textId="77777777" w:rsidTr="00FA2C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14AC64" w14:textId="77777777" w:rsidR="004D6555" w:rsidRPr="00FC4625" w:rsidRDefault="004D6555" w:rsidP="004D6555">
            <w:pPr>
              <w:rPr>
                <w:sz w:val="24"/>
              </w:rPr>
            </w:pPr>
            <w:r w:rsidRPr="00FC4625">
              <w:rPr>
                <w:sz w:val="24"/>
              </w:rPr>
              <w:t xml:space="preserve">π/2-BPSK DFT-s-OFDM with 2–3-tap spectrum shaping (no excess BW) – </w:t>
            </w:r>
            <w:r w:rsidRPr="00FC4625">
              <w:rPr>
                <w:b w:val="0"/>
                <w:bCs w:val="0"/>
                <w:sz w:val="24"/>
              </w:rPr>
              <w:t>Reference; operates near PA saturation</w:t>
            </w:r>
          </w:p>
        </w:tc>
        <w:tc>
          <w:tcPr>
            <w:tcW w:w="0" w:type="auto"/>
            <w:hideMark/>
          </w:tcPr>
          <w:p w14:paraId="07266953" w14:textId="77777777" w:rsidR="004D6555" w:rsidRPr="00FC4625" w:rsidRDefault="004D6555" w:rsidP="004D65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C4625">
              <w:rPr>
                <w:sz w:val="24"/>
              </w:rPr>
              <w:t>0.0 dB</w:t>
            </w:r>
          </w:p>
        </w:tc>
        <w:tc>
          <w:tcPr>
            <w:tcW w:w="0" w:type="auto"/>
            <w:hideMark/>
          </w:tcPr>
          <w:p w14:paraId="67A34554" w14:textId="77777777" w:rsidR="004D6555" w:rsidRPr="00FC4625" w:rsidRDefault="004D6555" w:rsidP="004D65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C4625">
              <w:rPr>
                <w:sz w:val="24"/>
              </w:rPr>
              <w:t>−32.7</w:t>
            </w:r>
          </w:p>
        </w:tc>
      </w:tr>
      <w:tr w:rsidR="004D6555" w:rsidRPr="00FC4625" w14:paraId="73FD580F" w14:textId="77777777" w:rsidTr="00FA2C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2AC3D19" w14:textId="77777777" w:rsidR="004D6555" w:rsidRPr="00FC4625" w:rsidRDefault="004D6555" w:rsidP="004D6555">
            <w:pPr>
              <w:rPr>
                <w:sz w:val="24"/>
              </w:rPr>
            </w:pPr>
            <w:r w:rsidRPr="00FC4625">
              <w:rPr>
                <w:sz w:val="24"/>
              </w:rPr>
              <w:t>QPSK DFT-s-OFDM (no excess BW)</w:t>
            </w:r>
          </w:p>
        </w:tc>
        <w:tc>
          <w:tcPr>
            <w:tcW w:w="0" w:type="auto"/>
            <w:hideMark/>
          </w:tcPr>
          <w:p w14:paraId="44B0A5E6" w14:textId="77777777" w:rsidR="004D6555" w:rsidRPr="00FC4625" w:rsidRDefault="004D6555" w:rsidP="004D65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FC4625">
              <w:rPr>
                <w:sz w:val="24"/>
              </w:rPr>
              <w:t>3.0 dB</w:t>
            </w:r>
          </w:p>
        </w:tc>
        <w:tc>
          <w:tcPr>
            <w:tcW w:w="0" w:type="auto"/>
            <w:hideMark/>
          </w:tcPr>
          <w:p w14:paraId="47D93CC6" w14:textId="77777777" w:rsidR="004D6555" w:rsidRPr="00FC4625" w:rsidRDefault="004D6555" w:rsidP="004D65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FC4625">
              <w:rPr>
                <w:sz w:val="24"/>
              </w:rPr>
              <w:t>−30.86</w:t>
            </w:r>
          </w:p>
        </w:tc>
      </w:tr>
      <w:tr w:rsidR="004D6555" w:rsidRPr="00FC4625" w14:paraId="5A7DD275" w14:textId="77777777" w:rsidTr="00FA2C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283960" w14:textId="77777777" w:rsidR="004D6555" w:rsidRPr="00FC4625" w:rsidRDefault="004D6555" w:rsidP="004D6555">
            <w:pPr>
              <w:rPr>
                <w:sz w:val="24"/>
              </w:rPr>
            </w:pPr>
            <w:r w:rsidRPr="00FC4625">
              <w:rPr>
                <w:sz w:val="24"/>
              </w:rPr>
              <w:t>QPSK CP-OFDM</w:t>
            </w:r>
          </w:p>
        </w:tc>
        <w:tc>
          <w:tcPr>
            <w:tcW w:w="0" w:type="auto"/>
            <w:hideMark/>
          </w:tcPr>
          <w:p w14:paraId="772DF083" w14:textId="77777777" w:rsidR="004D6555" w:rsidRPr="00FC4625" w:rsidRDefault="004D6555" w:rsidP="004D65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C4625">
              <w:rPr>
                <w:sz w:val="24"/>
              </w:rPr>
              <w:t>5.5 dB</w:t>
            </w:r>
          </w:p>
        </w:tc>
        <w:tc>
          <w:tcPr>
            <w:tcW w:w="0" w:type="auto"/>
            <w:hideMark/>
          </w:tcPr>
          <w:p w14:paraId="3870CD39" w14:textId="77777777" w:rsidR="004D6555" w:rsidRPr="00FC4625" w:rsidRDefault="004D6555" w:rsidP="004D65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C4625">
              <w:rPr>
                <w:sz w:val="24"/>
              </w:rPr>
              <w:t>−30.4</w:t>
            </w:r>
          </w:p>
        </w:tc>
      </w:tr>
    </w:tbl>
    <w:p w14:paraId="15F6A3FB" w14:textId="045FE641" w:rsidR="004D6555" w:rsidRPr="008D3165" w:rsidRDefault="004D6555" w:rsidP="008D3165">
      <w:pPr>
        <w:pStyle w:val="ListParagraph"/>
        <w:numPr>
          <w:ilvl w:val="0"/>
          <w:numId w:val="33"/>
        </w:numPr>
        <w:spacing w:before="100" w:beforeAutospacing="1" w:after="100" w:afterAutospacing="1" w:line="240" w:lineRule="auto"/>
        <w:ind w:left="284"/>
        <w:outlineLvl w:val="1"/>
        <w:rPr>
          <w:b/>
          <w:bCs/>
          <w:sz w:val="36"/>
          <w:szCs w:val="36"/>
        </w:rPr>
      </w:pPr>
      <w:r w:rsidRPr="008D3165">
        <w:rPr>
          <w:b/>
          <w:bCs/>
          <w:sz w:val="36"/>
          <w:szCs w:val="36"/>
        </w:rPr>
        <w:t>Link-Level Simulations</w:t>
      </w:r>
    </w:p>
    <w:p w14:paraId="31FD9154" w14:textId="77777777" w:rsidR="004D6555" w:rsidRPr="00FC4625" w:rsidRDefault="004D6555" w:rsidP="00FA2C19">
      <w:pPr>
        <w:spacing w:before="100" w:beforeAutospacing="1" w:after="100" w:afterAutospacing="1"/>
        <w:jc w:val="both"/>
        <w:rPr>
          <w:sz w:val="24"/>
        </w:rPr>
      </w:pPr>
      <w:r w:rsidRPr="00FC4625">
        <w:rPr>
          <w:sz w:val="24"/>
        </w:rPr>
        <w:t>The DFT-s-OFDM family (including OTFDM) is known to offer low PAPR and significant Tx-power gain. We simulate link-level performance of DFT-s-OFDM and CP-OFDM under various uplink MIMO configurations to determine whether any link losses arise.</w:t>
      </w:r>
    </w:p>
    <w:p w14:paraId="67BCFF62" w14:textId="2EC7D8D2" w:rsidR="004D6555" w:rsidRPr="008D3165" w:rsidRDefault="004D6555" w:rsidP="008D3165">
      <w:pPr>
        <w:pStyle w:val="ListParagraph"/>
        <w:numPr>
          <w:ilvl w:val="1"/>
          <w:numId w:val="33"/>
        </w:numPr>
        <w:spacing w:before="100" w:beforeAutospacing="1" w:after="100" w:afterAutospacing="1" w:line="240" w:lineRule="auto"/>
        <w:ind w:left="709"/>
        <w:outlineLvl w:val="2"/>
        <w:rPr>
          <w:b/>
          <w:bCs/>
          <w:sz w:val="36"/>
          <w:szCs w:val="36"/>
        </w:rPr>
      </w:pPr>
      <w:r w:rsidRPr="008D3165">
        <w:rPr>
          <w:b/>
          <w:bCs/>
          <w:sz w:val="36"/>
          <w:szCs w:val="36"/>
        </w:rPr>
        <w:t>Antenna Assumptions and Precoding</w:t>
      </w:r>
    </w:p>
    <w:p w14:paraId="589E3176" w14:textId="77777777" w:rsidR="004D6555" w:rsidRPr="00FC4625" w:rsidRDefault="004D6555" w:rsidP="004D6555">
      <w:pPr>
        <w:spacing w:before="100" w:beforeAutospacing="1" w:after="100" w:afterAutospacing="1"/>
        <w:rPr>
          <w:sz w:val="24"/>
        </w:rPr>
      </w:pPr>
      <w:r w:rsidRPr="00FC4625">
        <w:rPr>
          <w:sz w:val="24"/>
        </w:rPr>
        <w:t>We consider 1-Tx and 2-Tx UEs with multiple BTS receive antennas (up to 8 Rx here; larger BTS arrays are typical). For 2-Tx UEs, the preferred implementation leverages cross-polarized (H/V) antennas. With x-pols at both UE and BTS, polarization isolation is high, obviating the need for precoding:</w:t>
      </w:r>
    </w:p>
    <w:p w14:paraId="47DC540F" w14:textId="77777777" w:rsidR="004D6555" w:rsidRPr="00FC4625" w:rsidRDefault="004D6555" w:rsidP="004D6555">
      <w:pPr>
        <w:numPr>
          <w:ilvl w:val="0"/>
          <w:numId w:val="29"/>
        </w:numPr>
        <w:spacing w:before="100" w:beforeAutospacing="1" w:after="100" w:afterAutospacing="1" w:line="240" w:lineRule="auto"/>
        <w:rPr>
          <w:sz w:val="24"/>
        </w:rPr>
      </w:pPr>
      <w:r w:rsidRPr="00FC4625">
        <w:rPr>
          <w:b/>
          <w:bCs/>
          <w:sz w:val="24"/>
        </w:rPr>
        <w:t>Single-layer UL:</w:t>
      </w:r>
      <w:r w:rsidRPr="00FC4625">
        <w:rPr>
          <w:sz w:val="24"/>
        </w:rPr>
        <w:t xml:space="preserve"> The UE transmits the same layer over H and V feeds (optionally with phase weights that </w:t>
      </w:r>
      <w:r w:rsidRPr="00FC4625">
        <w:rPr>
          <w:b/>
          <w:bCs/>
          <w:sz w:val="24"/>
        </w:rPr>
        <w:t>preserve</w:t>
      </w:r>
      <w:r w:rsidRPr="00FC4625">
        <w:rPr>
          <w:sz w:val="24"/>
        </w:rPr>
        <w:t xml:space="preserve"> low-PAPR properties).</w:t>
      </w:r>
    </w:p>
    <w:p w14:paraId="6A919545" w14:textId="77777777" w:rsidR="004D6555" w:rsidRPr="00FC4625" w:rsidRDefault="004D6555" w:rsidP="004D6555">
      <w:pPr>
        <w:numPr>
          <w:ilvl w:val="0"/>
          <w:numId w:val="29"/>
        </w:numPr>
        <w:spacing w:before="100" w:beforeAutospacing="1" w:after="100" w:afterAutospacing="1" w:line="240" w:lineRule="auto"/>
        <w:rPr>
          <w:sz w:val="24"/>
        </w:rPr>
      </w:pPr>
      <w:r w:rsidRPr="00FC4625">
        <w:rPr>
          <w:b/>
          <w:bCs/>
          <w:sz w:val="24"/>
        </w:rPr>
        <w:t>Two-layer UL:</w:t>
      </w:r>
      <w:r w:rsidRPr="00FC4625">
        <w:rPr>
          <w:sz w:val="24"/>
        </w:rPr>
        <w:t xml:space="preserve"> The UE maps one layer to H and the other to V without precoding.</w:t>
      </w:r>
    </w:p>
    <w:p w14:paraId="6E185F64" w14:textId="77777777" w:rsidR="004D6555" w:rsidRPr="00FC4625" w:rsidRDefault="004D6555" w:rsidP="004D6555">
      <w:pPr>
        <w:spacing w:before="100" w:beforeAutospacing="1" w:after="100" w:afterAutospacing="1"/>
        <w:rPr>
          <w:sz w:val="24"/>
        </w:rPr>
      </w:pPr>
      <w:r w:rsidRPr="00FC4625">
        <w:rPr>
          <w:sz w:val="24"/>
        </w:rPr>
        <w:t>These options preserve the inherent low-PAPR characteristics. For &gt;2 Tx antennas, the UE applies beamforming weights. For single-layer UL, per-path phase weights can preserve low PAPR; for two layers, H/V mapping plus modest phase weighting supports beamforming while retaining low PAPR. With ≥3 layers, precoding/beamforming becomes non-trivial and some PAPR increase is likely.</w:t>
      </w:r>
    </w:p>
    <w:p w14:paraId="38106BAD" w14:textId="77777777" w:rsidR="004D6555" w:rsidRPr="00FC4625" w:rsidRDefault="004D6555" w:rsidP="004D6555">
      <w:pPr>
        <w:spacing w:before="100" w:beforeAutospacing="1" w:after="100" w:afterAutospacing="1"/>
        <w:rPr>
          <w:sz w:val="24"/>
        </w:rPr>
      </w:pPr>
      <w:r w:rsidRPr="00FC4625">
        <w:rPr>
          <w:sz w:val="24"/>
        </w:rPr>
        <w:t>In uplink practice, 1-layer and 2-layer transmission dominate. Even when more Tx antennas are present, the above mapping/beamforming approaches can be used to retain low PAPR.</w:t>
      </w:r>
    </w:p>
    <w:p w14:paraId="68FF987F" w14:textId="7D0218EC" w:rsidR="004D6555" w:rsidRPr="008D3165" w:rsidRDefault="004D6555" w:rsidP="008D3165">
      <w:pPr>
        <w:pStyle w:val="ListParagraph"/>
        <w:numPr>
          <w:ilvl w:val="1"/>
          <w:numId w:val="33"/>
        </w:numPr>
        <w:spacing w:before="100" w:beforeAutospacing="1" w:after="100" w:afterAutospacing="1" w:line="240" w:lineRule="auto"/>
        <w:ind w:left="709"/>
        <w:outlineLvl w:val="2"/>
        <w:rPr>
          <w:b/>
          <w:bCs/>
          <w:sz w:val="36"/>
          <w:szCs w:val="36"/>
        </w:rPr>
      </w:pPr>
      <w:r w:rsidRPr="008D3165">
        <w:rPr>
          <w:b/>
          <w:bCs/>
          <w:sz w:val="36"/>
          <w:szCs w:val="36"/>
        </w:rPr>
        <w:t>Evaluation Scenarios</w:t>
      </w:r>
    </w:p>
    <w:p w14:paraId="308A395F" w14:textId="77777777" w:rsidR="004D6555" w:rsidRPr="00FC4625" w:rsidRDefault="004D6555" w:rsidP="004D6555">
      <w:pPr>
        <w:numPr>
          <w:ilvl w:val="0"/>
          <w:numId w:val="30"/>
        </w:numPr>
        <w:spacing w:before="100" w:beforeAutospacing="1" w:after="100" w:afterAutospacing="1" w:line="240" w:lineRule="auto"/>
        <w:rPr>
          <w:sz w:val="24"/>
        </w:rPr>
      </w:pPr>
      <w:r w:rsidRPr="00FC4625">
        <w:rPr>
          <w:b/>
          <w:bCs/>
          <w:sz w:val="24"/>
        </w:rPr>
        <w:t>1-layer:</w:t>
      </w:r>
      <w:r w:rsidRPr="00FC4625">
        <w:rPr>
          <w:sz w:val="24"/>
        </w:rPr>
        <w:t xml:space="preserve"> 1 Tx port, 1 Tx antenna (baseline).</w:t>
      </w:r>
    </w:p>
    <w:p w14:paraId="41C7C74E" w14:textId="77777777" w:rsidR="004D6555" w:rsidRPr="00FC4625" w:rsidRDefault="004D6555" w:rsidP="004D6555">
      <w:pPr>
        <w:numPr>
          <w:ilvl w:val="0"/>
          <w:numId w:val="30"/>
        </w:numPr>
        <w:spacing w:before="100" w:beforeAutospacing="1" w:after="100" w:afterAutospacing="1" w:line="240" w:lineRule="auto"/>
        <w:rPr>
          <w:sz w:val="24"/>
        </w:rPr>
      </w:pPr>
      <w:r w:rsidRPr="00FC4625">
        <w:rPr>
          <w:b/>
          <w:bCs/>
          <w:sz w:val="24"/>
        </w:rPr>
        <w:t>2-layer:</w:t>
      </w:r>
      <w:r w:rsidRPr="00FC4625">
        <w:rPr>
          <w:sz w:val="24"/>
        </w:rPr>
        <w:t xml:space="preserve"> One layer per polarization (H and V).</w:t>
      </w:r>
    </w:p>
    <w:p w14:paraId="2835D45A" w14:textId="79745A04" w:rsidR="004D6555" w:rsidRPr="00FC4625" w:rsidRDefault="004D6555" w:rsidP="004D6555">
      <w:pPr>
        <w:spacing w:before="100" w:beforeAutospacing="1" w:after="100" w:afterAutospacing="1"/>
        <w:rPr>
          <w:sz w:val="24"/>
        </w:rPr>
      </w:pPr>
      <w:r w:rsidRPr="00FC4625">
        <w:rPr>
          <w:sz w:val="24"/>
        </w:rPr>
        <w:t>We conduct extensive upper-midband simulations under these assumptions to compare DFT-s-OFDM and CP-OFDM.</w:t>
      </w:r>
      <w:r w:rsidR="003E5E37">
        <w:rPr>
          <w:sz w:val="24"/>
        </w:rPr>
        <w:t xml:space="preserve"> The performance results are captured in the Annexure.</w:t>
      </w:r>
      <w:r w:rsidR="00DE2FCC">
        <w:rPr>
          <w:sz w:val="24"/>
        </w:rPr>
        <w:t xml:space="preserve"> It can </w:t>
      </w:r>
      <w:r w:rsidR="00DE2FCC">
        <w:rPr>
          <w:sz w:val="24"/>
        </w:rPr>
        <w:lastRenderedPageBreak/>
        <w:t>be observed from the performances that there minimal to no loss for DFT-s-OFDM compared to CP-OFDM.</w:t>
      </w:r>
    </w:p>
    <w:p w14:paraId="28C627F1" w14:textId="78AF2F7E" w:rsidR="004D6555" w:rsidRDefault="00FA2C19" w:rsidP="00FA2C19">
      <w:pPr>
        <w:spacing w:before="100" w:beforeAutospacing="1" w:after="100" w:afterAutospacing="1"/>
        <w:rPr>
          <w:sz w:val="24"/>
        </w:rPr>
      </w:pPr>
      <w:r w:rsidRPr="00FA2C19">
        <w:rPr>
          <w:b/>
          <w:bCs/>
          <w:i/>
          <w:iCs/>
          <w:sz w:val="24"/>
          <w:szCs w:val="24"/>
        </w:rPr>
        <w:t>Proposal</w:t>
      </w:r>
      <w:r>
        <w:rPr>
          <w:b/>
          <w:bCs/>
          <w:i/>
          <w:iCs/>
          <w:sz w:val="24"/>
          <w:szCs w:val="24"/>
        </w:rPr>
        <w:t xml:space="preserve">-3: </w:t>
      </w:r>
      <w:r w:rsidR="004D6555" w:rsidRPr="00FC4625">
        <w:rPr>
          <w:sz w:val="24"/>
        </w:rPr>
        <w:t xml:space="preserve">DFT-s-OFDM-based waveforms should be considered the </w:t>
      </w:r>
      <w:r w:rsidR="004D6555" w:rsidRPr="00FC4625">
        <w:rPr>
          <w:b/>
          <w:bCs/>
          <w:sz w:val="24"/>
        </w:rPr>
        <w:t>primary</w:t>
      </w:r>
      <w:r w:rsidR="004D6555" w:rsidRPr="00FC4625">
        <w:rPr>
          <w:sz w:val="24"/>
        </w:rPr>
        <w:t xml:space="preserve"> uplink waveforms; CP-OFDM may be considered </w:t>
      </w:r>
      <w:r w:rsidR="004D6555" w:rsidRPr="00FC4625">
        <w:rPr>
          <w:b/>
          <w:bCs/>
          <w:sz w:val="24"/>
        </w:rPr>
        <w:t>secondary</w:t>
      </w:r>
      <w:r w:rsidR="004D6555" w:rsidRPr="00FC4625">
        <w:rPr>
          <w:sz w:val="24"/>
        </w:rPr>
        <w:t>.</w:t>
      </w:r>
    </w:p>
    <w:p w14:paraId="4ACE2AAE" w14:textId="5BF1A8A9" w:rsidR="003E5E37" w:rsidRDefault="003E5E37" w:rsidP="00FA2C19">
      <w:pPr>
        <w:spacing w:before="100" w:beforeAutospacing="1" w:after="100" w:afterAutospacing="1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inline distT="0" distB="0" distL="0" distR="0" wp14:anchorId="60E03D06" wp14:editId="7305EC08">
                <wp:extent cx="5305425" cy="0"/>
                <wp:effectExtent l="0" t="0" r="0" b="0"/>
                <wp:docPr id="199735065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3C1A9252" id="Straight Connector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17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" strokecolor="black [3040]">
                <w10:anchorlock/>
              </v:line>
            </w:pict>
          </mc:Fallback>
        </mc:AlternateContent>
      </w:r>
    </w:p>
    <w:p w14:paraId="4A581D67" w14:textId="250AEE22" w:rsidR="003E5E37" w:rsidRPr="008D3165" w:rsidRDefault="003E5E37" w:rsidP="008D3165">
      <w:pPr>
        <w:pStyle w:val="ListParagraph"/>
        <w:numPr>
          <w:ilvl w:val="0"/>
          <w:numId w:val="33"/>
        </w:numPr>
        <w:spacing w:before="100" w:beforeAutospacing="1" w:after="100" w:afterAutospacing="1" w:line="240" w:lineRule="auto"/>
        <w:ind w:left="426"/>
        <w:outlineLvl w:val="2"/>
        <w:rPr>
          <w:b/>
          <w:bCs/>
          <w:sz w:val="36"/>
          <w:szCs w:val="36"/>
        </w:rPr>
      </w:pPr>
      <w:r w:rsidRPr="008D3165">
        <w:rPr>
          <w:b/>
          <w:bCs/>
          <w:sz w:val="36"/>
          <w:szCs w:val="36"/>
        </w:rPr>
        <w:t>Summary</w:t>
      </w:r>
    </w:p>
    <w:p w14:paraId="6B66F203" w14:textId="77777777" w:rsidR="003E5E37" w:rsidRDefault="003E5E37" w:rsidP="003E5E37">
      <w:pPr>
        <w:spacing w:before="100" w:beforeAutospacing="1" w:after="100" w:afterAutospacing="1"/>
        <w:rPr>
          <w:sz w:val="24"/>
        </w:rPr>
      </w:pPr>
      <w:r w:rsidRPr="00FC4625">
        <w:rPr>
          <w:b/>
          <w:bCs/>
          <w:sz w:val="24"/>
        </w:rPr>
        <w:t>Observation-1.</w:t>
      </w:r>
      <w:r w:rsidRPr="00FC4625">
        <w:rPr>
          <w:sz w:val="24"/>
        </w:rPr>
        <w:t xml:space="preserve"> The MPR gain of π/2-BPSK DFT-s-OFDM relative to QPSK CP-OFDM is ~5.5 dB under full-bandwidth allocation.</w:t>
      </w:r>
    </w:p>
    <w:p w14:paraId="675F3AD3" w14:textId="77777777" w:rsidR="003E5E37" w:rsidRPr="00FC4625" w:rsidRDefault="003E5E37" w:rsidP="003E5E37">
      <w:pPr>
        <w:spacing w:before="100" w:beforeAutospacing="1" w:after="100" w:afterAutospacing="1"/>
        <w:rPr>
          <w:sz w:val="24"/>
        </w:rPr>
      </w:pPr>
      <w:r w:rsidRPr="00FC4625">
        <w:rPr>
          <w:b/>
          <w:bCs/>
          <w:sz w:val="24"/>
        </w:rPr>
        <w:t>Proposal-1.</w:t>
      </w:r>
      <w:r w:rsidRPr="00FC4625">
        <w:rPr>
          <w:sz w:val="24"/>
        </w:rPr>
        <w:t xml:space="preserve"> Adopt π/2-BPSK DFT-s-OFDM as the 0-dB MPR reference for 6G uplink.</w:t>
      </w:r>
    </w:p>
    <w:p w14:paraId="4B60937B" w14:textId="77777777" w:rsidR="003E5E37" w:rsidRDefault="003E5E37" w:rsidP="003E5E37">
      <w:pPr>
        <w:spacing w:before="100" w:beforeAutospacing="1" w:after="100" w:afterAutospacing="1"/>
        <w:rPr>
          <w:sz w:val="24"/>
        </w:rPr>
      </w:pPr>
      <w:r w:rsidRPr="00FC4625">
        <w:rPr>
          <w:b/>
          <w:bCs/>
          <w:sz w:val="24"/>
        </w:rPr>
        <w:t>Proposal-2.</w:t>
      </w:r>
      <w:r w:rsidRPr="00FC4625">
        <w:rPr>
          <w:sz w:val="24"/>
        </w:rPr>
        <w:t xml:space="preserve"> Carry forward existing DFT-s-OFDM modulation schemes as primary uplink options for 6G NR.</w:t>
      </w:r>
    </w:p>
    <w:p w14:paraId="45E3F2AF" w14:textId="77777777" w:rsidR="003E5E37" w:rsidRDefault="003E5E37" w:rsidP="003E5E37">
      <w:pPr>
        <w:spacing w:before="100" w:beforeAutospacing="1" w:after="100" w:afterAutospacing="1"/>
        <w:rPr>
          <w:sz w:val="24"/>
        </w:rPr>
      </w:pPr>
      <w:r w:rsidRPr="00FA2C19">
        <w:rPr>
          <w:b/>
          <w:bCs/>
          <w:i/>
          <w:iCs/>
          <w:sz w:val="24"/>
          <w:szCs w:val="24"/>
        </w:rPr>
        <w:t>Proposal</w:t>
      </w:r>
      <w:r>
        <w:rPr>
          <w:b/>
          <w:bCs/>
          <w:i/>
          <w:iCs/>
          <w:sz w:val="24"/>
          <w:szCs w:val="24"/>
        </w:rPr>
        <w:t xml:space="preserve">-3: </w:t>
      </w:r>
      <w:r w:rsidRPr="00FC4625">
        <w:rPr>
          <w:sz w:val="24"/>
        </w:rPr>
        <w:t xml:space="preserve">DFT-s-OFDM-based waveforms should be considered the </w:t>
      </w:r>
      <w:r w:rsidRPr="00FC4625">
        <w:rPr>
          <w:b/>
          <w:bCs/>
          <w:sz w:val="24"/>
        </w:rPr>
        <w:t>primary</w:t>
      </w:r>
      <w:r w:rsidRPr="00FC4625">
        <w:rPr>
          <w:sz w:val="24"/>
        </w:rPr>
        <w:t xml:space="preserve"> uplink waveforms; CP-OFDM may be considered </w:t>
      </w:r>
      <w:r w:rsidRPr="00FC4625">
        <w:rPr>
          <w:b/>
          <w:bCs/>
          <w:sz w:val="24"/>
        </w:rPr>
        <w:t>secondary</w:t>
      </w:r>
      <w:r w:rsidRPr="00FC4625">
        <w:rPr>
          <w:sz w:val="24"/>
        </w:rPr>
        <w:t>.</w:t>
      </w:r>
    </w:p>
    <w:p w14:paraId="715F27D9" w14:textId="6A889548" w:rsidR="0042056E" w:rsidRDefault="0042056E" w:rsidP="003E5E37">
      <w:pPr>
        <w:spacing w:before="100" w:beforeAutospacing="1" w:after="100" w:afterAutospacing="1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inline distT="0" distB="0" distL="0" distR="0" wp14:anchorId="14D3E943" wp14:editId="20A87DB8">
                <wp:extent cx="5305425" cy="0"/>
                <wp:effectExtent l="0" t="0" r="0" b="0"/>
                <wp:docPr id="913328537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49582404" id="Straight Connector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17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" strokecolor="black [3040]">
                <w10:anchorlock/>
              </v:line>
            </w:pict>
          </mc:Fallback>
        </mc:AlternateContent>
      </w:r>
    </w:p>
    <w:p w14:paraId="54F71EF1" w14:textId="2C98372E" w:rsidR="004D6555" w:rsidRPr="00FA2C19" w:rsidRDefault="004D6555" w:rsidP="00FA2C19">
      <w:pPr>
        <w:spacing w:before="100" w:beforeAutospacing="1" w:after="100" w:afterAutospacing="1" w:line="240" w:lineRule="auto"/>
        <w:outlineLvl w:val="2"/>
        <w:rPr>
          <w:b/>
          <w:bCs/>
          <w:sz w:val="36"/>
          <w:szCs w:val="36"/>
        </w:rPr>
      </w:pPr>
      <w:r w:rsidRPr="00FA2C19">
        <w:rPr>
          <w:b/>
          <w:bCs/>
          <w:sz w:val="36"/>
          <w:szCs w:val="36"/>
        </w:rPr>
        <w:t>Annexure</w:t>
      </w:r>
    </w:p>
    <w:p w14:paraId="276AEDF3" w14:textId="1153840D" w:rsidR="004D6555" w:rsidRDefault="004D6555" w:rsidP="00FA2C19">
      <w:pPr>
        <w:spacing w:before="100" w:beforeAutospacing="1" w:after="100" w:afterAutospacing="1" w:line="240" w:lineRule="auto"/>
        <w:rPr>
          <w:sz w:val="24"/>
        </w:rPr>
      </w:pPr>
      <w:r w:rsidRPr="00FC4625">
        <w:rPr>
          <w:b/>
          <w:bCs/>
          <w:sz w:val="24"/>
        </w:rPr>
        <w:t>Link-Level Simulation Parameters:</w:t>
      </w:r>
      <w:r w:rsidRPr="00FC4625">
        <w:rPr>
          <w:sz w:val="24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30"/>
        <w:gridCol w:w="3630"/>
      </w:tblGrid>
      <w:tr w:rsidR="00FA2C19" w14:paraId="5952D2A2" w14:textId="77777777" w:rsidTr="00FA2C19">
        <w:trPr>
          <w:trHeight w:val="337"/>
          <w:jc w:val="center"/>
        </w:trPr>
        <w:tc>
          <w:tcPr>
            <w:tcW w:w="3630" w:type="dxa"/>
            <w:vAlign w:val="center"/>
          </w:tcPr>
          <w:p w14:paraId="00785512" w14:textId="6F25097C" w:rsidR="00FA2C19" w:rsidRPr="00FA2C19" w:rsidRDefault="00FA2C19" w:rsidP="00FA2C19">
            <w:pPr>
              <w:spacing w:before="100" w:beforeAutospacing="1" w:after="100" w:afterAutospacing="1"/>
              <w:jc w:val="center"/>
              <w:rPr>
                <w:b/>
                <w:bCs/>
                <w:sz w:val="28"/>
                <w:szCs w:val="24"/>
              </w:rPr>
            </w:pPr>
            <w:r w:rsidRPr="00FA2C19">
              <w:rPr>
                <w:b/>
                <w:bCs/>
                <w:sz w:val="28"/>
                <w:szCs w:val="24"/>
              </w:rPr>
              <w:t>Parameter</w:t>
            </w:r>
          </w:p>
        </w:tc>
        <w:tc>
          <w:tcPr>
            <w:tcW w:w="3630" w:type="dxa"/>
            <w:vAlign w:val="center"/>
          </w:tcPr>
          <w:p w14:paraId="2364490A" w14:textId="2CB8C16A" w:rsidR="00FA2C19" w:rsidRPr="00FA2C19" w:rsidRDefault="00FA2C19" w:rsidP="00FA2C19">
            <w:pPr>
              <w:spacing w:before="100" w:beforeAutospacing="1" w:after="100" w:afterAutospacing="1"/>
              <w:jc w:val="center"/>
              <w:rPr>
                <w:b/>
                <w:bCs/>
                <w:sz w:val="28"/>
                <w:szCs w:val="24"/>
              </w:rPr>
            </w:pPr>
            <w:r w:rsidRPr="00FA2C19">
              <w:rPr>
                <w:b/>
                <w:bCs/>
                <w:sz w:val="28"/>
                <w:szCs w:val="24"/>
              </w:rPr>
              <w:t>Value</w:t>
            </w:r>
          </w:p>
        </w:tc>
      </w:tr>
      <w:tr w:rsidR="00FA2C19" w14:paraId="7272AA34" w14:textId="77777777" w:rsidTr="00FA2C19">
        <w:trPr>
          <w:trHeight w:val="306"/>
          <w:jc w:val="center"/>
        </w:trPr>
        <w:tc>
          <w:tcPr>
            <w:tcW w:w="3630" w:type="dxa"/>
            <w:vAlign w:val="center"/>
          </w:tcPr>
          <w:p w14:paraId="59677990" w14:textId="70C0AF8E" w:rsid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Carrier frequency</w:t>
            </w:r>
          </w:p>
        </w:tc>
        <w:tc>
          <w:tcPr>
            <w:tcW w:w="3630" w:type="dxa"/>
            <w:vAlign w:val="center"/>
          </w:tcPr>
          <w:p w14:paraId="71AF7043" w14:textId="2C1A60B4" w:rsid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7GHz</w:t>
            </w:r>
          </w:p>
        </w:tc>
      </w:tr>
      <w:tr w:rsidR="00FA2C19" w14:paraId="180575E0" w14:textId="77777777" w:rsidTr="00FA2C19">
        <w:trPr>
          <w:trHeight w:val="291"/>
          <w:jc w:val="center"/>
        </w:trPr>
        <w:tc>
          <w:tcPr>
            <w:tcW w:w="3630" w:type="dxa"/>
            <w:vAlign w:val="center"/>
          </w:tcPr>
          <w:p w14:paraId="33F89470" w14:textId="0FDC5687" w:rsid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System bandwidth</w:t>
            </w:r>
          </w:p>
        </w:tc>
        <w:tc>
          <w:tcPr>
            <w:tcW w:w="3630" w:type="dxa"/>
            <w:vAlign w:val="center"/>
          </w:tcPr>
          <w:p w14:paraId="626356CA" w14:textId="0987D201" w:rsid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100MHz</w:t>
            </w:r>
          </w:p>
        </w:tc>
      </w:tr>
      <w:tr w:rsidR="00FA2C19" w14:paraId="3E2AA86D" w14:textId="77777777" w:rsidTr="00FA2C19">
        <w:trPr>
          <w:trHeight w:val="291"/>
          <w:jc w:val="center"/>
        </w:trPr>
        <w:tc>
          <w:tcPr>
            <w:tcW w:w="3630" w:type="dxa"/>
            <w:vAlign w:val="center"/>
          </w:tcPr>
          <w:p w14:paraId="2487DAD5" w14:textId="6E8B1614" w:rsid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SCS</w:t>
            </w:r>
          </w:p>
        </w:tc>
        <w:tc>
          <w:tcPr>
            <w:tcW w:w="3630" w:type="dxa"/>
            <w:vAlign w:val="center"/>
          </w:tcPr>
          <w:p w14:paraId="0AE2E9A9" w14:textId="08327BB9" w:rsid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30KHz</w:t>
            </w:r>
          </w:p>
        </w:tc>
      </w:tr>
      <w:tr w:rsidR="00FA2C19" w14:paraId="685F65A0" w14:textId="77777777" w:rsidTr="00FA2C19">
        <w:trPr>
          <w:trHeight w:val="291"/>
          <w:jc w:val="center"/>
        </w:trPr>
        <w:tc>
          <w:tcPr>
            <w:tcW w:w="3630" w:type="dxa"/>
            <w:vAlign w:val="center"/>
          </w:tcPr>
          <w:p w14:paraId="058C21A3" w14:textId="464DF899" w:rsid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FFT size</w:t>
            </w:r>
          </w:p>
        </w:tc>
        <w:tc>
          <w:tcPr>
            <w:tcW w:w="3630" w:type="dxa"/>
            <w:vAlign w:val="center"/>
          </w:tcPr>
          <w:p w14:paraId="6BF31AFE" w14:textId="7E279035" w:rsid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4096</w:t>
            </w:r>
          </w:p>
        </w:tc>
      </w:tr>
      <w:tr w:rsidR="00FA2C19" w14:paraId="27504DB3" w14:textId="77777777" w:rsidTr="00FA2C19">
        <w:trPr>
          <w:trHeight w:val="291"/>
          <w:jc w:val="center"/>
        </w:trPr>
        <w:tc>
          <w:tcPr>
            <w:tcW w:w="3630" w:type="dxa"/>
            <w:vAlign w:val="center"/>
          </w:tcPr>
          <w:p w14:paraId="2ECAA5EF" w14:textId="132F6781" w:rsid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CP size</w:t>
            </w:r>
          </w:p>
        </w:tc>
        <w:tc>
          <w:tcPr>
            <w:tcW w:w="3630" w:type="dxa"/>
            <w:vAlign w:val="center"/>
          </w:tcPr>
          <w:p w14:paraId="2F4C9080" w14:textId="42268F00" w:rsid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288</w:t>
            </w:r>
          </w:p>
        </w:tc>
      </w:tr>
      <w:tr w:rsidR="00FA2C19" w14:paraId="4235EF15" w14:textId="77777777" w:rsidTr="00FA2C19">
        <w:trPr>
          <w:trHeight w:val="306"/>
          <w:jc w:val="center"/>
        </w:trPr>
        <w:tc>
          <w:tcPr>
            <w:tcW w:w="3630" w:type="dxa"/>
            <w:vAlign w:val="center"/>
          </w:tcPr>
          <w:p w14:paraId="6646AF26" w14:textId="49380270" w:rsid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Number of symbols</w:t>
            </w:r>
          </w:p>
        </w:tc>
        <w:tc>
          <w:tcPr>
            <w:tcW w:w="3630" w:type="dxa"/>
            <w:vAlign w:val="center"/>
          </w:tcPr>
          <w:p w14:paraId="40BA32A6" w14:textId="04C25E67" w:rsid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FA2C19" w14:paraId="45727105" w14:textId="77777777" w:rsidTr="00FA2C19">
        <w:trPr>
          <w:trHeight w:val="291"/>
          <w:jc w:val="center"/>
        </w:trPr>
        <w:tc>
          <w:tcPr>
            <w:tcW w:w="3630" w:type="dxa"/>
            <w:vAlign w:val="center"/>
          </w:tcPr>
          <w:p w14:paraId="336D7D9A" w14:textId="2FAC557C" w:rsidR="00FA2C19" w:rsidRP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Number of PRBs</w:t>
            </w:r>
          </w:p>
        </w:tc>
        <w:tc>
          <w:tcPr>
            <w:tcW w:w="3630" w:type="dxa"/>
            <w:vAlign w:val="center"/>
          </w:tcPr>
          <w:p w14:paraId="0A785570" w14:textId="01583524" w:rsid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273</w:t>
            </w:r>
          </w:p>
        </w:tc>
      </w:tr>
      <w:tr w:rsidR="00FA2C19" w14:paraId="130E4F19" w14:textId="77777777" w:rsidTr="00FA2C19">
        <w:trPr>
          <w:trHeight w:val="291"/>
          <w:jc w:val="center"/>
        </w:trPr>
        <w:tc>
          <w:tcPr>
            <w:tcW w:w="3630" w:type="dxa"/>
            <w:vAlign w:val="center"/>
          </w:tcPr>
          <w:p w14:paraId="35CEE328" w14:textId="0E8C0B58" w:rsidR="00FA2C19" w:rsidRP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Number of Transmit antennas</w:t>
            </w:r>
          </w:p>
        </w:tc>
        <w:tc>
          <w:tcPr>
            <w:tcW w:w="3630" w:type="dxa"/>
            <w:vAlign w:val="center"/>
          </w:tcPr>
          <w:p w14:paraId="5CED34C5" w14:textId="448584C0" w:rsid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1, 2</w:t>
            </w:r>
          </w:p>
        </w:tc>
      </w:tr>
      <w:tr w:rsidR="00FA2C19" w14:paraId="34FF1319" w14:textId="77777777" w:rsidTr="00FA2C19">
        <w:trPr>
          <w:trHeight w:val="291"/>
          <w:jc w:val="center"/>
        </w:trPr>
        <w:tc>
          <w:tcPr>
            <w:tcW w:w="3630" w:type="dxa"/>
            <w:vAlign w:val="center"/>
          </w:tcPr>
          <w:p w14:paraId="183CEAA9" w14:textId="26659F20" w:rsid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Number of Receive antennas</w:t>
            </w:r>
          </w:p>
        </w:tc>
        <w:tc>
          <w:tcPr>
            <w:tcW w:w="3630" w:type="dxa"/>
            <w:vAlign w:val="center"/>
          </w:tcPr>
          <w:p w14:paraId="7403130F" w14:textId="2396653F" w:rsid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FA2C19" w14:paraId="5306D232" w14:textId="77777777" w:rsidTr="00FA2C19">
        <w:trPr>
          <w:trHeight w:val="888"/>
          <w:jc w:val="center"/>
        </w:trPr>
        <w:tc>
          <w:tcPr>
            <w:tcW w:w="3630" w:type="dxa"/>
            <w:vAlign w:val="center"/>
          </w:tcPr>
          <w:p w14:paraId="29FDC535" w14:textId="2313D3B5" w:rsid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A2C19">
              <w:rPr>
                <w:sz w:val="24"/>
              </w:rPr>
              <w:t>Modulation</w:t>
            </w:r>
            <w:r>
              <w:rPr>
                <w:sz w:val="24"/>
              </w:rPr>
              <w:t xml:space="preserve"> </w:t>
            </w:r>
            <w:r w:rsidRPr="00FA2C19">
              <w:rPr>
                <w:sz w:val="24"/>
              </w:rPr>
              <w:t>(Coding</w:t>
            </w:r>
            <w:r>
              <w:rPr>
                <w:sz w:val="24"/>
              </w:rPr>
              <w:t xml:space="preserve"> R</w:t>
            </w:r>
            <w:r w:rsidRPr="00FA2C19">
              <w:rPr>
                <w:sz w:val="24"/>
              </w:rPr>
              <w:t>ate)</w:t>
            </w:r>
          </w:p>
        </w:tc>
        <w:tc>
          <w:tcPr>
            <w:tcW w:w="3630" w:type="dxa"/>
            <w:vAlign w:val="center"/>
          </w:tcPr>
          <w:p w14:paraId="07834BFD" w14:textId="3A293F7A" w:rsid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m:oMath>
              <m:r>
                <w:rPr>
                  <w:rFonts w:ascii="Cambria Math" w:hAnsi="Cambria Math"/>
                  <w:sz w:val="24"/>
                </w:rPr>
                <m:t>π/2</m:t>
              </m:r>
            </m:oMath>
            <w:r w:rsidRPr="00FA2C19">
              <w:rPr>
                <w:sz w:val="24"/>
              </w:rPr>
              <w:t>−BPSK</w:t>
            </w:r>
            <w:r>
              <w:rPr>
                <w:sz w:val="24"/>
              </w:rPr>
              <w:t xml:space="preserve"> </w:t>
            </w:r>
            <w:r w:rsidRPr="00FA2C19">
              <w:rPr>
                <w:sz w:val="24"/>
              </w:rPr>
              <w:t>(0.3066),</w:t>
            </w:r>
            <w:r>
              <w:rPr>
                <w:sz w:val="24"/>
              </w:rPr>
              <w:t xml:space="preserve"> </w:t>
            </w:r>
            <w:r w:rsidRPr="00FA2C19">
              <w:rPr>
                <w:sz w:val="24"/>
              </w:rPr>
              <w:t>QPSK(0.</w:t>
            </w:r>
            <w:r>
              <w:rPr>
                <w:sz w:val="24"/>
              </w:rPr>
              <w:t>5879</w:t>
            </w:r>
            <w:r w:rsidRPr="00FA2C19">
              <w:rPr>
                <w:sz w:val="24"/>
              </w:rPr>
              <w:t>), 16-QAM(0.</w:t>
            </w:r>
            <w:r>
              <w:rPr>
                <w:sz w:val="24"/>
              </w:rPr>
              <w:t>0.64</w:t>
            </w:r>
            <w:r w:rsidRPr="00FA2C19">
              <w:rPr>
                <w:sz w:val="24"/>
              </w:rPr>
              <w:t>), 64-QAM(0.8) ,256-QAM(0.894)</w:t>
            </w:r>
          </w:p>
        </w:tc>
      </w:tr>
      <w:tr w:rsidR="00FA2C19" w14:paraId="692C38EA" w14:textId="77777777" w:rsidTr="00FA2C19">
        <w:trPr>
          <w:trHeight w:val="306"/>
          <w:jc w:val="center"/>
        </w:trPr>
        <w:tc>
          <w:tcPr>
            <w:tcW w:w="3630" w:type="dxa"/>
            <w:vAlign w:val="center"/>
          </w:tcPr>
          <w:p w14:paraId="6BA96A3D" w14:textId="554F3093" w:rsidR="00FA2C19" w:rsidRP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Channel coding</w:t>
            </w:r>
          </w:p>
        </w:tc>
        <w:tc>
          <w:tcPr>
            <w:tcW w:w="3630" w:type="dxa"/>
            <w:vAlign w:val="center"/>
          </w:tcPr>
          <w:p w14:paraId="5D5D8E62" w14:textId="1E06E8B5" w:rsid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LDPC</w:t>
            </w:r>
          </w:p>
        </w:tc>
      </w:tr>
      <w:tr w:rsidR="00FA2C19" w14:paraId="3615B18B" w14:textId="77777777" w:rsidTr="00FA2C19">
        <w:trPr>
          <w:trHeight w:val="291"/>
          <w:jc w:val="center"/>
        </w:trPr>
        <w:tc>
          <w:tcPr>
            <w:tcW w:w="3630" w:type="dxa"/>
            <w:vAlign w:val="center"/>
          </w:tcPr>
          <w:p w14:paraId="5E83DC8D" w14:textId="7886D912" w:rsid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Channel model</w:t>
            </w:r>
          </w:p>
        </w:tc>
        <w:tc>
          <w:tcPr>
            <w:tcW w:w="3630" w:type="dxa"/>
            <w:vAlign w:val="center"/>
          </w:tcPr>
          <w:p w14:paraId="03B0F0E2" w14:textId="6E7C7EF4" w:rsid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AWGN, TDL-C 100ns</w:t>
            </w:r>
            <w:r w:rsidR="008506A7">
              <w:rPr>
                <w:sz w:val="24"/>
              </w:rPr>
              <w:t xml:space="preserve"> (max delay spread of 865.23 </w:t>
            </w:r>
            <m:oMath>
              <m:r>
                <w:rPr>
                  <w:rFonts w:ascii="Cambria Math" w:hAnsi="Cambria Math"/>
                  <w:sz w:val="24"/>
                </w:rPr>
                <m:t>μ</m:t>
              </m:r>
            </m:oMath>
            <w:r w:rsidR="008506A7">
              <w:rPr>
                <w:sz w:val="24"/>
              </w:rPr>
              <w:t>s)</w:t>
            </w:r>
          </w:p>
        </w:tc>
      </w:tr>
      <w:tr w:rsidR="00FA2C19" w14:paraId="2AF29597" w14:textId="77777777" w:rsidTr="00FA2C19">
        <w:trPr>
          <w:trHeight w:val="291"/>
          <w:jc w:val="center"/>
        </w:trPr>
        <w:tc>
          <w:tcPr>
            <w:tcW w:w="3630" w:type="dxa"/>
            <w:vAlign w:val="center"/>
          </w:tcPr>
          <w:p w14:paraId="39B44B6E" w14:textId="4E840186" w:rsid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User speed</w:t>
            </w:r>
          </w:p>
        </w:tc>
        <w:tc>
          <w:tcPr>
            <w:tcW w:w="3630" w:type="dxa"/>
            <w:vAlign w:val="center"/>
          </w:tcPr>
          <w:p w14:paraId="54BE7DF2" w14:textId="0CA2C6A5" w:rsidR="00FA2C19" w:rsidRDefault="00FA2C19" w:rsidP="00FA2C19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Pedestrian</w:t>
            </w:r>
          </w:p>
        </w:tc>
      </w:tr>
    </w:tbl>
    <w:p w14:paraId="18C349F8" w14:textId="77777777" w:rsidR="0061685F" w:rsidRDefault="0061685F" w:rsidP="004D6555">
      <w:pPr>
        <w:spacing w:before="100" w:beforeAutospacing="1" w:after="100" w:afterAutospacing="1"/>
        <w:rPr>
          <w:b/>
          <w:bCs/>
          <w:sz w:val="24"/>
        </w:rPr>
      </w:pPr>
    </w:p>
    <w:p w14:paraId="35E9767A" w14:textId="65E83843" w:rsidR="004D6555" w:rsidRDefault="004D6555" w:rsidP="004D6555">
      <w:pPr>
        <w:spacing w:before="100" w:beforeAutospacing="1" w:after="100" w:afterAutospacing="1"/>
        <w:rPr>
          <w:sz w:val="24"/>
        </w:rPr>
      </w:pPr>
      <w:r w:rsidRPr="00FC4625">
        <w:rPr>
          <w:b/>
          <w:bCs/>
          <w:sz w:val="24"/>
        </w:rPr>
        <w:t>Link-Level Simulation Results:</w:t>
      </w:r>
      <w:r w:rsidRPr="00FC4625">
        <w:rPr>
          <w:sz w:val="24"/>
        </w:rPr>
        <w:t xml:space="preserve"> </w:t>
      </w:r>
    </w:p>
    <w:p w14:paraId="5F1AA6DE" w14:textId="77777777" w:rsidR="00FA2C19" w:rsidRDefault="00FA2C19" w:rsidP="00FA2C19">
      <w:pPr>
        <w:spacing w:before="100" w:beforeAutospacing="1" w:after="100" w:afterAutospacing="1"/>
        <w:ind w:left="720"/>
        <w:rPr>
          <w:i/>
          <w:iCs/>
          <w:sz w:val="24"/>
        </w:rPr>
      </w:pPr>
      <w:r w:rsidRPr="00FA2C19">
        <w:rPr>
          <w:i/>
          <w:iCs/>
          <w:noProof/>
          <w:sz w:val="24"/>
        </w:rPr>
        <w:drawing>
          <wp:inline distT="0" distB="0" distL="0" distR="0" wp14:anchorId="72BEEF0E" wp14:editId="79AF59B4">
            <wp:extent cx="4495800" cy="3371850"/>
            <wp:effectExtent l="0" t="0" r="0" b="0"/>
            <wp:docPr id="9594041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7658" cy="3373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E7E25" w14:textId="7FCEF40B" w:rsidR="00FA2C19" w:rsidRDefault="00FA2C19" w:rsidP="004D6555">
      <w:pPr>
        <w:spacing w:before="100" w:beforeAutospacing="1" w:after="100" w:afterAutospacing="1"/>
        <w:rPr>
          <w:i/>
          <w:iCs/>
          <w:sz w:val="24"/>
        </w:rPr>
      </w:pPr>
      <w:r>
        <w:rPr>
          <w:i/>
          <w:iCs/>
          <w:sz w:val="24"/>
        </w:rPr>
        <w:tab/>
      </w:r>
      <w:r>
        <w:rPr>
          <w:i/>
          <w:iCs/>
          <w:sz w:val="24"/>
        </w:rPr>
        <w:tab/>
      </w:r>
      <w:r>
        <w:rPr>
          <w:i/>
          <w:iCs/>
          <w:sz w:val="24"/>
        </w:rPr>
        <w:tab/>
        <w:t>Fig. 1: BLER performance of single layer  in AWGN</w:t>
      </w:r>
    </w:p>
    <w:p w14:paraId="3425F39E" w14:textId="456CD2F4" w:rsidR="00FA2C19" w:rsidRDefault="001752C9" w:rsidP="00140431">
      <w:pPr>
        <w:spacing w:before="100" w:beforeAutospacing="1" w:after="100" w:afterAutospacing="1"/>
        <w:ind w:firstLine="720"/>
        <w:rPr>
          <w:i/>
          <w:iCs/>
          <w:sz w:val="24"/>
        </w:rPr>
      </w:pPr>
      <w:r w:rsidRPr="001752C9">
        <w:rPr>
          <w:i/>
          <w:iCs/>
          <w:noProof/>
          <w:sz w:val="24"/>
        </w:rPr>
        <w:drawing>
          <wp:inline distT="0" distB="0" distL="0" distR="0" wp14:anchorId="4C2710BA" wp14:editId="1BE32B0E">
            <wp:extent cx="4546600" cy="3409950"/>
            <wp:effectExtent l="0" t="0" r="6350" b="0"/>
            <wp:docPr id="87705251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9847" cy="341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46948" w14:textId="6275D5F6" w:rsidR="00FA2C19" w:rsidRDefault="00FA2C19" w:rsidP="004D6555">
      <w:pPr>
        <w:spacing w:before="100" w:beforeAutospacing="1" w:after="100" w:afterAutospacing="1"/>
        <w:rPr>
          <w:i/>
          <w:iCs/>
          <w:sz w:val="24"/>
        </w:rPr>
      </w:pPr>
      <w:r>
        <w:rPr>
          <w:i/>
          <w:iCs/>
          <w:sz w:val="24"/>
        </w:rPr>
        <w:tab/>
      </w:r>
      <w:r>
        <w:rPr>
          <w:i/>
          <w:iCs/>
          <w:sz w:val="24"/>
        </w:rPr>
        <w:tab/>
        <w:t>Fig. 2: BLER performance of single layer in TDL-C 100ns</w:t>
      </w:r>
    </w:p>
    <w:p w14:paraId="58C0C722" w14:textId="5E81A012" w:rsidR="001731CB" w:rsidRDefault="001752C9" w:rsidP="00140431">
      <w:pPr>
        <w:spacing w:before="100" w:beforeAutospacing="1" w:after="100" w:afterAutospacing="1"/>
        <w:ind w:firstLine="720"/>
        <w:rPr>
          <w:i/>
          <w:iCs/>
          <w:sz w:val="24"/>
        </w:rPr>
      </w:pPr>
      <w:r w:rsidRPr="001752C9">
        <w:rPr>
          <w:i/>
          <w:iCs/>
          <w:noProof/>
          <w:sz w:val="24"/>
        </w:rPr>
        <w:lastRenderedPageBreak/>
        <w:drawing>
          <wp:inline distT="0" distB="0" distL="0" distR="0" wp14:anchorId="619F1F63" wp14:editId="0FFDCBBE">
            <wp:extent cx="4419600" cy="3314700"/>
            <wp:effectExtent l="0" t="0" r="0" b="0"/>
            <wp:docPr id="36369997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460" cy="331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CB64D" w14:textId="559B05D1" w:rsidR="001752C9" w:rsidRDefault="00140431" w:rsidP="001731CB">
      <w:pPr>
        <w:spacing w:before="100" w:beforeAutospacing="1" w:after="100" w:afterAutospacing="1"/>
        <w:ind w:left="720" w:firstLine="720"/>
        <w:rPr>
          <w:i/>
          <w:iCs/>
          <w:sz w:val="24"/>
        </w:rPr>
      </w:pPr>
      <w:r>
        <w:rPr>
          <w:i/>
          <w:iCs/>
          <w:sz w:val="24"/>
        </w:rPr>
        <w:t xml:space="preserve">    </w:t>
      </w:r>
      <w:r w:rsidR="001731CB">
        <w:rPr>
          <w:i/>
          <w:iCs/>
          <w:sz w:val="24"/>
        </w:rPr>
        <w:t>Fig. 3: BLER performance of two layers in TDL-C 100ns</w:t>
      </w:r>
    </w:p>
    <w:p w14:paraId="167D3357" w14:textId="77777777" w:rsidR="0061685F" w:rsidRDefault="0061685F" w:rsidP="001731CB">
      <w:pPr>
        <w:spacing w:before="100" w:beforeAutospacing="1" w:after="100" w:afterAutospacing="1"/>
        <w:ind w:left="720" w:firstLine="720"/>
        <w:rPr>
          <w:i/>
          <w:iCs/>
          <w:sz w:val="24"/>
        </w:rPr>
      </w:pPr>
    </w:p>
    <w:p w14:paraId="5351D540" w14:textId="5865ACD7" w:rsidR="001752C9" w:rsidRDefault="001752C9" w:rsidP="0061685F">
      <w:pPr>
        <w:spacing w:before="100" w:beforeAutospacing="1" w:after="100" w:afterAutospacing="1"/>
        <w:ind w:firstLine="720"/>
        <w:rPr>
          <w:i/>
          <w:iCs/>
          <w:sz w:val="24"/>
        </w:rPr>
      </w:pPr>
      <w:r w:rsidRPr="001752C9">
        <w:rPr>
          <w:i/>
          <w:iCs/>
          <w:noProof/>
          <w:sz w:val="24"/>
        </w:rPr>
        <w:drawing>
          <wp:inline distT="0" distB="0" distL="0" distR="0" wp14:anchorId="296B16C0" wp14:editId="53FB32CA">
            <wp:extent cx="4419600" cy="3314700"/>
            <wp:effectExtent l="0" t="0" r="0" b="0"/>
            <wp:docPr id="71695217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335" cy="3317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68E85" w14:textId="3AEE38BD" w:rsidR="001752C9" w:rsidRPr="0042056E" w:rsidRDefault="001752C9" w:rsidP="00315789">
      <w:pPr>
        <w:spacing w:before="100" w:beforeAutospacing="1" w:after="100" w:afterAutospacing="1"/>
        <w:ind w:left="1440"/>
        <w:rPr>
          <w:i/>
          <w:iCs/>
          <w:sz w:val="24"/>
        </w:rPr>
      </w:pPr>
      <w:r>
        <w:rPr>
          <w:i/>
          <w:iCs/>
          <w:sz w:val="24"/>
        </w:rPr>
        <w:t xml:space="preserve">Fig. </w:t>
      </w:r>
      <w:r w:rsidR="00B13FC0">
        <w:rPr>
          <w:i/>
          <w:iCs/>
          <w:sz w:val="24"/>
        </w:rPr>
        <w:t>4</w:t>
      </w:r>
      <w:r>
        <w:rPr>
          <w:i/>
          <w:iCs/>
          <w:sz w:val="24"/>
        </w:rPr>
        <w:t xml:space="preserve">: BLER performance of </w:t>
      </w:r>
      <m:oMath>
        <m:r>
          <w:rPr>
            <w:rFonts w:ascii="Cambria Math" w:hAnsi="Cambria Math"/>
            <w:sz w:val="24"/>
          </w:rPr>
          <m:t>π</m:t>
        </m:r>
      </m:oMath>
      <w:r>
        <w:rPr>
          <w:i/>
          <w:iCs/>
          <w:sz w:val="24"/>
        </w:rPr>
        <w:t xml:space="preserve">/2-BPSK modulation with and </w:t>
      </w:r>
      <w:r>
        <w:rPr>
          <w:i/>
          <w:iCs/>
          <w:sz w:val="24"/>
        </w:rPr>
        <w:br/>
      </w:r>
      <w:r w:rsidR="00315789">
        <w:rPr>
          <w:i/>
          <w:iCs/>
          <w:sz w:val="24"/>
        </w:rPr>
        <w:t xml:space="preserve">                 </w:t>
      </w:r>
      <w:r>
        <w:rPr>
          <w:i/>
          <w:iCs/>
          <w:sz w:val="24"/>
        </w:rPr>
        <w:t>without shaping and single layer</w:t>
      </w:r>
    </w:p>
    <w:p w14:paraId="46578999" w14:textId="77777777" w:rsidR="001752C9" w:rsidRPr="0042056E" w:rsidRDefault="001752C9" w:rsidP="001731CB">
      <w:pPr>
        <w:spacing w:before="100" w:beforeAutospacing="1" w:after="100" w:afterAutospacing="1"/>
        <w:ind w:left="720" w:firstLine="720"/>
        <w:rPr>
          <w:i/>
          <w:iCs/>
          <w:sz w:val="24"/>
        </w:rPr>
      </w:pPr>
    </w:p>
    <w:sectPr w:rsidR="001752C9" w:rsidRPr="0042056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27913"/>
    <w:multiLevelType w:val="multilevel"/>
    <w:tmpl w:val="2B8AD2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0A3A015B"/>
    <w:multiLevelType w:val="multilevel"/>
    <w:tmpl w:val="61FEC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713B8D"/>
    <w:multiLevelType w:val="multilevel"/>
    <w:tmpl w:val="BCF6DB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115776D7"/>
    <w:multiLevelType w:val="multilevel"/>
    <w:tmpl w:val="DE44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8935FD"/>
    <w:multiLevelType w:val="multilevel"/>
    <w:tmpl w:val="CCF0B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BB5479"/>
    <w:multiLevelType w:val="multilevel"/>
    <w:tmpl w:val="DF72CA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19DC373E"/>
    <w:multiLevelType w:val="multilevel"/>
    <w:tmpl w:val="917CA9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7" w15:restartNumberingAfterBreak="0">
    <w:nsid w:val="1FE66105"/>
    <w:multiLevelType w:val="multilevel"/>
    <w:tmpl w:val="A6383C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2E8014AF"/>
    <w:multiLevelType w:val="multilevel"/>
    <w:tmpl w:val="821AC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2EC564A9"/>
    <w:multiLevelType w:val="multilevel"/>
    <w:tmpl w:val="C8889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165D48"/>
    <w:multiLevelType w:val="multilevel"/>
    <w:tmpl w:val="95205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5E3F87"/>
    <w:multiLevelType w:val="multilevel"/>
    <w:tmpl w:val="E3A25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8305B8"/>
    <w:multiLevelType w:val="multilevel"/>
    <w:tmpl w:val="1318E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373C42"/>
    <w:multiLevelType w:val="multilevel"/>
    <w:tmpl w:val="F48A15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433D4599"/>
    <w:multiLevelType w:val="multilevel"/>
    <w:tmpl w:val="827C41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" w15:restartNumberingAfterBreak="0">
    <w:nsid w:val="535B0A5A"/>
    <w:multiLevelType w:val="multilevel"/>
    <w:tmpl w:val="A6AA3C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556C6167"/>
    <w:multiLevelType w:val="multilevel"/>
    <w:tmpl w:val="EFA8BC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" w15:restartNumberingAfterBreak="0">
    <w:nsid w:val="58FF6C7F"/>
    <w:multiLevelType w:val="multilevel"/>
    <w:tmpl w:val="45006C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 w15:restartNumberingAfterBreak="0">
    <w:nsid w:val="6245385E"/>
    <w:multiLevelType w:val="multilevel"/>
    <w:tmpl w:val="7C683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7565F7"/>
    <w:multiLevelType w:val="multilevel"/>
    <w:tmpl w:val="06A8DD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68E01E6E"/>
    <w:multiLevelType w:val="multilevel"/>
    <w:tmpl w:val="4A145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F66F21"/>
    <w:multiLevelType w:val="multilevel"/>
    <w:tmpl w:val="1A429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E00176"/>
    <w:multiLevelType w:val="multilevel"/>
    <w:tmpl w:val="6672A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301676"/>
    <w:multiLevelType w:val="multilevel"/>
    <w:tmpl w:val="AAE47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A43BE9"/>
    <w:multiLevelType w:val="multilevel"/>
    <w:tmpl w:val="2DD252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5" w15:restartNumberingAfterBreak="0">
    <w:nsid w:val="786D2D16"/>
    <w:multiLevelType w:val="multilevel"/>
    <w:tmpl w:val="A866F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A206BE7"/>
    <w:multiLevelType w:val="multilevel"/>
    <w:tmpl w:val="B6C67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4E67C1"/>
    <w:multiLevelType w:val="multilevel"/>
    <w:tmpl w:val="27069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9014A1"/>
    <w:multiLevelType w:val="multilevel"/>
    <w:tmpl w:val="23E095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9" w15:restartNumberingAfterBreak="0">
    <w:nsid w:val="7B9F5C54"/>
    <w:multiLevelType w:val="multilevel"/>
    <w:tmpl w:val="8244C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BDE47C9"/>
    <w:multiLevelType w:val="multilevel"/>
    <w:tmpl w:val="38161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E660F1"/>
    <w:multiLevelType w:val="multilevel"/>
    <w:tmpl w:val="B18CE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F31383"/>
    <w:multiLevelType w:val="multilevel"/>
    <w:tmpl w:val="70806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2886183">
    <w:abstractNumId w:val="14"/>
  </w:num>
  <w:num w:numId="2" w16cid:durableId="755857508">
    <w:abstractNumId w:val="16"/>
  </w:num>
  <w:num w:numId="3" w16cid:durableId="1120608319">
    <w:abstractNumId w:val="2"/>
  </w:num>
  <w:num w:numId="4" w16cid:durableId="1679497628">
    <w:abstractNumId w:val="15"/>
  </w:num>
  <w:num w:numId="5" w16cid:durableId="819350996">
    <w:abstractNumId w:val="8"/>
  </w:num>
  <w:num w:numId="6" w16cid:durableId="2067947132">
    <w:abstractNumId w:val="13"/>
  </w:num>
  <w:num w:numId="7" w16cid:durableId="551773860">
    <w:abstractNumId w:val="0"/>
  </w:num>
  <w:num w:numId="8" w16cid:durableId="228617764">
    <w:abstractNumId w:val="5"/>
  </w:num>
  <w:num w:numId="9" w16cid:durableId="1763842437">
    <w:abstractNumId w:val="19"/>
  </w:num>
  <w:num w:numId="10" w16cid:durableId="1945455517">
    <w:abstractNumId w:val="28"/>
  </w:num>
  <w:num w:numId="11" w16cid:durableId="1145901130">
    <w:abstractNumId w:val="17"/>
  </w:num>
  <w:num w:numId="12" w16cid:durableId="846821991">
    <w:abstractNumId w:val="7"/>
  </w:num>
  <w:num w:numId="13" w16cid:durableId="854807027">
    <w:abstractNumId w:val="24"/>
  </w:num>
  <w:num w:numId="14" w16cid:durableId="119032573">
    <w:abstractNumId w:val="9"/>
  </w:num>
  <w:num w:numId="15" w16cid:durableId="1890799981">
    <w:abstractNumId w:val="4"/>
  </w:num>
  <w:num w:numId="16" w16cid:durableId="216400009">
    <w:abstractNumId w:val="25"/>
  </w:num>
  <w:num w:numId="17" w16cid:durableId="1839346375">
    <w:abstractNumId w:val="12"/>
  </w:num>
  <w:num w:numId="18" w16cid:durableId="2031491959">
    <w:abstractNumId w:val="10"/>
  </w:num>
  <w:num w:numId="19" w16cid:durableId="154031516">
    <w:abstractNumId w:val="18"/>
  </w:num>
  <w:num w:numId="20" w16cid:durableId="905070106">
    <w:abstractNumId w:val="29"/>
  </w:num>
  <w:num w:numId="21" w16cid:durableId="564218073">
    <w:abstractNumId w:val="22"/>
  </w:num>
  <w:num w:numId="22" w16cid:durableId="1254776787">
    <w:abstractNumId w:val="27"/>
  </w:num>
  <w:num w:numId="23" w16cid:durableId="1819614189">
    <w:abstractNumId w:val="26"/>
  </w:num>
  <w:num w:numId="24" w16cid:durableId="179005823">
    <w:abstractNumId w:val="30"/>
  </w:num>
  <w:num w:numId="25" w16cid:durableId="1386022337">
    <w:abstractNumId w:val="1"/>
  </w:num>
  <w:num w:numId="26" w16cid:durableId="1907178332">
    <w:abstractNumId w:val="23"/>
  </w:num>
  <w:num w:numId="27" w16cid:durableId="1544708945">
    <w:abstractNumId w:val="32"/>
  </w:num>
  <w:num w:numId="28" w16cid:durableId="1920870589">
    <w:abstractNumId w:val="31"/>
  </w:num>
  <w:num w:numId="29" w16cid:durableId="1247954561">
    <w:abstractNumId w:val="20"/>
  </w:num>
  <w:num w:numId="30" w16cid:durableId="117913454">
    <w:abstractNumId w:val="21"/>
  </w:num>
  <w:num w:numId="31" w16cid:durableId="893930579">
    <w:abstractNumId w:val="3"/>
  </w:num>
  <w:num w:numId="32" w16cid:durableId="1469283755">
    <w:abstractNumId w:val="11"/>
  </w:num>
  <w:num w:numId="33" w16cid:durableId="19522783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443"/>
    <w:rsid w:val="00020975"/>
    <w:rsid w:val="000C2996"/>
    <w:rsid w:val="00140431"/>
    <w:rsid w:val="00170471"/>
    <w:rsid w:val="001731CB"/>
    <w:rsid w:val="001752C9"/>
    <w:rsid w:val="001C4A6A"/>
    <w:rsid w:val="00292C3D"/>
    <w:rsid w:val="002E3CA0"/>
    <w:rsid w:val="00315789"/>
    <w:rsid w:val="003A51E4"/>
    <w:rsid w:val="003D7E33"/>
    <w:rsid w:val="003E5E37"/>
    <w:rsid w:val="0042056E"/>
    <w:rsid w:val="004D6555"/>
    <w:rsid w:val="005253E4"/>
    <w:rsid w:val="0061685F"/>
    <w:rsid w:val="006750F2"/>
    <w:rsid w:val="006D4E83"/>
    <w:rsid w:val="0071037A"/>
    <w:rsid w:val="00752FDA"/>
    <w:rsid w:val="00790AC8"/>
    <w:rsid w:val="00791AFC"/>
    <w:rsid w:val="007B5D1C"/>
    <w:rsid w:val="007E19FA"/>
    <w:rsid w:val="007F741A"/>
    <w:rsid w:val="008506A7"/>
    <w:rsid w:val="008D3165"/>
    <w:rsid w:val="00933CE0"/>
    <w:rsid w:val="00963F17"/>
    <w:rsid w:val="009B71B6"/>
    <w:rsid w:val="00A02119"/>
    <w:rsid w:val="00A50F2D"/>
    <w:rsid w:val="00A51FB2"/>
    <w:rsid w:val="00AD1443"/>
    <w:rsid w:val="00B13FC0"/>
    <w:rsid w:val="00B3242F"/>
    <w:rsid w:val="00B72F91"/>
    <w:rsid w:val="00B7691C"/>
    <w:rsid w:val="00B80BA6"/>
    <w:rsid w:val="00B874FD"/>
    <w:rsid w:val="00BC72FB"/>
    <w:rsid w:val="00D25F25"/>
    <w:rsid w:val="00D9672B"/>
    <w:rsid w:val="00DC4C03"/>
    <w:rsid w:val="00DE2FCC"/>
    <w:rsid w:val="00E01946"/>
    <w:rsid w:val="00E157E0"/>
    <w:rsid w:val="00E45748"/>
    <w:rsid w:val="00E958C4"/>
    <w:rsid w:val="00E961A4"/>
    <w:rsid w:val="00F26E1C"/>
    <w:rsid w:val="00F31F90"/>
    <w:rsid w:val="00FA2C19"/>
    <w:rsid w:val="00FB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2A014"/>
  <w15:docId w15:val="{62169B38-C780-487D-A442-D6A047594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IN" w:eastAsia="en-IN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color w:val="2F5496"/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160" w:after="80"/>
      <w:outlineLvl w:val="1"/>
    </w:pPr>
    <w:rPr>
      <w:color w:val="2F5496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2F549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color w:val="2F549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</w:pPr>
    <w:rPr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color w:val="595959"/>
      <w:sz w:val="28"/>
      <w:szCs w:val="28"/>
    </w:rPr>
  </w:style>
  <w:style w:type="table" w:customStyle="1" w:styleId="2">
    <w:name w:val="2"/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1">
    <w:name w:val="Plain Table 1"/>
    <w:basedOn w:val="TableNormal"/>
    <w:uiPriority w:val="41"/>
    <w:rsid w:val="00FA2C1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A2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A2C19"/>
    <w:rPr>
      <w:color w:val="666666"/>
    </w:rPr>
  </w:style>
  <w:style w:type="paragraph" w:styleId="ListParagraph">
    <w:name w:val="List Paragraph"/>
    <w:basedOn w:val="Normal"/>
    <w:uiPriority w:val="34"/>
    <w:qFormat/>
    <w:rsid w:val="00170471"/>
    <w:pPr>
      <w:ind w:left="720"/>
      <w:contextualSpacing/>
    </w:pPr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67107-439B-4867-9682-EED5674FD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kumar kuchi</dc:creator>
  <cp:keywords/>
  <dc:description/>
  <cp:lastModifiedBy>Koteswara Rao</cp:lastModifiedBy>
  <cp:revision>7</cp:revision>
  <dcterms:created xsi:type="dcterms:W3CDTF">2025-11-06T11:37:00Z</dcterms:created>
  <dcterms:modified xsi:type="dcterms:W3CDTF">2025-11-07T07:26:00Z</dcterms:modified>
</cp:coreProperties>
</file>